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B5C62" w14:textId="284E435D" w:rsidR="00CB1C8A" w:rsidRPr="00CB1C8A" w:rsidRDefault="00987714" w:rsidP="00E65C84">
      <w:pPr>
        <w:spacing w:line="312" w:lineRule="auto"/>
        <w:jc w:val="right"/>
        <w:rPr>
          <w:rFonts w:ascii="Arial" w:eastAsia="Times New Roman" w:hAnsi="Arial" w:cs="Arial"/>
          <w:color w:val="auto"/>
          <w:lang w:eastAsia="cs-CZ"/>
        </w:rPr>
      </w:pPr>
      <w:r>
        <w:rPr>
          <w:rFonts w:ascii="Arial" w:eastAsia="Times New Roman" w:hAnsi="Arial" w:cs="Arial"/>
          <w:color w:val="auto"/>
          <w:lang w:eastAsia="cs-CZ"/>
        </w:rPr>
        <w:t>I</w:t>
      </w:r>
      <w:bookmarkStart w:id="0" w:name="_GoBack"/>
      <w:bookmarkEnd w:id="0"/>
      <w:r w:rsidR="00CB1C8A" w:rsidRPr="00CB1C8A">
        <w:rPr>
          <w:rFonts w:ascii="Arial" w:eastAsia="Times New Roman" w:hAnsi="Arial" w:cs="Arial"/>
          <w:color w:val="auto"/>
          <w:lang w:eastAsia="cs-CZ"/>
        </w:rPr>
        <w:t>II.</w:t>
      </w:r>
    </w:p>
    <w:p w14:paraId="4D93F657" w14:textId="067C5FEC" w:rsidR="00CB1C8A" w:rsidRPr="00CB1C8A" w:rsidRDefault="00CB1C8A" w:rsidP="00E65C84">
      <w:pPr>
        <w:spacing w:line="312" w:lineRule="auto"/>
        <w:jc w:val="center"/>
        <w:rPr>
          <w:rFonts w:ascii="Arial" w:eastAsia="Times New Roman" w:hAnsi="Arial" w:cs="Arial"/>
          <w:b/>
          <w:color w:val="auto"/>
          <w:sz w:val="28"/>
          <w:szCs w:val="28"/>
          <w:lang w:eastAsia="cs-CZ"/>
        </w:rPr>
      </w:pPr>
      <w:r w:rsidRPr="00CB1C8A">
        <w:rPr>
          <w:rFonts w:ascii="Arial" w:eastAsia="Times New Roman" w:hAnsi="Arial" w:cs="Arial"/>
          <w:b/>
          <w:color w:val="auto"/>
          <w:sz w:val="28"/>
          <w:szCs w:val="28"/>
          <w:lang w:eastAsia="cs-CZ"/>
        </w:rPr>
        <w:t>Zpráva o naplňování Akčního plánu k provedení nedotačních opatření pro podporu plánování a výstavby sítí elektronických komunikací a o </w:t>
      </w:r>
      <w:r w:rsidRPr="00CB1C8A">
        <w:rPr>
          <w:rFonts w:ascii="Arial" w:eastAsia="Calibri" w:hAnsi="Arial" w:cs="Arial"/>
          <w:b/>
          <w:color w:val="000000"/>
          <w:sz w:val="28"/>
          <w:szCs w:val="28"/>
        </w:rPr>
        <w:t>implementaci</w:t>
      </w:r>
      <w:r w:rsidRPr="00CB1C8A">
        <w:rPr>
          <w:rFonts w:ascii="Arial" w:eastAsia="Times New Roman" w:hAnsi="Arial" w:cs="Arial"/>
          <w:b/>
          <w:color w:val="auto"/>
          <w:sz w:val="28"/>
          <w:szCs w:val="28"/>
          <w:lang w:eastAsia="cs-CZ"/>
        </w:rPr>
        <w:t xml:space="preserve"> Programu podpory „Vysokorychlostní internet“ OP PIK, </w:t>
      </w:r>
      <w:r w:rsidR="002A2EC5">
        <w:rPr>
          <w:rFonts w:ascii="Arial" w:eastAsia="Times New Roman" w:hAnsi="Arial" w:cs="Arial"/>
          <w:b/>
          <w:color w:val="auto"/>
          <w:sz w:val="28"/>
          <w:szCs w:val="28"/>
          <w:lang w:eastAsia="cs-CZ"/>
        </w:rPr>
        <w:t>červenec</w:t>
      </w:r>
      <w:r w:rsidRPr="00CB1C8A">
        <w:rPr>
          <w:rFonts w:ascii="Arial" w:eastAsia="Times New Roman" w:hAnsi="Arial" w:cs="Arial"/>
          <w:b/>
          <w:color w:val="auto"/>
          <w:sz w:val="28"/>
          <w:szCs w:val="28"/>
          <w:lang w:eastAsia="cs-CZ"/>
        </w:rPr>
        <w:t xml:space="preserve"> 2018</w:t>
      </w:r>
    </w:p>
    <w:p w14:paraId="405E402C" w14:textId="77777777" w:rsidR="00CB1C8A" w:rsidRPr="00CB1C8A" w:rsidRDefault="00CB1C8A" w:rsidP="00E65C84">
      <w:pPr>
        <w:spacing w:line="312" w:lineRule="auto"/>
        <w:rPr>
          <w:rFonts w:ascii="Times New Roman" w:eastAsia="Times New Roman" w:hAnsi="Times New Roman" w:cs="Times New Roman"/>
          <w:color w:val="auto"/>
          <w:lang w:eastAsia="cs-CZ"/>
        </w:rPr>
      </w:pPr>
    </w:p>
    <w:p w14:paraId="7AD0A648" w14:textId="3D453DFE" w:rsidR="00CB1C8A" w:rsidRPr="00CB1C8A" w:rsidRDefault="00CB1C8A" w:rsidP="00E65C84">
      <w:pPr>
        <w:spacing w:line="312" w:lineRule="auto"/>
        <w:jc w:val="both"/>
        <w:rPr>
          <w:rFonts w:ascii="Arial" w:eastAsia="Times New Roman" w:hAnsi="Arial" w:cs="Arial"/>
          <w:bCs/>
          <w:color w:val="auto"/>
          <w:lang w:eastAsia="cs-CZ"/>
        </w:rPr>
      </w:pPr>
      <w:r w:rsidRPr="00CB1C8A">
        <w:rPr>
          <w:rFonts w:ascii="Arial" w:eastAsia="Times New Roman" w:hAnsi="Arial" w:cs="Arial"/>
          <w:bCs/>
          <w:color w:val="auto"/>
          <w:lang w:eastAsia="cs-CZ"/>
        </w:rPr>
        <w:t xml:space="preserve">V souladu s usnesením vlády ze dne 21. srpna 2017 č. 589 </w:t>
      </w:r>
      <w:r w:rsidR="00345237" w:rsidRPr="00CB1C8A">
        <w:rPr>
          <w:rFonts w:ascii="Arial" w:eastAsia="Times New Roman" w:hAnsi="Arial" w:cs="Arial"/>
          <w:bCs/>
          <w:color w:val="auto"/>
          <w:lang w:eastAsia="cs-CZ"/>
        </w:rPr>
        <w:t xml:space="preserve">předkládá </w:t>
      </w:r>
      <w:r w:rsidRPr="00CB1C8A">
        <w:rPr>
          <w:rFonts w:ascii="Arial" w:eastAsia="Times New Roman" w:hAnsi="Arial" w:cs="Arial"/>
          <w:bCs/>
          <w:color w:val="auto"/>
          <w:lang w:eastAsia="cs-CZ"/>
        </w:rPr>
        <w:t xml:space="preserve">Ministerstvo průmyslu a obchodu pro informaci členům vlády materiál „Zpráva o naplňování Akčního plánu k provedení </w:t>
      </w:r>
      <w:r w:rsidRPr="00CB1C8A">
        <w:rPr>
          <w:rFonts w:ascii="Arial" w:eastAsia="Calibri" w:hAnsi="Arial" w:cs="Arial"/>
          <w:bCs/>
          <w:color w:val="000000"/>
        </w:rPr>
        <w:t>nedotačních</w:t>
      </w:r>
      <w:r w:rsidRPr="00CB1C8A">
        <w:rPr>
          <w:rFonts w:ascii="Arial" w:eastAsia="Times New Roman" w:hAnsi="Arial" w:cs="Arial"/>
          <w:bCs/>
          <w:color w:val="auto"/>
          <w:lang w:eastAsia="cs-CZ"/>
        </w:rPr>
        <w:t xml:space="preserve"> opatření pro podporu plánování a výstavby sítí elektronických komunikací a o implementaci Programu podpory „Vysokorychlostní internet“ OP PIK“. </w:t>
      </w:r>
    </w:p>
    <w:p w14:paraId="3188113E" w14:textId="77777777" w:rsidR="00CB1C8A" w:rsidRPr="00CB1C8A" w:rsidRDefault="00CB1C8A" w:rsidP="00E65C84">
      <w:pPr>
        <w:spacing w:line="312" w:lineRule="auto"/>
        <w:jc w:val="both"/>
        <w:rPr>
          <w:rFonts w:ascii="Arial" w:eastAsia="Times New Roman" w:hAnsi="Arial" w:cs="Arial"/>
          <w:bCs/>
          <w:color w:val="auto"/>
          <w:lang w:eastAsia="cs-CZ"/>
        </w:rPr>
      </w:pPr>
      <w:r w:rsidRPr="00CB1C8A">
        <w:rPr>
          <w:rFonts w:ascii="Arial" w:eastAsia="Times New Roman" w:hAnsi="Arial" w:cs="Arial"/>
          <w:bCs/>
          <w:color w:val="auto"/>
          <w:lang w:eastAsia="cs-CZ"/>
        </w:rPr>
        <w:t xml:space="preserve">Zpráva se </w:t>
      </w:r>
      <w:r w:rsidRPr="00CB1C8A">
        <w:rPr>
          <w:rFonts w:ascii="Arial" w:eastAsia="Calibri" w:hAnsi="Arial" w:cs="Arial"/>
          <w:bCs/>
          <w:color w:val="000000"/>
        </w:rPr>
        <w:t>člení</w:t>
      </w:r>
      <w:r w:rsidRPr="00CB1C8A">
        <w:rPr>
          <w:rFonts w:ascii="Arial" w:eastAsia="Times New Roman" w:hAnsi="Arial" w:cs="Arial"/>
          <w:bCs/>
          <w:color w:val="auto"/>
          <w:lang w:eastAsia="cs-CZ"/>
        </w:rPr>
        <w:t xml:space="preserve"> na dvě části:</w:t>
      </w:r>
    </w:p>
    <w:p w14:paraId="4C0A3F61" w14:textId="77777777" w:rsidR="00CB1C8A" w:rsidRDefault="00CB1C8A" w:rsidP="00E65C84">
      <w:pPr>
        <w:numPr>
          <w:ilvl w:val="0"/>
          <w:numId w:val="37"/>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Naplňování Akčního plánu k provedení nedotačních opatření pro podporu plánování a výstavby sítí elektronických komunikací</w:t>
      </w:r>
    </w:p>
    <w:p w14:paraId="402E4D7F" w14:textId="77777777" w:rsidR="00CB1C8A" w:rsidRPr="00CB1C8A" w:rsidRDefault="00CB1C8A" w:rsidP="00E65C84">
      <w:pPr>
        <w:spacing w:after="0" w:line="312" w:lineRule="auto"/>
        <w:ind w:left="720"/>
        <w:contextualSpacing/>
        <w:jc w:val="both"/>
        <w:rPr>
          <w:rFonts w:ascii="Arial" w:eastAsia="Calibri" w:hAnsi="Arial" w:cs="Arial"/>
          <w:bCs/>
          <w:color w:val="000000"/>
        </w:rPr>
      </w:pPr>
    </w:p>
    <w:p w14:paraId="4B5FD222" w14:textId="77777777" w:rsidR="00CB1C8A" w:rsidRPr="00CB1C8A" w:rsidRDefault="00CB1C8A" w:rsidP="00E65C84">
      <w:pPr>
        <w:numPr>
          <w:ilvl w:val="0"/>
          <w:numId w:val="37"/>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Implementace Programu podpory „Vysokorychlostní internet“ OP PIK</w:t>
      </w:r>
    </w:p>
    <w:p w14:paraId="360D49C1" w14:textId="77777777" w:rsidR="00CB1C8A" w:rsidRPr="00CB1C8A" w:rsidRDefault="00CB1C8A" w:rsidP="00E65C84">
      <w:pPr>
        <w:spacing w:line="312" w:lineRule="auto"/>
        <w:rPr>
          <w:rFonts w:ascii="Times New Roman" w:eastAsia="Times New Roman" w:hAnsi="Times New Roman" w:cs="Times New Roman"/>
          <w:color w:val="auto"/>
          <w:lang w:eastAsia="cs-CZ"/>
        </w:rPr>
      </w:pPr>
    </w:p>
    <w:p w14:paraId="36D33E11" w14:textId="77777777" w:rsidR="00CB1C8A" w:rsidRPr="00CB1C8A" w:rsidRDefault="00CB1C8A" w:rsidP="00E65C84">
      <w:pPr>
        <w:spacing w:line="312" w:lineRule="auto"/>
        <w:ind w:left="284" w:hanging="284"/>
        <w:jc w:val="both"/>
        <w:rPr>
          <w:rFonts w:ascii="Arial" w:eastAsia="Times New Roman" w:hAnsi="Arial" w:cs="Arial"/>
          <w:b/>
          <w:bCs/>
          <w:color w:val="auto"/>
          <w:lang w:eastAsia="cs-CZ"/>
        </w:rPr>
      </w:pPr>
      <w:r w:rsidRPr="00CB1C8A">
        <w:rPr>
          <w:rFonts w:ascii="Arial" w:eastAsia="Times New Roman" w:hAnsi="Arial" w:cs="Arial"/>
          <w:b/>
          <w:bCs/>
          <w:color w:val="auto"/>
          <w:lang w:eastAsia="cs-CZ"/>
        </w:rPr>
        <w:t>A.</w:t>
      </w:r>
      <w:r w:rsidRPr="00CB1C8A">
        <w:rPr>
          <w:rFonts w:ascii="Arial" w:eastAsia="Times New Roman" w:hAnsi="Arial" w:cs="Arial"/>
          <w:b/>
          <w:bCs/>
          <w:color w:val="auto"/>
          <w:lang w:eastAsia="cs-CZ"/>
        </w:rPr>
        <w:tab/>
        <w:t>Naplňování Akčního plánu k provedení nedotačních opatření pro podporu plánování a výstavby sítí elektronických komunikací</w:t>
      </w:r>
    </w:p>
    <w:p w14:paraId="6100DA8E" w14:textId="228FECCE" w:rsidR="00CB1C8A" w:rsidRPr="00CB1C8A" w:rsidRDefault="00CB1C8A" w:rsidP="00E65C84">
      <w:pPr>
        <w:spacing w:line="312" w:lineRule="auto"/>
        <w:jc w:val="both"/>
        <w:rPr>
          <w:rFonts w:ascii="Arial" w:eastAsia="Times New Roman" w:hAnsi="Arial" w:cs="Arial"/>
          <w:bCs/>
          <w:color w:val="auto"/>
          <w:lang w:eastAsia="cs-CZ"/>
        </w:rPr>
      </w:pPr>
      <w:r w:rsidRPr="00CB1C8A">
        <w:rPr>
          <w:rFonts w:ascii="Arial" w:eastAsia="Times New Roman" w:hAnsi="Arial" w:cs="Arial"/>
          <w:bCs/>
          <w:color w:val="auto"/>
          <w:lang w:eastAsia="cs-CZ"/>
        </w:rPr>
        <w:t xml:space="preserve">Akční plán k provedení nedotačních opatření pro podporu plánování a výstavby sítí elektronických komunikací (dále jen „Akční plán“) schválila vláda usnesením ze dne 10. května 2017 č. 350. </w:t>
      </w:r>
      <w:r w:rsidRPr="00CB1C8A">
        <w:rPr>
          <w:rFonts w:ascii="Arial" w:eastAsia="Calibri" w:hAnsi="Arial" w:cs="Arial"/>
          <w:bCs/>
          <w:color w:val="000000"/>
        </w:rPr>
        <w:t>Jeho</w:t>
      </w:r>
      <w:r w:rsidRPr="00CB1C8A">
        <w:rPr>
          <w:rFonts w:ascii="Arial" w:eastAsia="Times New Roman" w:hAnsi="Arial" w:cs="Arial"/>
          <w:bCs/>
          <w:color w:val="auto"/>
          <w:lang w:eastAsia="cs-CZ"/>
        </w:rPr>
        <w:t xml:space="preserve"> cílem je vymezení okruhu existujících překážek a zvýšených finančních nároků, které negativně působí při plánování a výstavbě sítí elektronických komunikací, a dále existujících finančních bariér negativně ovlivňujících provozování těchto sítí. Současně jsou v dokumentu vytyčena opatření pro postupnou eliminaci uvedených negativních jevů obsahující nezbytné gesce a časové horizonty.</w:t>
      </w:r>
    </w:p>
    <w:p w14:paraId="78CD6541" w14:textId="1A59D347" w:rsidR="00CB1C8A" w:rsidRDefault="00CB1C8A" w:rsidP="00E65C84">
      <w:pPr>
        <w:spacing w:line="312" w:lineRule="auto"/>
        <w:jc w:val="both"/>
        <w:rPr>
          <w:rFonts w:ascii="Arial" w:eastAsia="Times New Roman" w:hAnsi="Arial" w:cs="Arial"/>
          <w:bCs/>
          <w:color w:val="auto"/>
          <w:lang w:eastAsia="cs-CZ"/>
        </w:rPr>
      </w:pPr>
      <w:r w:rsidRPr="00CB1C8A">
        <w:rPr>
          <w:rFonts w:ascii="Arial" w:eastAsia="Times New Roman" w:hAnsi="Arial" w:cs="Arial"/>
          <w:bCs/>
          <w:color w:val="auto"/>
          <w:lang w:eastAsia="cs-CZ"/>
        </w:rPr>
        <w:t>Ministerstvo průmyslu a obchodu</w:t>
      </w:r>
      <w:r w:rsidR="00061D18">
        <w:rPr>
          <w:rFonts w:ascii="Arial" w:eastAsia="Times New Roman" w:hAnsi="Arial" w:cs="Arial"/>
          <w:bCs/>
          <w:color w:val="auto"/>
          <w:lang w:eastAsia="cs-CZ"/>
        </w:rPr>
        <w:t xml:space="preserve"> (dále jen „MPO“)</w:t>
      </w:r>
      <w:r w:rsidR="00F63990">
        <w:rPr>
          <w:rFonts w:ascii="Arial" w:eastAsia="Times New Roman" w:hAnsi="Arial" w:cs="Arial"/>
          <w:bCs/>
          <w:color w:val="auto"/>
          <w:lang w:eastAsia="cs-CZ"/>
        </w:rPr>
        <w:t xml:space="preserve"> a </w:t>
      </w:r>
      <w:r w:rsidRPr="00CB1C8A">
        <w:rPr>
          <w:rFonts w:ascii="Arial" w:eastAsia="Times New Roman" w:hAnsi="Arial" w:cs="Arial"/>
          <w:bCs/>
          <w:color w:val="auto"/>
          <w:lang w:eastAsia="cs-CZ"/>
        </w:rPr>
        <w:t>Český telekomunikační úřad</w:t>
      </w:r>
      <w:r w:rsidR="00061D18">
        <w:rPr>
          <w:rFonts w:ascii="Arial" w:eastAsia="Times New Roman" w:hAnsi="Arial" w:cs="Arial"/>
          <w:bCs/>
          <w:color w:val="auto"/>
          <w:lang w:eastAsia="cs-CZ"/>
        </w:rPr>
        <w:t xml:space="preserve"> (dále jen „ČTÚ“)</w:t>
      </w:r>
      <w:r w:rsidR="00F63990">
        <w:rPr>
          <w:rFonts w:ascii="Arial" w:eastAsia="Times New Roman" w:hAnsi="Arial" w:cs="Arial"/>
          <w:bCs/>
          <w:color w:val="auto"/>
          <w:lang w:eastAsia="cs-CZ"/>
        </w:rPr>
        <w:t xml:space="preserve"> spolu s ostatními ústředními orgány státní správy (např. </w:t>
      </w:r>
      <w:r w:rsidR="009E6F5C">
        <w:rPr>
          <w:rFonts w:ascii="Arial" w:eastAsia="Times New Roman" w:hAnsi="Arial" w:cs="Arial"/>
          <w:bCs/>
          <w:color w:val="auto"/>
          <w:lang w:eastAsia="cs-CZ"/>
        </w:rPr>
        <w:t>M</w:t>
      </w:r>
      <w:r w:rsidR="00F63990">
        <w:rPr>
          <w:rFonts w:ascii="Arial" w:eastAsia="Times New Roman" w:hAnsi="Arial" w:cs="Arial"/>
          <w:bCs/>
          <w:color w:val="auto"/>
          <w:lang w:eastAsia="cs-CZ"/>
        </w:rPr>
        <w:t>MR, MV, MF)</w:t>
      </w:r>
      <w:r w:rsidR="00D65D2A">
        <w:rPr>
          <w:rFonts w:ascii="Arial" w:eastAsia="Times New Roman" w:hAnsi="Arial" w:cs="Arial"/>
          <w:bCs/>
          <w:color w:val="auto"/>
          <w:lang w:eastAsia="cs-CZ"/>
        </w:rPr>
        <w:t xml:space="preserve"> a</w:t>
      </w:r>
      <w:r w:rsidR="009E6F5C">
        <w:rPr>
          <w:rFonts w:ascii="Arial" w:eastAsia="Times New Roman" w:hAnsi="Arial" w:cs="Arial"/>
          <w:bCs/>
          <w:color w:val="auto"/>
          <w:lang w:eastAsia="cs-CZ"/>
        </w:rPr>
        <w:t xml:space="preserve"> </w:t>
      </w:r>
      <w:r w:rsidRPr="00CB1C8A">
        <w:rPr>
          <w:rFonts w:ascii="Arial" w:eastAsia="Calibri" w:hAnsi="Arial" w:cs="Arial"/>
          <w:bCs/>
          <w:color w:val="000000"/>
        </w:rPr>
        <w:t>společně</w:t>
      </w:r>
      <w:r w:rsidRPr="00CB1C8A">
        <w:rPr>
          <w:rFonts w:ascii="Arial" w:eastAsia="Times New Roman" w:hAnsi="Arial" w:cs="Arial"/>
          <w:bCs/>
          <w:color w:val="auto"/>
          <w:lang w:eastAsia="cs-CZ"/>
        </w:rPr>
        <w:t xml:space="preserve"> s Platformou odborné veřejnosti (tj. s profesními sdruženími, resp. asociacemi </w:t>
      </w:r>
      <w:r w:rsidRPr="00CB1C8A">
        <w:rPr>
          <w:rFonts w:ascii="Arial" w:eastAsia="Calibri" w:hAnsi="Arial" w:cs="Arial"/>
          <w:bCs/>
          <w:color w:val="000000"/>
        </w:rPr>
        <w:t>zastřešujícími</w:t>
      </w:r>
      <w:r w:rsidRPr="00CB1C8A">
        <w:rPr>
          <w:rFonts w:ascii="Arial" w:eastAsia="Times New Roman" w:hAnsi="Arial" w:cs="Arial"/>
          <w:bCs/>
          <w:color w:val="auto"/>
          <w:lang w:eastAsia="cs-CZ"/>
        </w:rPr>
        <w:t xml:space="preserve"> operátory sítí elektronických komunikací</w:t>
      </w:r>
      <w:r w:rsidR="00061D18">
        <w:rPr>
          <w:rFonts w:ascii="Arial" w:eastAsia="Times New Roman" w:hAnsi="Arial" w:cs="Arial"/>
          <w:bCs/>
          <w:color w:val="auto"/>
          <w:lang w:eastAsia="cs-CZ"/>
        </w:rPr>
        <w:t>, dále jen „Platforma“</w:t>
      </w:r>
      <w:r w:rsidRPr="00CB1C8A">
        <w:rPr>
          <w:rFonts w:ascii="Arial" w:eastAsia="Times New Roman" w:hAnsi="Arial" w:cs="Arial"/>
          <w:bCs/>
          <w:color w:val="auto"/>
          <w:lang w:eastAsia="cs-CZ"/>
        </w:rPr>
        <w:t xml:space="preserve">) </w:t>
      </w:r>
      <w:r w:rsidR="007E4ECB">
        <w:rPr>
          <w:rFonts w:ascii="Arial" w:eastAsia="Times New Roman" w:hAnsi="Arial" w:cs="Arial"/>
          <w:bCs/>
          <w:color w:val="auto"/>
          <w:lang w:eastAsia="cs-CZ"/>
        </w:rPr>
        <w:t>průběžně pracuje na</w:t>
      </w:r>
      <w:r w:rsidR="007E4ECB" w:rsidRPr="00CB1C8A">
        <w:rPr>
          <w:rFonts w:ascii="Arial" w:eastAsia="Times New Roman" w:hAnsi="Arial" w:cs="Arial"/>
          <w:bCs/>
          <w:color w:val="auto"/>
          <w:lang w:eastAsia="cs-CZ"/>
        </w:rPr>
        <w:t xml:space="preserve"> </w:t>
      </w:r>
      <w:r w:rsidRPr="00CB1C8A">
        <w:rPr>
          <w:rFonts w:ascii="Arial" w:eastAsia="Times New Roman" w:hAnsi="Arial" w:cs="Arial"/>
          <w:bCs/>
          <w:color w:val="auto"/>
          <w:lang w:eastAsia="cs-CZ"/>
        </w:rPr>
        <w:t>realizaci jednotlivých úkolů, které jsou rozděleny do následujících okruhů:</w:t>
      </w:r>
    </w:p>
    <w:p w14:paraId="1C23D496" w14:textId="77777777" w:rsidR="003B00B0" w:rsidRPr="00CB1C8A" w:rsidRDefault="003B00B0" w:rsidP="00E65C84">
      <w:pPr>
        <w:spacing w:line="312" w:lineRule="auto"/>
        <w:jc w:val="both"/>
        <w:rPr>
          <w:rFonts w:ascii="Arial" w:eastAsia="Times New Roman" w:hAnsi="Arial" w:cs="Arial"/>
          <w:bCs/>
          <w:color w:val="auto"/>
          <w:lang w:eastAsia="cs-CZ"/>
        </w:rPr>
      </w:pPr>
    </w:p>
    <w:p w14:paraId="7AB26F7D" w14:textId="77777777" w:rsidR="00CB1C8A" w:rsidRPr="00CB1C8A" w:rsidRDefault="00CB1C8A" w:rsidP="00E65C84">
      <w:pPr>
        <w:numPr>
          <w:ilvl w:val="0"/>
          <w:numId w:val="38"/>
        </w:numPr>
        <w:spacing w:after="0" w:line="312" w:lineRule="auto"/>
        <w:ind w:left="425" w:hanging="357"/>
        <w:contextualSpacing/>
        <w:jc w:val="both"/>
        <w:rPr>
          <w:rFonts w:ascii="Arial" w:eastAsia="Calibri" w:hAnsi="Arial" w:cs="Arial"/>
          <w:bCs/>
          <w:color w:val="000000"/>
        </w:rPr>
      </w:pPr>
      <w:r w:rsidRPr="00CB1C8A">
        <w:rPr>
          <w:rFonts w:ascii="Arial" w:eastAsia="Calibri" w:hAnsi="Arial" w:cs="Arial"/>
          <w:bCs/>
          <w:color w:val="000000"/>
        </w:rPr>
        <w:t>Vypracování Metodické pracovní pomůcky, která bude podrobněji specifikovat vztah mezi zákonem č. 127/2005 Sb., o elektronických komunikacích, zákonem č. 194/2017 Sb.</w:t>
      </w:r>
      <w:r w:rsidR="00972E91">
        <w:rPr>
          <w:rFonts w:ascii="Arial" w:eastAsia="Calibri" w:hAnsi="Arial" w:cs="Arial"/>
          <w:bCs/>
          <w:color w:val="000000"/>
        </w:rPr>
        <w:t>,</w:t>
      </w:r>
      <w:r w:rsidRPr="00CB1C8A">
        <w:rPr>
          <w:rFonts w:ascii="Arial" w:eastAsia="Calibri" w:hAnsi="Arial" w:cs="Arial"/>
          <w:bCs/>
          <w:color w:val="000000"/>
        </w:rPr>
        <w:t xml:space="preserve"> o opatřeních ke snížení nákladů na zavádění vysokorychlostních sítí elektronických komunikací a zákonem č. 183/2006 Sb., stavební zákon.</w:t>
      </w:r>
    </w:p>
    <w:p w14:paraId="2A6BF86F" w14:textId="77777777" w:rsidR="00CB1C8A" w:rsidRPr="00CB1C8A" w:rsidRDefault="00CB1C8A" w:rsidP="00E65C84">
      <w:pPr>
        <w:spacing w:line="312" w:lineRule="auto"/>
        <w:ind w:left="426"/>
        <w:jc w:val="both"/>
        <w:rPr>
          <w:rFonts w:ascii="Arial" w:eastAsia="Times New Roman" w:hAnsi="Arial" w:cs="Arial"/>
          <w:bCs/>
          <w:color w:val="auto"/>
          <w:lang w:eastAsia="cs-CZ"/>
        </w:rPr>
      </w:pPr>
      <w:r w:rsidRPr="00CB1C8A">
        <w:rPr>
          <w:rFonts w:ascii="Arial" w:eastAsia="Times New Roman" w:hAnsi="Arial" w:cs="Arial"/>
          <w:bCs/>
          <w:color w:val="auto"/>
          <w:lang w:eastAsia="cs-CZ"/>
        </w:rPr>
        <w:lastRenderedPageBreak/>
        <w:t xml:space="preserve">Uvedená metodická pomůcka, která se nyní připravuje, průřezově završí realizaci následujících </w:t>
      </w:r>
      <w:r w:rsidRPr="00CB1C8A">
        <w:rPr>
          <w:rFonts w:ascii="Arial" w:eastAsia="Calibri" w:hAnsi="Arial" w:cs="Arial"/>
          <w:bCs/>
          <w:color w:val="000000"/>
        </w:rPr>
        <w:t>opatření</w:t>
      </w:r>
      <w:r w:rsidRPr="00CB1C8A">
        <w:rPr>
          <w:rFonts w:ascii="Arial" w:eastAsia="Times New Roman" w:hAnsi="Arial" w:cs="Arial"/>
          <w:bCs/>
          <w:color w:val="auto"/>
          <w:lang w:eastAsia="cs-CZ"/>
        </w:rPr>
        <w:t xml:space="preserve"> Akčního plánu: 2.2, 2.3, 2.4, 2.5, 2.6, 2.7, 2.8, 2.9 a 2.14.</w:t>
      </w:r>
    </w:p>
    <w:p w14:paraId="0B269511" w14:textId="5DEC6024" w:rsidR="00CB1C8A" w:rsidRPr="00A05C1B" w:rsidRDefault="00742C5E" w:rsidP="00E65C84">
      <w:pPr>
        <w:spacing w:line="312" w:lineRule="auto"/>
        <w:ind w:left="426"/>
        <w:jc w:val="both"/>
        <w:rPr>
          <w:rFonts w:ascii="Arial" w:eastAsia="Times New Roman" w:hAnsi="Arial" w:cs="Arial"/>
          <w:bCs/>
          <w:lang w:eastAsia="cs-CZ"/>
        </w:rPr>
      </w:pPr>
      <w:r w:rsidRPr="00742C5E">
        <w:rPr>
          <w:rFonts w:ascii="Arial" w:eastAsia="Times New Roman" w:hAnsi="Arial" w:cs="Arial"/>
          <w:bCs/>
          <w:color w:val="auto"/>
          <w:lang w:eastAsia="cs-CZ"/>
        </w:rPr>
        <w:t>Byly připraveny první návrhy textu jednotlivých kapitol Metodické pracovní pomůcky. Práce na některých částech Metodické pracovní pomůcce byla dočasně přerušena</w:t>
      </w:r>
      <w:r w:rsidR="00CB1C8A" w:rsidRPr="00CB1C8A">
        <w:rPr>
          <w:rFonts w:ascii="Arial" w:eastAsia="Times New Roman" w:hAnsi="Arial" w:cs="Arial"/>
          <w:bCs/>
          <w:color w:val="auto"/>
          <w:lang w:eastAsia="cs-CZ"/>
        </w:rPr>
        <w:t>, jelikož v současnosti se nachází v</w:t>
      </w:r>
      <w:r w:rsidR="00450CE1">
        <w:rPr>
          <w:rFonts w:ascii="Arial" w:eastAsia="Times New Roman" w:hAnsi="Arial" w:cs="Arial"/>
          <w:bCs/>
          <w:color w:val="auto"/>
          <w:lang w:eastAsia="cs-CZ"/>
        </w:rPr>
        <w:t xml:space="preserve"> legislativním </w:t>
      </w:r>
      <w:r w:rsidR="00CB1C8A" w:rsidRPr="00CB1C8A">
        <w:rPr>
          <w:rFonts w:ascii="Arial" w:eastAsia="Times New Roman" w:hAnsi="Arial" w:cs="Arial"/>
          <w:bCs/>
          <w:color w:val="auto"/>
          <w:lang w:eastAsia="cs-CZ"/>
        </w:rPr>
        <w:t>procesu poslanecký návrh novely zákona č.</w:t>
      </w:r>
      <w:r w:rsidR="00EB7BE2">
        <w:rPr>
          <w:rFonts w:ascii="Arial" w:eastAsia="Times New Roman" w:hAnsi="Arial" w:cs="Arial"/>
          <w:bCs/>
          <w:color w:val="auto"/>
          <w:lang w:eastAsia="cs-CZ"/>
        </w:rPr>
        <w:t> </w:t>
      </w:r>
      <w:r w:rsidR="00CB1C8A" w:rsidRPr="00CB1C8A">
        <w:rPr>
          <w:rFonts w:ascii="Arial" w:eastAsia="Times New Roman" w:hAnsi="Arial" w:cs="Arial"/>
          <w:bCs/>
          <w:color w:val="auto"/>
          <w:lang w:eastAsia="cs-CZ"/>
        </w:rPr>
        <w:t>416/2009 Sb.,</w:t>
      </w:r>
      <w:r w:rsidR="00CB1C8A" w:rsidRPr="00CB1C8A">
        <w:rPr>
          <w:rFonts w:ascii="Arial" w:eastAsia="Times New Roman" w:hAnsi="Arial" w:cs="Arial"/>
          <w:color w:val="auto"/>
          <w:lang w:eastAsia="cs-CZ"/>
        </w:rPr>
        <w:t xml:space="preserve"> </w:t>
      </w:r>
      <w:r w:rsidR="00CB1C8A" w:rsidRPr="00CB1C8A">
        <w:rPr>
          <w:rFonts w:ascii="Arial" w:eastAsia="Times New Roman" w:hAnsi="Arial" w:cs="Arial"/>
          <w:bCs/>
          <w:color w:val="auto"/>
          <w:lang w:eastAsia="cs-CZ"/>
        </w:rPr>
        <w:t>o</w:t>
      </w:r>
      <w:r w:rsidR="00CB1C8A" w:rsidRPr="00CB1C8A">
        <w:rPr>
          <w:rFonts w:ascii="Arial" w:eastAsia="Times New Roman" w:hAnsi="Arial" w:cs="Arial"/>
          <w:color w:val="auto"/>
          <w:lang w:eastAsia="cs-CZ"/>
        </w:rPr>
        <w:t> </w:t>
      </w:r>
      <w:r w:rsidR="00CB1C8A" w:rsidRPr="00CB1C8A">
        <w:rPr>
          <w:rFonts w:ascii="Arial" w:eastAsia="Times New Roman" w:hAnsi="Arial" w:cs="Arial"/>
          <w:bCs/>
          <w:color w:val="auto"/>
          <w:lang w:eastAsia="cs-CZ"/>
        </w:rPr>
        <w:t>urychlení výstavby dopravní, vodní</w:t>
      </w:r>
      <w:r w:rsidR="00EB7BE2">
        <w:rPr>
          <w:rFonts w:ascii="Arial" w:eastAsia="Times New Roman" w:hAnsi="Arial" w:cs="Arial"/>
          <w:bCs/>
          <w:color w:val="auto"/>
          <w:lang w:eastAsia="cs-CZ"/>
        </w:rPr>
        <w:t xml:space="preserve"> a energetické infrastruktury a </w:t>
      </w:r>
      <w:r w:rsidR="00CB1C8A" w:rsidRPr="00CB1C8A">
        <w:rPr>
          <w:rFonts w:ascii="Arial" w:eastAsia="Times New Roman" w:hAnsi="Arial" w:cs="Arial"/>
          <w:bCs/>
          <w:color w:val="auto"/>
          <w:lang w:eastAsia="cs-CZ"/>
        </w:rPr>
        <w:t xml:space="preserve">infrastruktury elektronických komunikací, (sněmovní tisk č. 76). V případě přijetí </w:t>
      </w:r>
      <w:r w:rsidR="006A0AC0">
        <w:rPr>
          <w:rFonts w:ascii="Arial" w:eastAsia="Times New Roman" w:hAnsi="Arial" w:cs="Arial"/>
          <w:bCs/>
          <w:color w:val="auto"/>
          <w:lang w:eastAsia="cs-CZ"/>
        </w:rPr>
        <w:t xml:space="preserve">některých pozměňovacích návrhů by </w:t>
      </w:r>
      <w:r w:rsidR="00CB1C8A" w:rsidRPr="00CB1C8A">
        <w:rPr>
          <w:rFonts w:ascii="Arial" w:eastAsia="Times New Roman" w:hAnsi="Arial" w:cs="Arial"/>
          <w:bCs/>
          <w:color w:val="auto"/>
          <w:lang w:eastAsia="cs-CZ"/>
        </w:rPr>
        <w:t xml:space="preserve">tento </w:t>
      </w:r>
      <w:r w:rsidR="006A0AC0">
        <w:rPr>
          <w:rFonts w:ascii="Arial" w:eastAsia="Times New Roman" w:hAnsi="Arial" w:cs="Arial"/>
          <w:bCs/>
          <w:color w:val="auto"/>
          <w:lang w:eastAsia="cs-CZ"/>
        </w:rPr>
        <w:t xml:space="preserve">zákon </w:t>
      </w:r>
      <w:r w:rsidR="00CB1C8A" w:rsidRPr="00CB1C8A">
        <w:rPr>
          <w:rFonts w:ascii="Arial" w:eastAsia="Times New Roman" w:hAnsi="Arial" w:cs="Arial"/>
          <w:bCs/>
          <w:color w:val="auto"/>
          <w:lang w:eastAsia="cs-CZ"/>
        </w:rPr>
        <w:t>významným způsobem zasáh</w:t>
      </w:r>
      <w:r w:rsidR="006A0AC0">
        <w:rPr>
          <w:rFonts w:ascii="Arial" w:eastAsia="Times New Roman" w:hAnsi="Arial" w:cs="Arial"/>
          <w:bCs/>
          <w:color w:val="auto"/>
          <w:lang w:eastAsia="cs-CZ"/>
        </w:rPr>
        <w:t xml:space="preserve">l </w:t>
      </w:r>
      <w:r w:rsidR="00CB1C8A" w:rsidRPr="00CB1C8A">
        <w:rPr>
          <w:rFonts w:ascii="Arial" w:eastAsia="Times New Roman" w:hAnsi="Arial" w:cs="Arial"/>
          <w:bCs/>
          <w:color w:val="auto"/>
          <w:lang w:eastAsia="cs-CZ"/>
        </w:rPr>
        <w:t>do pravidel pro výstavbu sítí elektronických komunikací.</w:t>
      </w:r>
      <w:r w:rsidR="00CB1C8A" w:rsidRPr="00A05C1B">
        <w:rPr>
          <w:rFonts w:ascii="Arial" w:eastAsia="Times New Roman" w:hAnsi="Arial" w:cs="Arial"/>
          <w:bCs/>
          <w:lang w:eastAsia="cs-CZ"/>
        </w:rPr>
        <w:t xml:space="preserve"> </w:t>
      </w:r>
      <w:r w:rsidR="00A05C1B" w:rsidRPr="00A05C1B">
        <w:rPr>
          <w:rFonts w:ascii="Arial" w:hAnsi="Arial" w:cs="Arial"/>
        </w:rPr>
        <w:t xml:space="preserve">Poslanecká sněmovna </w:t>
      </w:r>
      <w:r w:rsidR="00A05C1B" w:rsidRPr="00A05C1B">
        <w:rPr>
          <w:rFonts w:ascii="Arial" w:hAnsi="Arial" w:cs="Arial"/>
          <w:bCs/>
        </w:rPr>
        <w:t>postoupila</w:t>
      </w:r>
      <w:r w:rsidR="00A05C1B" w:rsidRPr="00A05C1B">
        <w:rPr>
          <w:rFonts w:ascii="Arial" w:hAnsi="Arial" w:cs="Arial"/>
        </w:rPr>
        <w:t xml:space="preserve"> dne 2. 7. 2018 návrh zákona Senátu jako tisk </w:t>
      </w:r>
      <w:hyperlink r:id="rId8" w:history="1">
        <w:r w:rsidR="00A05C1B" w:rsidRPr="00A05C1B">
          <w:rPr>
            <w:rFonts w:ascii="Arial" w:hAnsi="Arial" w:cs="Arial"/>
            <w:bCs/>
          </w:rPr>
          <w:t>304/0</w:t>
        </w:r>
      </w:hyperlink>
      <w:r w:rsidR="00A05C1B" w:rsidRPr="00A05C1B">
        <w:rPr>
          <w:rFonts w:ascii="Arial" w:hAnsi="Arial" w:cs="Arial"/>
        </w:rPr>
        <w:t>.</w:t>
      </w:r>
    </w:p>
    <w:p w14:paraId="2E63471F" w14:textId="7D6A12AD" w:rsidR="009663B1" w:rsidRDefault="00742C5E" w:rsidP="00E75355">
      <w:pPr>
        <w:spacing w:line="312" w:lineRule="auto"/>
        <w:ind w:left="426"/>
        <w:jc w:val="both"/>
        <w:rPr>
          <w:rFonts w:ascii="Arial" w:eastAsia="Times New Roman" w:hAnsi="Arial" w:cs="Arial"/>
          <w:bCs/>
          <w:color w:val="auto"/>
          <w:lang w:eastAsia="cs-CZ"/>
        </w:rPr>
      </w:pPr>
      <w:r>
        <w:rPr>
          <w:rFonts w:ascii="Arial" w:eastAsia="Times New Roman" w:hAnsi="Arial" w:cs="Arial"/>
          <w:bCs/>
          <w:color w:val="auto"/>
          <w:lang w:eastAsia="cs-CZ"/>
        </w:rPr>
        <w:t xml:space="preserve">S ohledem na diskuzi o případných </w:t>
      </w:r>
      <w:r w:rsidRPr="00BA0461">
        <w:rPr>
          <w:rFonts w:ascii="Arial" w:eastAsia="Times New Roman" w:hAnsi="Arial" w:cs="Arial"/>
          <w:bCs/>
          <w:color w:val="auto"/>
          <w:lang w:eastAsia="cs-CZ"/>
        </w:rPr>
        <w:t>koncepčních změn</w:t>
      </w:r>
      <w:r>
        <w:rPr>
          <w:rFonts w:ascii="Arial" w:eastAsia="Times New Roman" w:hAnsi="Arial" w:cs="Arial"/>
          <w:bCs/>
          <w:color w:val="auto"/>
          <w:lang w:eastAsia="cs-CZ"/>
        </w:rPr>
        <w:t>ách</w:t>
      </w:r>
      <w:r w:rsidRPr="00BA0461">
        <w:rPr>
          <w:rFonts w:ascii="Arial" w:eastAsia="Times New Roman" w:hAnsi="Arial" w:cs="Arial"/>
          <w:bCs/>
          <w:color w:val="auto"/>
          <w:lang w:eastAsia="cs-CZ"/>
        </w:rPr>
        <w:t xml:space="preserve">, které </w:t>
      </w:r>
      <w:r w:rsidR="0053441F">
        <w:rPr>
          <w:rFonts w:ascii="Arial" w:eastAsia="Times New Roman" w:hAnsi="Arial" w:cs="Arial"/>
          <w:bCs/>
          <w:color w:val="auto"/>
          <w:lang w:eastAsia="cs-CZ"/>
        </w:rPr>
        <w:t>by vedly</w:t>
      </w:r>
      <w:r w:rsidRPr="00BA0461">
        <w:rPr>
          <w:rFonts w:ascii="Arial" w:eastAsia="Times New Roman" w:hAnsi="Arial" w:cs="Arial"/>
          <w:bCs/>
          <w:color w:val="auto"/>
          <w:lang w:eastAsia="cs-CZ"/>
        </w:rPr>
        <w:t xml:space="preserve"> k výraznému urychlení výstavby dopravní, vodní a energetické infrastruktury a infrastruktury elektronických komunikací</w:t>
      </w:r>
      <w:r w:rsidR="0053441F">
        <w:rPr>
          <w:rFonts w:ascii="Arial" w:eastAsia="Times New Roman" w:hAnsi="Arial" w:cs="Arial"/>
          <w:bCs/>
          <w:color w:val="auto"/>
          <w:lang w:eastAsia="cs-CZ"/>
        </w:rPr>
        <w:t>,</w:t>
      </w:r>
      <w:r w:rsidR="00EF7A15" w:rsidRPr="00742C5E">
        <w:rPr>
          <w:rFonts w:ascii="Arial" w:eastAsia="Times New Roman" w:hAnsi="Arial" w:cs="Arial"/>
          <w:bCs/>
          <w:color w:val="auto"/>
          <w:lang w:eastAsia="cs-CZ"/>
        </w:rPr>
        <w:t xml:space="preserve"> </w:t>
      </w:r>
      <w:r w:rsidR="00EF7A15">
        <w:rPr>
          <w:rFonts w:ascii="Arial" w:eastAsia="Times New Roman" w:hAnsi="Arial" w:cs="Arial"/>
          <w:bCs/>
          <w:color w:val="auto"/>
          <w:lang w:eastAsia="cs-CZ"/>
        </w:rPr>
        <w:t xml:space="preserve">MPO společně s ČTÚ a Platformou </w:t>
      </w:r>
      <w:r w:rsidR="00183C1E">
        <w:rPr>
          <w:rFonts w:ascii="Arial" w:eastAsia="Times New Roman" w:hAnsi="Arial" w:cs="Arial"/>
          <w:bCs/>
          <w:color w:val="auto"/>
          <w:lang w:eastAsia="cs-CZ"/>
        </w:rPr>
        <w:t>vymezil</w:t>
      </w:r>
      <w:r w:rsidR="009663B1">
        <w:rPr>
          <w:rFonts w:ascii="Arial" w:eastAsia="Times New Roman" w:hAnsi="Arial" w:cs="Arial"/>
          <w:bCs/>
          <w:color w:val="auto"/>
          <w:lang w:eastAsia="cs-CZ"/>
        </w:rPr>
        <w:t>y</w:t>
      </w:r>
      <w:r w:rsidR="00183C1E">
        <w:rPr>
          <w:rFonts w:ascii="Arial" w:eastAsia="Times New Roman" w:hAnsi="Arial" w:cs="Arial"/>
          <w:bCs/>
          <w:color w:val="auto"/>
          <w:lang w:eastAsia="cs-CZ"/>
        </w:rPr>
        <w:t xml:space="preserve"> </w:t>
      </w:r>
      <w:r w:rsidR="0053441F">
        <w:rPr>
          <w:rFonts w:ascii="Arial" w:eastAsia="Times New Roman" w:hAnsi="Arial" w:cs="Arial"/>
          <w:bCs/>
          <w:color w:val="auto"/>
          <w:lang w:eastAsia="cs-CZ"/>
        </w:rPr>
        <w:t xml:space="preserve">prvotní </w:t>
      </w:r>
      <w:r w:rsidR="001E1176">
        <w:rPr>
          <w:rFonts w:ascii="Arial" w:eastAsia="Times New Roman" w:hAnsi="Arial" w:cs="Arial"/>
          <w:bCs/>
          <w:color w:val="auto"/>
          <w:lang w:eastAsia="cs-CZ"/>
        </w:rPr>
        <w:t xml:space="preserve">okruh </w:t>
      </w:r>
      <w:r w:rsidR="00214137">
        <w:rPr>
          <w:rFonts w:ascii="Arial" w:eastAsia="Times New Roman" w:hAnsi="Arial" w:cs="Arial"/>
          <w:bCs/>
          <w:color w:val="auto"/>
          <w:lang w:eastAsia="cs-CZ"/>
        </w:rPr>
        <w:t>takovýchto koncepčních změn, které mají relevanci k</w:t>
      </w:r>
      <w:r w:rsidR="009663B1">
        <w:rPr>
          <w:rFonts w:ascii="Arial" w:eastAsia="Times New Roman" w:hAnsi="Arial" w:cs="Arial"/>
          <w:bCs/>
          <w:color w:val="auto"/>
          <w:lang w:eastAsia="cs-CZ"/>
        </w:rPr>
        <w:t xml:space="preserve"> výstavbě sítí elektronických komunikací. </w:t>
      </w:r>
    </w:p>
    <w:p w14:paraId="399DD960" w14:textId="77777777" w:rsidR="009663B1" w:rsidRDefault="009663B1" w:rsidP="00BA0461">
      <w:pPr>
        <w:spacing w:line="312" w:lineRule="auto"/>
        <w:ind w:left="426"/>
        <w:jc w:val="both"/>
        <w:rPr>
          <w:rFonts w:ascii="Arial" w:eastAsia="Times New Roman" w:hAnsi="Arial" w:cs="Arial"/>
          <w:bCs/>
          <w:color w:val="auto"/>
          <w:lang w:eastAsia="cs-CZ"/>
        </w:rPr>
      </w:pPr>
    </w:p>
    <w:p w14:paraId="1B24DA8A" w14:textId="77777777" w:rsidR="00CB1C8A" w:rsidRPr="00CB1C8A" w:rsidRDefault="00CB1C8A" w:rsidP="00E65C84">
      <w:pPr>
        <w:numPr>
          <w:ilvl w:val="0"/>
          <w:numId w:val="38"/>
        </w:numPr>
        <w:spacing w:after="0" w:line="312" w:lineRule="auto"/>
        <w:ind w:left="426"/>
        <w:contextualSpacing/>
        <w:jc w:val="both"/>
        <w:rPr>
          <w:rFonts w:ascii="Arial" w:eastAsia="Calibri" w:hAnsi="Arial" w:cs="Arial"/>
          <w:bCs/>
          <w:color w:val="000000"/>
        </w:rPr>
      </w:pPr>
      <w:r w:rsidRPr="00CB1C8A">
        <w:rPr>
          <w:rFonts w:ascii="Arial" w:eastAsia="Calibri" w:hAnsi="Arial" w:cs="Arial"/>
          <w:bCs/>
          <w:color w:val="000000"/>
        </w:rPr>
        <w:t>Řešení vybraných problémů v oblasti správy kmitočtového spektra</w:t>
      </w:r>
    </w:p>
    <w:p w14:paraId="6FE0B2DA"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 xml:space="preserve">Opatření č. 2.13 Akčního plánu </w:t>
      </w:r>
      <w:r w:rsidR="006A0AC0">
        <w:rPr>
          <w:rFonts w:ascii="Arial" w:eastAsia="Times New Roman" w:hAnsi="Arial" w:cs="Arial"/>
          <w:bCs/>
          <w:color w:val="auto"/>
          <w:u w:val="single"/>
          <w:lang w:eastAsia="cs-CZ"/>
        </w:rPr>
        <w:t>„</w:t>
      </w:r>
      <w:r w:rsidRPr="00CB1C8A">
        <w:rPr>
          <w:rFonts w:ascii="Arial" w:eastAsia="Times New Roman" w:hAnsi="Arial" w:cs="Arial"/>
          <w:bCs/>
          <w:color w:val="auto"/>
          <w:u w:val="single"/>
          <w:lang w:eastAsia="cs-CZ"/>
        </w:rPr>
        <w:t>Aktualizace plánu využití rádiového spektra</w:t>
      </w:r>
      <w:r w:rsidR="006A0AC0">
        <w:rPr>
          <w:rFonts w:ascii="Arial" w:eastAsia="Times New Roman" w:hAnsi="Arial" w:cs="Arial"/>
          <w:bCs/>
          <w:color w:val="auto"/>
          <w:u w:val="single"/>
          <w:lang w:eastAsia="cs-CZ"/>
        </w:rPr>
        <w:t>“</w:t>
      </w:r>
    </w:p>
    <w:p w14:paraId="1A3A436B" w14:textId="695B7B3E" w:rsidR="00CB1C8A" w:rsidRPr="00CB1C8A" w:rsidRDefault="00CB1C8A" w:rsidP="00E65C84">
      <w:pPr>
        <w:spacing w:line="312" w:lineRule="auto"/>
        <w:ind w:left="426"/>
        <w:jc w:val="both"/>
        <w:rPr>
          <w:rFonts w:ascii="Arial" w:eastAsia="Times New Roman" w:hAnsi="Arial" w:cs="Arial"/>
          <w:bCs/>
          <w:color w:val="auto"/>
          <w:lang w:eastAsia="cs-CZ"/>
        </w:rPr>
      </w:pPr>
      <w:r w:rsidRPr="00CB1C8A">
        <w:rPr>
          <w:rFonts w:ascii="Arial" w:eastAsia="Times New Roman" w:hAnsi="Arial" w:cs="Arial"/>
          <w:bCs/>
          <w:color w:val="auto"/>
          <w:lang w:eastAsia="cs-CZ"/>
        </w:rPr>
        <w:t xml:space="preserve">Pro zavedení širokých rádiových kanálů </w:t>
      </w:r>
      <w:r w:rsidR="00061D18">
        <w:rPr>
          <w:rFonts w:ascii="Arial" w:eastAsia="Times New Roman" w:hAnsi="Arial" w:cs="Arial"/>
          <w:bCs/>
          <w:color w:val="auto"/>
          <w:lang w:eastAsia="cs-CZ"/>
        </w:rPr>
        <w:t>ČTÚ</w:t>
      </w:r>
      <w:r w:rsidRPr="00CB1C8A">
        <w:rPr>
          <w:rFonts w:ascii="Arial" w:eastAsia="Times New Roman" w:hAnsi="Arial" w:cs="Arial"/>
          <w:bCs/>
          <w:color w:val="auto"/>
          <w:lang w:eastAsia="cs-CZ"/>
        </w:rPr>
        <w:t xml:space="preserve"> vydal následující dokumenty regulující část</w:t>
      </w:r>
      <w:r w:rsidR="00E82801">
        <w:rPr>
          <w:rFonts w:ascii="Arial" w:eastAsia="Times New Roman" w:hAnsi="Arial" w:cs="Arial"/>
          <w:bCs/>
          <w:color w:val="auto"/>
          <w:lang w:eastAsia="cs-CZ"/>
        </w:rPr>
        <w:t>i</w:t>
      </w:r>
      <w:r w:rsidRPr="00CB1C8A">
        <w:rPr>
          <w:rFonts w:ascii="Arial" w:eastAsia="Times New Roman" w:hAnsi="Arial" w:cs="Arial"/>
          <w:bCs/>
          <w:color w:val="auto"/>
          <w:lang w:eastAsia="cs-CZ"/>
        </w:rPr>
        <w:t xml:space="preserve"> plánu využití rádiového spektra:</w:t>
      </w:r>
    </w:p>
    <w:p w14:paraId="48391AD7" w14:textId="0222AC6F" w:rsidR="00CB1C8A" w:rsidRPr="00CB1C8A" w:rsidRDefault="00CB1C8A" w:rsidP="00450CE1">
      <w:pPr>
        <w:numPr>
          <w:ilvl w:val="0"/>
          <w:numId w:val="39"/>
        </w:numPr>
        <w:spacing w:after="0" w:line="312" w:lineRule="auto"/>
        <w:ind w:left="1145" w:hanging="357"/>
        <w:contextualSpacing/>
        <w:jc w:val="both"/>
        <w:rPr>
          <w:rFonts w:ascii="Arial" w:eastAsia="Calibri" w:hAnsi="Arial" w:cs="Arial"/>
          <w:bCs/>
          <w:color w:val="000000"/>
        </w:rPr>
      </w:pPr>
      <w:r w:rsidRPr="00CB1C8A">
        <w:rPr>
          <w:rFonts w:ascii="Arial" w:eastAsia="Calibri" w:hAnsi="Arial" w:cs="Arial"/>
          <w:bCs/>
          <w:color w:val="000000"/>
        </w:rPr>
        <w:t>Opatření obecné povahy, části plánu využití rádiového spektra č. PV-P/19/12.2017-11 pro kmitočtové pásmo 5,925–10 GHz (čj. ČTÚ-62 841/2017-619)</w:t>
      </w:r>
      <w:r w:rsidR="00C90FA6">
        <w:rPr>
          <w:rFonts w:ascii="Arial" w:eastAsia="Calibri" w:hAnsi="Arial" w:cs="Arial"/>
          <w:bCs/>
          <w:color w:val="000000"/>
        </w:rPr>
        <w:t>,</w:t>
      </w:r>
    </w:p>
    <w:p w14:paraId="51C78212" w14:textId="7593F839" w:rsidR="00CB1C8A" w:rsidRDefault="00CB1C8A" w:rsidP="00450CE1">
      <w:pPr>
        <w:numPr>
          <w:ilvl w:val="0"/>
          <w:numId w:val="39"/>
        </w:numPr>
        <w:spacing w:line="312" w:lineRule="auto"/>
        <w:ind w:left="1145" w:hanging="357"/>
        <w:contextualSpacing/>
        <w:jc w:val="both"/>
        <w:rPr>
          <w:rFonts w:ascii="Arial" w:eastAsia="Calibri" w:hAnsi="Arial" w:cs="Arial"/>
          <w:bCs/>
          <w:color w:val="000000"/>
        </w:rPr>
      </w:pPr>
      <w:r w:rsidRPr="00CB1C8A">
        <w:rPr>
          <w:rFonts w:ascii="Arial" w:eastAsia="Calibri" w:hAnsi="Arial" w:cs="Arial"/>
          <w:bCs/>
          <w:color w:val="000000"/>
        </w:rPr>
        <w:t>Opatření obecné povahy, části plánu využití rádiového spektra č. PV-P/18/01.2018-1 pro kmitočtové pásmo 12,5–14,5 GHz (čj. ČTÚ-70 833/2017-619)</w:t>
      </w:r>
      <w:r w:rsidR="00C90FA6">
        <w:rPr>
          <w:rFonts w:ascii="Arial" w:eastAsia="Calibri" w:hAnsi="Arial" w:cs="Arial"/>
          <w:bCs/>
          <w:color w:val="000000"/>
        </w:rPr>
        <w:t>,</w:t>
      </w:r>
    </w:p>
    <w:p w14:paraId="01EA4E47" w14:textId="69871D99" w:rsidR="00C90FA6" w:rsidRDefault="00C90FA6" w:rsidP="00450CE1">
      <w:pPr>
        <w:numPr>
          <w:ilvl w:val="0"/>
          <w:numId w:val="39"/>
        </w:numPr>
        <w:spacing w:line="312" w:lineRule="auto"/>
        <w:contextualSpacing/>
        <w:jc w:val="both"/>
        <w:rPr>
          <w:rFonts w:ascii="Arial" w:eastAsia="Times New Roman" w:hAnsi="Arial" w:cs="Arial"/>
          <w:bCs/>
          <w:color w:val="auto"/>
          <w:lang w:eastAsia="cs-CZ"/>
        </w:rPr>
      </w:pPr>
      <w:r w:rsidRPr="00C90FA6">
        <w:rPr>
          <w:rFonts w:ascii="Arial" w:eastAsia="Calibri" w:hAnsi="Arial" w:cs="Arial"/>
          <w:bCs/>
          <w:color w:val="000000"/>
        </w:rPr>
        <w:t>Opatření</w:t>
      </w:r>
      <w:r w:rsidRPr="00BA0461">
        <w:rPr>
          <w:rFonts w:ascii="Arial" w:hAnsi="Arial"/>
          <w:color w:val="000000"/>
        </w:rPr>
        <w:t xml:space="preserve"> </w:t>
      </w:r>
      <w:r w:rsidR="00CB1C8A" w:rsidRPr="00C90FA6">
        <w:rPr>
          <w:rFonts w:ascii="Arial" w:eastAsia="Times New Roman" w:hAnsi="Arial" w:cs="Arial"/>
          <w:bCs/>
          <w:color w:val="auto"/>
          <w:lang w:eastAsia="cs-CZ"/>
        </w:rPr>
        <w:t>obecné povahy, části plánu využití rádiového spektra č. PV-P/16/</w:t>
      </w:r>
      <w:r w:rsidRPr="00C90FA6">
        <w:rPr>
          <w:rFonts w:ascii="Arial" w:eastAsia="Times New Roman" w:hAnsi="Arial" w:cs="Arial"/>
          <w:bCs/>
          <w:color w:val="auto"/>
          <w:lang w:eastAsia="cs-CZ"/>
        </w:rPr>
        <w:t>04</w:t>
      </w:r>
      <w:r w:rsidR="00CB1C8A" w:rsidRPr="00C90FA6">
        <w:rPr>
          <w:rFonts w:ascii="Arial" w:eastAsia="Times New Roman" w:hAnsi="Arial" w:cs="Arial"/>
          <w:bCs/>
          <w:color w:val="auto"/>
          <w:lang w:eastAsia="cs-CZ"/>
        </w:rPr>
        <w:t>.2018-</w:t>
      </w:r>
      <w:r w:rsidRPr="00C90FA6">
        <w:rPr>
          <w:rFonts w:ascii="Arial" w:eastAsia="Times New Roman" w:hAnsi="Arial" w:cs="Arial"/>
          <w:bCs/>
          <w:color w:val="auto"/>
          <w:lang w:eastAsia="cs-CZ"/>
        </w:rPr>
        <w:t>4</w:t>
      </w:r>
      <w:r w:rsidR="00CB1C8A" w:rsidRPr="00C90FA6">
        <w:rPr>
          <w:rFonts w:ascii="Arial" w:eastAsia="Times New Roman" w:hAnsi="Arial" w:cs="Arial"/>
          <w:bCs/>
          <w:color w:val="auto"/>
          <w:lang w:eastAsia="cs-CZ"/>
        </w:rPr>
        <w:t xml:space="preserve"> pro kmitočtové pásmo 21,2–24,25 GHz (čj. </w:t>
      </w:r>
      <w:r w:rsidRPr="00C90FA6">
        <w:rPr>
          <w:rFonts w:ascii="Arial" w:eastAsia="Times New Roman" w:hAnsi="Arial" w:cs="Arial"/>
          <w:bCs/>
          <w:color w:val="auto"/>
          <w:lang w:eastAsia="cs-CZ"/>
        </w:rPr>
        <w:t>ČTÚ-5740/2018-619</w:t>
      </w:r>
      <w:r>
        <w:rPr>
          <w:rFonts w:ascii="Arial" w:eastAsia="Times New Roman" w:hAnsi="Arial" w:cs="Arial"/>
          <w:bCs/>
          <w:color w:val="auto"/>
          <w:lang w:eastAsia="cs-CZ"/>
        </w:rPr>
        <w:t>).</w:t>
      </w:r>
    </w:p>
    <w:p w14:paraId="28ACC32D" w14:textId="77777777" w:rsidR="00450CE1" w:rsidRPr="00C90FA6" w:rsidRDefault="00450CE1" w:rsidP="00450CE1">
      <w:pPr>
        <w:spacing w:line="312" w:lineRule="auto"/>
        <w:ind w:left="1146"/>
        <w:contextualSpacing/>
        <w:jc w:val="both"/>
        <w:rPr>
          <w:rFonts w:ascii="Arial" w:eastAsia="Times New Roman" w:hAnsi="Arial" w:cs="Arial"/>
          <w:bCs/>
          <w:color w:val="auto"/>
          <w:lang w:eastAsia="cs-CZ"/>
        </w:rPr>
      </w:pPr>
    </w:p>
    <w:p w14:paraId="3E92789E"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3.2 Akčního plánu "Poplatky za využívání rádiových kmitočtů"</w:t>
      </w:r>
    </w:p>
    <w:p w14:paraId="142A0A43" w14:textId="06C8697F" w:rsidR="00CB1C8A" w:rsidRDefault="00054AC3" w:rsidP="00450CE1">
      <w:pPr>
        <w:spacing w:line="312" w:lineRule="auto"/>
        <w:ind w:left="426"/>
        <w:jc w:val="both"/>
        <w:rPr>
          <w:rFonts w:ascii="Arial" w:eastAsia="Times New Roman" w:hAnsi="Arial" w:cs="Arial"/>
          <w:bCs/>
          <w:color w:val="auto"/>
          <w:lang w:eastAsia="cs-CZ"/>
        </w:rPr>
      </w:pPr>
      <w:r>
        <w:rPr>
          <w:rFonts w:ascii="Arial" w:eastAsia="Times New Roman" w:hAnsi="Arial" w:cs="Arial"/>
          <w:bCs/>
          <w:color w:val="auto"/>
          <w:lang w:eastAsia="cs-CZ"/>
        </w:rPr>
        <w:t xml:space="preserve">Vláda usnesením </w:t>
      </w:r>
      <w:r w:rsidRPr="00054AC3">
        <w:rPr>
          <w:rFonts w:ascii="Arial" w:eastAsia="Times New Roman" w:hAnsi="Arial" w:cs="Arial"/>
          <w:bCs/>
          <w:color w:val="auto"/>
          <w:lang w:eastAsia="cs-CZ"/>
        </w:rPr>
        <w:t>ze dne 13. června 2018 č. 367</w:t>
      </w:r>
      <w:r>
        <w:rPr>
          <w:rFonts w:ascii="Arial" w:eastAsia="Times New Roman" w:hAnsi="Arial" w:cs="Arial"/>
          <w:bCs/>
          <w:color w:val="auto"/>
          <w:lang w:eastAsia="cs-CZ"/>
        </w:rPr>
        <w:t xml:space="preserve"> schválila </w:t>
      </w:r>
      <w:r w:rsidR="004F6124">
        <w:rPr>
          <w:rFonts w:ascii="Arial" w:eastAsia="Times New Roman" w:hAnsi="Arial" w:cs="Arial"/>
          <w:bCs/>
          <w:color w:val="auto"/>
          <w:lang w:eastAsia="cs-CZ"/>
        </w:rPr>
        <w:t xml:space="preserve">návrh </w:t>
      </w:r>
      <w:r>
        <w:rPr>
          <w:rFonts w:ascii="Arial" w:eastAsia="Times New Roman" w:hAnsi="Arial" w:cs="Arial"/>
          <w:bCs/>
          <w:color w:val="auto"/>
          <w:lang w:eastAsia="cs-CZ"/>
        </w:rPr>
        <w:t>nařízení</w:t>
      </w:r>
      <w:r w:rsidR="004F6124">
        <w:rPr>
          <w:rFonts w:ascii="Arial" w:eastAsia="Times New Roman" w:hAnsi="Arial" w:cs="Arial"/>
          <w:bCs/>
          <w:color w:val="auto"/>
          <w:lang w:eastAsia="cs-CZ"/>
        </w:rPr>
        <w:t xml:space="preserve"> vlády</w:t>
      </w:r>
      <w:r w:rsidRPr="00054AC3">
        <w:rPr>
          <w:rFonts w:ascii="Arial" w:eastAsia="Times New Roman" w:hAnsi="Arial" w:cs="Arial"/>
          <w:bCs/>
          <w:color w:val="auto"/>
          <w:lang w:eastAsia="cs-CZ"/>
        </w:rPr>
        <w:t>, kterým se mění nařízení vlády č. 154/2005 Sb., o stanovení výše a způsobu výpočtu poplatků za využívání rádiových kmitočtů a čísel, ve znění pozdějších předpisů</w:t>
      </w:r>
      <w:r>
        <w:rPr>
          <w:rFonts w:ascii="Arial" w:eastAsia="Times New Roman" w:hAnsi="Arial" w:cs="Arial"/>
          <w:bCs/>
          <w:color w:val="auto"/>
          <w:lang w:eastAsia="cs-CZ"/>
        </w:rPr>
        <w:t xml:space="preserve">. </w:t>
      </w:r>
      <w:r w:rsidR="0053441F">
        <w:rPr>
          <w:rFonts w:ascii="Arial" w:eastAsia="Times New Roman" w:hAnsi="Arial" w:cs="Arial"/>
          <w:bCs/>
          <w:color w:val="auto"/>
          <w:lang w:eastAsia="cs-CZ"/>
        </w:rPr>
        <w:t>Nařízení vlády nabyde účinnosti</w:t>
      </w:r>
      <w:r>
        <w:rPr>
          <w:rFonts w:ascii="Arial" w:eastAsia="Times New Roman" w:hAnsi="Arial" w:cs="Arial"/>
          <w:bCs/>
          <w:color w:val="auto"/>
          <w:lang w:eastAsia="cs-CZ"/>
        </w:rPr>
        <w:t xml:space="preserve"> dne 1. </w:t>
      </w:r>
      <w:r w:rsidR="007A5041">
        <w:rPr>
          <w:rFonts w:ascii="Arial" w:eastAsia="Times New Roman" w:hAnsi="Arial" w:cs="Arial"/>
          <w:bCs/>
          <w:color w:val="auto"/>
          <w:lang w:eastAsia="cs-CZ"/>
        </w:rPr>
        <w:t>z</w:t>
      </w:r>
      <w:r>
        <w:rPr>
          <w:rFonts w:ascii="Arial" w:eastAsia="Times New Roman" w:hAnsi="Arial" w:cs="Arial"/>
          <w:bCs/>
          <w:color w:val="auto"/>
          <w:lang w:eastAsia="cs-CZ"/>
        </w:rPr>
        <w:t>áří 2018</w:t>
      </w:r>
      <w:r w:rsidR="00CB1C8A" w:rsidRPr="00CB1C8A">
        <w:rPr>
          <w:rFonts w:ascii="Arial" w:eastAsia="Times New Roman" w:hAnsi="Arial" w:cs="Arial"/>
          <w:bCs/>
          <w:color w:val="auto"/>
          <w:lang w:eastAsia="cs-CZ"/>
        </w:rPr>
        <w:t>.</w:t>
      </w:r>
    </w:p>
    <w:p w14:paraId="032AC972" w14:textId="77777777" w:rsidR="00EE1441" w:rsidRDefault="00EE1441" w:rsidP="00450CE1">
      <w:pPr>
        <w:spacing w:line="312" w:lineRule="auto"/>
        <w:ind w:left="426"/>
        <w:jc w:val="both"/>
        <w:rPr>
          <w:rFonts w:ascii="Arial" w:eastAsia="Times New Roman" w:hAnsi="Arial" w:cs="Arial"/>
          <w:bCs/>
          <w:color w:val="auto"/>
          <w:lang w:eastAsia="cs-CZ"/>
        </w:rPr>
      </w:pPr>
    </w:p>
    <w:p w14:paraId="26764B62" w14:textId="34741B85" w:rsidR="00CB1C8A" w:rsidRPr="00CB1C8A" w:rsidRDefault="00CB1C8A" w:rsidP="00E65C84">
      <w:pPr>
        <w:numPr>
          <w:ilvl w:val="0"/>
          <w:numId w:val="38"/>
        </w:numPr>
        <w:spacing w:after="0" w:line="312" w:lineRule="auto"/>
        <w:ind w:left="426"/>
        <w:contextualSpacing/>
        <w:jc w:val="both"/>
        <w:rPr>
          <w:rFonts w:ascii="Arial" w:eastAsia="Calibri" w:hAnsi="Arial" w:cs="Arial"/>
          <w:bCs/>
          <w:color w:val="000000"/>
        </w:rPr>
      </w:pPr>
      <w:r w:rsidRPr="00CB1C8A">
        <w:rPr>
          <w:rFonts w:ascii="Arial" w:eastAsia="Calibri" w:hAnsi="Arial" w:cs="Arial"/>
          <w:bCs/>
          <w:color w:val="000000"/>
        </w:rPr>
        <w:t>Identifikace všech relevantních technických norem a </w:t>
      </w:r>
      <w:r w:rsidR="007E4ECB" w:rsidRPr="00CB1C8A">
        <w:rPr>
          <w:rFonts w:ascii="Arial" w:eastAsia="Calibri" w:hAnsi="Arial" w:cs="Arial"/>
          <w:bCs/>
          <w:color w:val="000000"/>
        </w:rPr>
        <w:t>jejich násled</w:t>
      </w:r>
      <w:r w:rsidR="007E4ECB">
        <w:rPr>
          <w:rFonts w:ascii="Arial" w:eastAsia="Calibri" w:hAnsi="Arial" w:cs="Arial"/>
          <w:bCs/>
          <w:color w:val="000000"/>
        </w:rPr>
        <w:t>ná</w:t>
      </w:r>
      <w:r w:rsidR="007E4ECB" w:rsidRPr="00CB1C8A">
        <w:rPr>
          <w:rFonts w:ascii="Arial" w:eastAsia="Calibri" w:hAnsi="Arial" w:cs="Arial"/>
          <w:bCs/>
          <w:color w:val="000000"/>
        </w:rPr>
        <w:t xml:space="preserve"> </w:t>
      </w:r>
      <w:r w:rsidRPr="00CB1C8A">
        <w:rPr>
          <w:rFonts w:ascii="Arial" w:eastAsia="Calibri" w:hAnsi="Arial" w:cs="Arial"/>
          <w:bCs/>
          <w:color w:val="000000"/>
        </w:rPr>
        <w:t>revize</w:t>
      </w:r>
      <w:r w:rsidR="00B46589">
        <w:rPr>
          <w:rFonts w:ascii="Arial" w:eastAsia="Calibri" w:hAnsi="Arial" w:cs="Arial"/>
          <w:bCs/>
          <w:color w:val="000000"/>
        </w:rPr>
        <w:t xml:space="preserve"> (</w:t>
      </w:r>
      <w:r w:rsidR="00B46589" w:rsidRPr="00B46589">
        <w:rPr>
          <w:rFonts w:ascii="Arial" w:eastAsia="Calibri" w:hAnsi="Arial" w:cs="Arial"/>
          <w:bCs/>
          <w:color w:val="000000"/>
          <w:u w:val="single"/>
        </w:rPr>
        <w:t>realizace opatření 2.10</w:t>
      </w:r>
      <w:r w:rsidR="00B46589">
        <w:rPr>
          <w:rFonts w:ascii="Arial" w:eastAsia="Calibri" w:hAnsi="Arial" w:cs="Arial"/>
          <w:bCs/>
          <w:color w:val="000000"/>
        </w:rPr>
        <w:t>)</w:t>
      </w:r>
    </w:p>
    <w:p w14:paraId="2336C705" w14:textId="6A4F60BE" w:rsidR="00CB1C8A" w:rsidRPr="00CB1C8A" w:rsidRDefault="007A5041" w:rsidP="00E65C84">
      <w:pPr>
        <w:spacing w:line="312" w:lineRule="auto"/>
        <w:ind w:left="426"/>
        <w:jc w:val="both"/>
        <w:rPr>
          <w:rFonts w:ascii="Arial" w:eastAsia="Times New Roman" w:hAnsi="Arial" w:cs="Arial"/>
          <w:bCs/>
          <w:color w:val="auto"/>
          <w:lang w:eastAsia="cs-CZ"/>
        </w:rPr>
      </w:pPr>
      <w:r>
        <w:rPr>
          <w:rFonts w:ascii="Arial" w:eastAsia="Times New Roman" w:hAnsi="Arial" w:cs="Arial"/>
          <w:bCs/>
          <w:color w:val="auto"/>
          <w:lang w:eastAsia="cs-CZ"/>
        </w:rPr>
        <w:t>V</w:t>
      </w:r>
      <w:r w:rsidR="00CB1C8A" w:rsidRPr="00CB1C8A">
        <w:rPr>
          <w:rFonts w:ascii="Arial" w:eastAsia="Times New Roman" w:hAnsi="Arial" w:cs="Arial"/>
          <w:bCs/>
          <w:color w:val="auto"/>
          <w:lang w:eastAsia="cs-CZ"/>
        </w:rPr>
        <w:t xml:space="preserve"> současnosti neexistuje samostatný normalizační dokument zaměřený na </w:t>
      </w:r>
      <w:r>
        <w:rPr>
          <w:rFonts w:ascii="Arial" w:eastAsia="Times New Roman" w:hAnsi="Arial" w:cs="Arial"/>
          <w:bCs/>
          <w:color w:val="auto"/>
          <w:lang w:eastAsia="cs-CZ"/>
        </w:rPr>
        <w:t xml:space="preserve">umísťování </w:t>
      </w:r>
      <w:r w:rsidR="00CB1C8A" w:rsidRPr="00CB1C8A">
        <w:rPr>
          <w:rFonts w:ascii="Arial" w:eastAsia="Times New Roman" w:hAnsi="Arial" w:cs="Arial"/>
          <w:bCs/>
          <w:color w:val="auto"/>
          <w:lang w:eastAsia="cs-CZ"/>
        </w:rPr>
        <w:t xml:space="preserve">vysokorychlostních optických </w:t>
      </w:r>
      <w:r>
        <w:rPr>
          <w:rFonts w:ascii="Arial" w:eastAsia="Times New Roman" w:hAnsi="Arial" w:cs="Arial"/>
          <w:bCs/>
          <w:color w:val="auto"/>
          <w:lang w:eastAsia="cs-CZ"/>
        </w:rPr>
        <w:t>vedení</w:t>
      </w:r>
      <w:r w:rsidR="00CB1C8A" w:rsidRPr="00CB1C8A">
        <w:rPr>
          <w:rFonts w:ascii="Arial" w:eastAsia="Times New Roman" w:hAnsi="Arial" w:cs="Arial"/>
          <w:bCs/>
          <w:color w:val="auto"/>
          <w:lang w:eastAsia="cs-CZ"/>
        </w:rPr>
        <w:t xml:space="preserve"> elektronických komunikací uvnitř budov</w:t>
      </w:r>
      <w:r>
        <w:rPr>
          <w:rFonts w:ascii="Arial" w:eastAsia="Times New Roman" w:hAnsi="Arial" w:cs="Arial"/>
          <w:bCs/>
          <w:color w:val="auto"/>
          <w:lang w:eastAsia="cs-CZ"/>
        </w:rPr>
        <w:t>, který</w:t>
      </w:r>
      <w:r w:rsidR="00ED1045">
        <w:rPr>
          <w:rFonts w:ascii="Arial" w:eastAsia="Times New Roman" w:hAnsi="Arial" w:cs="Arial"/>
          <w:bCs/>
          <w:color w:val="auto"/>
          <w:lang w:eastAsia="cs-CZ"/>
        </w:rPr>
        <w:t xml:space="preserve">m </w:t>
      </w:r>
      <w:r w:rsidR="00ED1045">
        <w:rPr>
          <w:rFonts w:ascii="Arial" w:eastAsia="Times New Roman" w:hAnsi="Arial" w:cs="Arial"/>
          <w:bCs/>
          <w:color w:val="auto"/>
          <w:lang w:eastAsia="cs-CZ"/>
        </w:rPr>
        <w:lastRenderedPageBreak/>
        <w:t>bude</w:t>
      </w:r>
      <w:r>
        <w:rPr>
          <w:rFonts w:ascii="Arial" w:eastAsia="Times New Roman" w:hAnsi="Arial" w:cs="Arial"/>
          <w:bCs/>
          <w:color w:val="auto"/>
          <w:lang w:eastAsia="cs-CZ"/>
        </w:rPr>
        <w:t xml:space="preserve"> zejména řeš</w:t>
      </w:r>
      <w:r w:rsidR="00ED1045">
        <w:rPr>
          <w:rFonts w:ascii="Arial" w:eastAsia="Times New Roman" w:hAnsi="Arial" w:cs="Arial"/>
          <w:bCs/>
          <w:color w:val="auto"/>
          <w:lang w:eastAsia="cs-CZ"/>
        </w:rPr>
        <w:t>ena</w:t>
      </w:r>
      <w:r>
        <w:rPr>
          <w:rFonts w:ascii="Arial" w:eastAsia="Times New Roman" w:hAnsi="Arial" w:cs="Arial"/>
          <w:bCs/>
          <w:color w:val="auto"/>
          <w:lang w:eastAsia="cs-CZ"/>
        </w:rPr>
        <w:t xml:space="preserve"> </w:t>
      </w:r>
      <w:r w:rsidRPr="00CB1C8A">
        <w:rPr>
          <w:rFonts w:ascii="Arial" w:eastAsia="Times New Roman" w:hAnsi="Arial" w:cs="Arial"/>
          <w:bCs/>
          <w:color w:val="auto"/>
          <w:lang w:eastAsia="cs-CZ"/>
        </w:rPr>
        <w:t>povinnost sdílení těchto vedení mezi operátory elektronických komunikací</w:t>
      </w:r>
      <w:r w:rsidR="00BA0461">
        <w:rPr>
          <w:rFonts w:ascii="Arial" w:eastAsia="Times New Roman" w:hAnsi="Arial" w:cs="Arial"/>
          <w:bCs/>
          <w:color w:val="auto"/>
          <w:lang w:eastAsia="cs-CZ"/>
        </w:rPr>
        <w:t>. Tato</w:t>
      </w:r>
      <w:r>
        <w:rPr>
          <w:rFonts w:ascii="Arial" w:eastAsia="Times New Roman" w:hAnsi="Arial" w:cs="Arial"/>
          <w:bCs/>
          <w:color w:val="auto"/>
          <w:lang w:eastAsia="cs-CZ"/>
        </w:rPr>
        <w:t xml:space="preserve"> </w:t>
      </w:r>
      <w:r w:rsidR="00ED1045">
        <w:rPr>
          <w:rFonts w:ascii="Arial" w:eastAsia="Times New Roman" w:hAnsi="Arial" w:cs="Arial"/>
          <w:bCs/>
          <w:color w:val="auto"/>
          <w:lang w:eastAsia="cs-CZ"/>
        </w:rPr>
        <w:t xml:space="preserve">povinnost vyplývá ze </w:t>
      </w:r>
      <w:r w:rsidR="00CB1C8A" w:rsidRPr="00CB1C8A">
        <w:rPr>
          <w:rFonts w:ascii="Arial" w:eastAsia="Times New Roman" w:hAnsi="Arial" w:cs="Arial"/>
          <w:bCs/>
          <w:color w:val="auto"/>
          <w:lang w:eastAsia="cs-CZ"/>
        </w:rPr>
        <w:t>zákona č.</w:t>
      </w:r>
      <w:r w:rsidR="00E65C84">
        <w:rPr>
          <w:rFonts w:ascii="Arial" w:eastAsia="Times New Roman" w:hAnsi="Arial" w:cs="Arial"/>
          <w:bCs/>
          <w:color w:val="auto"/>
          <w:lang w:eastAsia="cs-CZ"/>
        </w:rPr>
        <w:t> </w:t>
      </w:r>
      <w:r w:rsidR="00CB1C8A" w:rsidRPr="00CB1C8A">
        <w:rPr>
          <w:rFonts w:ascii="Arial" w:eastAsia="Times New Roman" w:hAnsi="Arial" w:cs="Arial"/>
          <w:bCs/>
          <w:color w:val="auto"/>
          <w:lang w:eastAsia="cs-CZ"/>
        </w:rPr>
        <w:t>194/2017 Sb.</w:t>
      </w:r>
      <w:r w:rsidR="006A0AC0">
        <w:rPr>
          <w:rFonts w:ascii="Arial" w:eastAsia="Times New Roman" w:hAnsi="Arial" w:cs="Arial"/>
          <w:bCs/>
          <w:color w:val="auto"/>
          <w:lang w:eastAsia="cs-CZ"/>
        </w:rPr>
        <w:t xml:space="preserve">, </w:t>
      </w:r>
      <w:r w:rsidR="006A0AC0" w:rsidRPr="006A0AC0">
        <w:rPr>
          <w:rFonts w:ascii="Arial" w:eastAsia="Times New Roman" w:hAnsi="Arial" w:cs="Arial"/>
          <w:bCs/>
          <w:color w:val="auto"/>
          <w:lang w:eastAsia="cs-CZ"/>
        </w:rPr>
        <w:t>o opatřeních ke snížení nákladů na zavádění vysokorychlostních sítí elektronických komunikací</w:t>
      </w:r>
      <w:r w:rsidR="006A0AC0">
        <w:rPr>
          <w:rFonts w:ascii="Arial" w:eastAsia="Times New Roman" w:hAnsi="Arial" w:cs="Arial"/>
          <w:bCs/>
          <w:color w:val="auto"/>
          <w:lang w:eastAsia="cs-CZ"/>
        </w:rPr>
        <w:t>.</w:t>
      </w:r>
      <w:r w:rsidR="00CB1C8A" w:rsidRPr="00CB1C8A">
        <w:rPr>
          <w:rFonts w:ascii="Arial" w:eastAsia="Times New Roman" w:hAnsi="Arial" w:cs="Arial"/>
          <w:bCs/>
          <w:color w:val="auto"/>
          <w:lang w:eastAsia="cs-CZ"/>
        </w:rPr>
        <w:t xml:space="preserve"> </w:t>
      </w:r>
    </w:p>
    <w:p w14:paraId="7FE87EAC" w14:textId="41BD9323" w:rsidR="00CB1C8A" w:rsidRPr="00CB1C8A" w:rsidRDefault="00D21D7F" w:rsidP="00401241">
      <w:pPr>
        <w:numPr>
          <w:ilvl w:val="0"/>
          <w:numId w:val="39"/>
        </w:numPr>
        <w:spacing w:after="0" w:line="312" w:lineRule="auto"/>
        <w:contextualSpacing/>
        <w:jc w:val="both"/>
        <w:rPr>
          <w:rFonts w:ascii="Arial" w:eastAsia="Calibri" w:hAnsi="Arial" w:cs="Arial"/>
          <w:bCs/>
          <w:color w:val="000000"/>
        </w:rPr>
      </w:pPr>
      <w:r w:rsidRPr="00D21D7F">
        <w:rPr>
          <w:rFonts w:ascii="Arial" w:eastAsia="Calibri" w:hAnsi="Arial" w:cs="Arial"/>
          <w:bCs/>
          <w:color w:val="000000"/>
        </w:rPr>
        <w:t xml:space="preserve">V současnosti </w:t>
      </w:r>
      <w:r w:rsidR="00E82801">
        <w:rPr>
          <w:rFonts w:ascii="Arial" w:eastAsia="Calibri" w:hAnsi="Arial" w:cs="Arial"/>
          <w:bCs/>
          <w:color w:val="000000"/>
        </w:rPr>
        <w:t>s</w:t>
      </w:r>
      <w:r w:rsidRPr="00D21D7F">
        <w:rPr>
          <w:rFonts w:ascii="Arial" w:eastAsia="Calibri" w:hAnsi="Arial" w:cs="Arial"/>
          <w:bCs/>
          <w:color w:val="000000"/>
        </w:rPr>
        <w:t xml:space="preserve">e připravuje návrh </w:t>
      </w:r>
      <w:r w:rsidR="00CB1C8A" w:rsidRPr="00D21D7F">
        <w:rPr>
          <w:rFonts w:ascii="Arial" w:eastAsia="Calibri" w:hAnsi="Arial" w:cs="Arial"/>
          <w:bCs/>
          <w:color w:val="000000"/>
        </w:rPr>
        <w:t>text</w:t>
      </w:r>
      <w:r w:rsidRPr="00D21D7F">
        <w:rPr>
          <w:rFonts w:ascii="Arial" w:eastAsia="Calibri" w:hAnsi="Arial" w:cs="Arial"/>
          <w:bCs/>
          <w:color w:val="000000"/>
        </w:rPr>
        <w:t>u</w:t>
      </w:r>
      <w:r w:rsidR="00CB1C8A" w:rsidRPr="00D21D7F">
        <w:rPr>
          <w:rFonts w:ascii="Arial" w:eastAsia="Calibri" w:hAnsi="Arial" w:cs="Arial"/>
          <w:bCs/>
          <w:color w:val="000000"/>
        </w:rPr>
        <w:t xml:space="preserve"> relevantní technické normalizační </w:t>
      </w:r>
      <w:r w:rsidR="007E4ECB" w:rsidRPr="00D21D7F">
        <w:rPr>
          <w:rFonts w:ascii="Arial" w:eastAsia="Calibri" w:hAnsi="Arial" w:cs="Arial"/>
          <w:bCs/>
          <w:color w:val="000000"/>
        </w:rPr>
        <w:t>informace</w:t>
      </w:r>
      <w:r w:rsidRPr="00D21D7F">
        <w:rPr>
          <w:rFonts w:ascii="Arial" w:eastAsia="Calibri" w:hAnsi="Arial" w:cs="Arial"/>
          <w:bCs/>
          <w:color w:val="000000"/>
        </w:rPr>
        <w:t xml:space="preserve"> (dále jen </w:t>
      </w:r>
      <w:r w:rsidR="00BA0461">
        <w:rPr>
          <w:rFonts w:ascii="Arial" w:eastAsia="Calibri" w:hAnsi="Arial" w:cs="Arial"/>
          <w:bCs/>
          <w:color w:val="000000"/>
        </w:rPr>
        <w:t>„</w:t>
      </w:r>
      <w:r w:rsidRPr="00D21D7F">
        <w:rPr>
          <w:rFonts w:ascii="Arial" w:eastAsia="Calibri" w:hAnsi="Arial" w:cs="Arial"/>
          <w:bCs/>
          <w:color w:val="000000"/>
        </w:rPr>
        <w:t>TNI</w:t>
      </w:r>
      <w:r w:rsidR="00BA0461">
        <w:rPr>
          <w:rFonts w:ascii="Arial" w:eastAsia="Calibri" w:hAnsi="Arial" w:cs="Arial"/>
          <w:bCs/>
          <w:color w:val="000000"/>
        </w:rPr>
        <w:t>“</w:t>
      </w:r>
      <w:r w:rsidRPr="00D21D7F">
        <w:rPr>
          <w:rFonts w:ascii="Arial" w:eastAsia="Calibri" w:hAnsi="Arial" w:cs="Arial"/>
          <w:bCs/>
          <w:color w:val="000000"/>
        </w:rPr>
        <w:t xml:space="preserve">), která upraví stávající normu ČSN 34 2300 </w:t>
      </w:r>
      <w:proofErr w:type="spellStart"/>
      <w:r w:rsidRPr="00D21D7F">
        <w:rPr>
          <w:rFonts w:ascii="Arial" w:eastAsia="Calibri" w:hAnsi="Arial" w:cs="Arial"/>
          <w:bCs/>
          <w:color w:val="000000"/>
        </w:rPr>
        <w:t>ed</w:t>
      </w:r>
      <w:proofErr w:type="spellEnd"/>
      <w:r w:rsidRPr="00D21D7F">
        <w:rPr>
          <w:rFonts w:ascii="Arial" w:eastAsia="Calibri" w:hAnsi="Arial" w:cs="Arial"/>
          <w:bCs/>
          <w:color w:val="000000"/>
        </w:rPr>
        <w:t>. 2 - Předpisy pro vnitřní rozvody vedení elektronických komunikací. Po dopracován</w:t>
      </w:r>
      <w:r>
        <w:rPr>
          <w:rFonts w:ascii="Arial" w:eastAsia="Calibri" w:hAnsi="Arial" w:cs="Arial"/>
          <w:bCs/>
          <w:color w:val="000000"/>
        </w:rPr>
        <w:t>í návrh</w:t>
      </w:r>
      <w:r w:rsidR="00450CE1">
        <w:rPr>
          <w:rFonts w:ascii="Arial" w:eastAsia="Calibri" w:hAnsi="Arial" w:cs="Arial"/>
          <w:bCs/>
          <w:color w:val="000000"/>
        </w:rPr>
        <w:t>u</w:t>
      </w:r>
      <w:r>
        <w:rPr>
          <w:rFonts w:ascii="Arial" w:eastAsia="Calibri" w:hAnsi="Arial" w:cs="Arial"/>
          <w:bCs/>
          <w:color w:val="000000"/>
        </w:rPr>
        <w:t xml:space="preserve"> </w:t>
      </w:r>
      <w:r w:rsidR="00450CE1">
        <w:rPr>
          <w:rFonts w:ascii="Arial" w:eastAsia="Calibri" w:hAnsi="Arial" w:cs="Arial"/>
          <w:bCs/>
          <w:color w:val="000000"/>
        </w:rPr>
        <w:t>TNI, bude</w:t>
      </w:r>
      <w:r w:rsidR="00401241">
        <w:rPr>
          <w:rFonts w:ascii="Arial" w:eastAsia="Calibri" w:hAnsi="Arial" w:cs="Arial"/>
          <w:bCs/>
          <w:color w:val="000000"/>
        </w:rPr>
        <w:t xml:space="preserve"> </w:t>
      </w:r>
      <w:r w:rsidR="00450CE1">
        <w:rPr>
          <w:rFonts w:ascii="Arial" w:eastAsia="Calibri" w:hAnsi="Arial" w:cs="Arial"/>
          <w:bCs/>
          <w:color w:val="000000"/>
        </w:rPr>
        <w:t xml:space="preserve">tento návrh </w:t>
      </w:r>
      <w:r w:rsidRPr="00D21D7F">
        <w:rPr>
          <w:rFonts w:ascii="Arial" w:eastAsia="Calibri" w:hAnsi="Arial" w:cs="Arial"/>
          <w:bCs/>
          <w:color w:val="000000"/>
        </w:rPr>
        <w:t>předlož</w:t>
      </w:r>
      <w:r>
        <w:rPr>
          <w:rFonts w:ascii="Arial" w:eastAsia="Calibri" w:hAnsi="Arial" w:cs="Arial"/>
          <w:bCs/>
          <w:color w:val="000000"/>
        </w:rPr>
        <w:t>en</w:t>
      </w:r>
      <w:r w:rsidRPr="00D21D7F">
        <w:rPr>
          <w:rFonts w:ascii="Arial" w:eastAsia="Calibri" w:hAnsi="Arial" w:cs="Arial"/>
          <w:bCs/>
          <w:color w:val="000000"/>
        </w:rPr>
        <w:t xml:space="preserve"> České agentuře pro standardizaci do schvalovacího řízení.</w:t>
      </w:r>
    </w:p>
    <w:p w14:paraId="155079F5" w14:textId="20C2766A" w:rsidR="00CB1C8A" w:rsidRPr="00CB1C8A" w:rsidRDefault="00401241" w:rsidP="00E65C84">
      <w:pPr>
        <w:numPr>
          <w:ilvl w:val="0"/>
          <w:numId w:val="39"/>
        </w:numPr>
        <w:spacing w:after="0" w:line="312" w:lineRule="auto"/>
        <w:contextualSpacing/>
        <w:jc w:val="both"/>
        <w:rPr>
          <w:rFonts w:ascii="Arial" w:eastAsia="Calibri" w:hAnsi="Arial" w:cs="Arial"/>
          <w:bCs/>
          <w:color w:val="000000"/>
        </w:rPr>
      </w:pPr>
      <w:r>
        <w:rPr>
          <w:rFonts w:ascii="Arial" w:eastAsia="Calibri" w:hAnsi="Arial" w:cs="Arial"/>
          <w:bCs/>
          <w:color w:val="000000"/>
        </w:rPr>
        <w:t>Pr</w:t>
      </w:r>
      <w:r w:rsidR="00CB1C8A" w:rsidRPr="00CB1C8A">
        <w:rPr>
          <w:rFonts w:ascii="Arial" w:eastAsia="Calibri" w:hAnsi="Arial" w:cs="Arial"/>
          <w:bCs/>
          <w:color w:val="000000"/>
        </w:rPr>
        <w:t>áce na zavedení do soustavy norem ČSN překladem terminologického slovníku IEC 60050 – 732</w:t>
      </w:r>
      <w:r>
        <w:rPr>
          <w:rFonts w:ascii="Arial" w:eastAsia="Calibri" w:hAnsi="Arial" w:cs="Arial"/>
          <w:bCs/>
          <w:color w:val="000000"/>
        </w:rPr>
        <w:t xml:space="preserve"> probíhají podle dispozic </w:t>
      </w:r>
      <w:r w:rsidRPr="00D21D7F">
        <w:rPr>
          <w:rFonts w:ascii="Arial" w:eastAsia="Calibri" w:hAnsi="Arial" w:cs="Arial"/>
          <w:bCs/>
          <w:color w:val="000000"/>
        </w:rPr>
        <w:t>České agentu</w:t>
      </w:r>
      <w:r>
        <w:rPr>
          <w:rFonts w:ascii="Arial" w:eastAsia="Calibri" w:hAnsi="Arial" w:cs="Arial"/>
          <w:bCs/>
          <w:color w:val="000000"/>
        </w:rPr>
        <w:t>ry</w:t>
      </w:r>
      <w:r w:rsidRPr="00D21D7F">
        <w:rPr>
          <w:rFonts w:ascii="Arial" w:eastAsia="Calibri" w:hAnsi="Arial" w:cs="Arial"/>
          <w:bCs/>
          <w:color w:val="000000"/>
        </w:rPr>
        <w:t xml:space="preserve"> pro standardizaci</w:t>
      </w:r>
      <w:r w:rsidR="00CB1C8A" w:rsidRPr="00CB1C8A">
        <w:rPr>
          <w:rFonts w:ascii="Arial" w:eastAsia="Calibri" w:hAnsi="Arial" w:cs="Arial"/>
          <w:bCs/>
          <w:color w:val="000000"/>
        </w:rPr>
        <w:t>.</w:t>
      </w:r>
    </w:p>
    <w:p w14:paraId="4B636E04"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Bylo rozhodnuto o zavedení do soustavy norem ČSN technické zprávy CLC/TR 50510.</w:t>
      </w:r>
    </w:p>
    <w:p w14:paraId="40806A44"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1979923D" w14:textId="77777777" w:rsidR="00CB1C8A" w:rsidRDefault="00CB1C8A" w:rsidP="00450CE1">
      <w:pPr>
        <w:numPr>
          <w:ilvl w:val="0"/>
          <w:numId w:val="38"/>
        </w:numPr>
        <w:spacing w:after="0" w:line="312" w:lineRule="auto"/>
        <w:ind w:left="426"/>
        <w:contextualSpacing/>
        <w:jc w:val="both"/>
        <w:rPr>
          <w:rFonts w:ascii="Arial" w:eastAsia="Calibri" w:hAnsi="Arial" w:cs="Arial"/>
          <w:bCs/>
          <w:color w:val="000000"/>
        </w:rPr>
      </w:pPr>
      <w:r w:rsidRPr="00CB1C8A">
        <w:rPr>
          <w:rFonts w:ascii="Arial" w:eastAsia="Calibri" w:hAnsi="Arial" w:cs="Arial"/>
          <w:bCs/>
          <w:color w:val="000000"/>
        </w:rPr>
        <w:t>Realizace ostatních opatření Akčního plánu</w:t>
      </w:r>
    </w:p>
    <w:p w14:paraId="67EBF856" w14:textId="77777777" w:rsidR="002745D3" w:rsidRPr="00450CE1" w:rsidRDefault="002745D3" w:rsidP="00EE1441">
      <w:pPr>
        <w:spacing w:line="312" w:lineRule="auto"/>
        <w:ind w:left="426"/>
        <w:jc w:val="both"/>
        <w:rPr>
          <w:rFonts w:ascii="Arial" w:hAnsi="Arial"/>
          <w:color w:val="auto"/>
        </w:rPr>
      </w:pPr>
    </w:p>
    <w:p w14:paraId="62A2F4B3" w14:textId="77777777" w:rsidR="00CB1C8A" w:rsidRPr="00CB1C8A" w:rsidRDefault="00CB1C8A" w:rsidP="00450CE1">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2.1 Územní plánování</w:t>
      </w:r>
    </w:p>
    <w:p w14:paraId="209261BA"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A – splněno schválením novely zákona č. 183/2006 Sb.</w:t>
      </w:r>
    </w:p>
    <w:p w14:paraId="2ABBE939"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 – splněno schválením novely vyhlášky č. 500/2006 Sb.</w:t>
      </w:r>
    </w:p>
    <w:p w14:paraId="05EF0295"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C a E – průběžně se plní.</w:t>
      </w:r>
    </w:p>
    <w:p w14:paraId="3D42BD8F"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D - průběžně se plní (viz příprava Metodické pracovní pomůcky).</w:t>
      </w:r>
    </w:p>
    <w:p w14:paraId="446EEFF7" w14:textId="3603C32C" w:rsidR="00CB1C8A" w:rsidRPr="00CB1C8A" w:rsidRDefault="00CB1C8A" w:rsidP="00E65C84">
      <w:pPr>
        <w:spacing w:line="312" w:lineRule="auto"/>
        <w:ind w:left="426"/>
        <w:jc w:val="both"/>
        <w:rPr>
          <w:rFonts w:ascii="Arial" w:eastAsia="Times New Roman" w:hAnsi="Arial" w:cs="Arial"/>
          <w:bCs/>
          <w:color w:val="auto"/>
          <w:lang w:eastAsia="cs-CZ"/>
        </w:rPr>
      </w:pPr>
      <w:r w:rsidRPr="00CB1C8A">
        <w:rPr>
          <w:rFonts w:ascii="Arial" w:eastAsia="Times New Roman" w:hAnsi="Arial" w:cs="Arial"/>
          <w:bCs/>
          <w:color w:val="auto"/>
          <w:lang w:eastAsia="cs-CZ"/>
        </w:rPr>
        <w:t>Přijetím zákona č. 183/2006 Sb., stavebního zákona, byl od ledna 2018 zaveden institut oprávněného investora a jednotliv</w:t>
      </w:r>
      <w:r w:rsidR="00E13BC9">
        <w:rPr>
          <w:rFonts w:ascii="Arial" w:eastAsia="Times New Roman" w:hAnsi="Arial" w:cs="Arial"/>
          <w:bCs/>
          <w:color w:val="auto"/>
          <w:lang w:eastAsia="cs-CZ"/>
        </w:rPr>
        <w:t>í</w:t>
      </w:r>
      <w:r w:rsidRPr="00CB1C8A">
        <w:rPr>
          <w:rFonts w:ascii="Arial" w:eastAsia="Times New Roman" w:hAnsi="Arial" w:cs="Arial"/>
          <w:bCs/>
          <w:color w:val="auto"/>
          <w:lang w:eastAsia="cs-CZ"/>
        </w:rPr>
        <w:t xml:space="preserve"> investoři sítí </w:t>
      </w:r>
      <w:r w:rsidR="00061D18">
        <w:rPr>
          <w:rFonts w:ascii="Arial" w:eastAsia="Times New Roman" w:hAnsi="Arial" w:cs="Arial"/>
          <w:bCs/>
          <w:color w:val="auto"/>
          <w:lang w:eastAsia="cs-CZ"/>
        </w:rPr>
        <w:t xml:space="preserve">elektronických </w:t>
      </w:r>
      <w:r w:rsidRPr="00CB1C8A">
        <w:rPr>
          <w:rFonts w:ascii="Arial" w:eastAsia="Times New Roman" w:hAnsi="Arial" w:cs="Arial"/>
          <w:bCs/>
          <w:color w:val="auto"/>
          <w:lang w:eastAsia="cs-CZ"/>
        </w:rPr>
        <w:t xml:space="preserve">komunikací mají lepší možnosti připomínkovat </w:t>
      </w:r>
      <w:r w:rsidR="00E13BC9" w:rsidRPr="00E13BC9">
        <w:rPr>
          <w:rFonts w:ascii="Arial" w:eastAsia="Times New Roman" w:hAnsi="Arial" w:cs="Arial"/>
          <w:bCs/>
          <w:color w:val="auto"/>
          <w:lang w:eastAsia="cs-CZ"/>
        </w:rPr>
        <w:t>územně plánovací dokumentaci</w:t>
      </w:r>
      <w:r w:rsidRPr="00CB1C8A">
        <w:rPr>
          <w:rFonts w:ascii="Arial" w:eastAsia="Times New Roman" w:hAnsi="Arial" w:cs="Arial"/>
          <w:bCs/>
          <w:color w:val="auto"/>
          <w:lang w:eastAsia="cs-CZ"/>
        </w:rPr>
        <w:t>. Dále bude nutné řešit vyplývající dlouhodobé problémy:</w:t>
      </w:r>
    </w:p>
    <w:p w14:paraId="6EF8A87A" w14:textId="52FA3C54"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konkurenční aspekty při plánování sítí </w:t>
      </w:r>
      <w:r w:rsidR="00061D18">
        <w:rPr>
          <w:rFonts w:ascii="Arial" w:eastAsia="Calibri" w:hAnsi="Arial" w:cs="Arial"/>
          <w:bCs/>
          <w:color w:val="000000"/>
        </w:rPr>
        <w:t xml:space="preserve">elektronických </w:t>
      </w:r>
      <w:r w:rsidRPr="00CB1C8A">
        <w:rPr>
          <w:rFonts w:ascii="Arial" w:eastAsia="Calibri" w:hAnsi="Arial" w:cs="Arial"/>
          <w:bCs/>
          <w:color w:val="000000"/>
        </w:rPr>
        <w:t>komunikací na daném území (v</w:t>
      </w:r>
      <w:r w:rsidR="00E65C84">
        <w:rPr>
          <w:rFonts w:ascii="Arial" w:eastAsia="Calibri" w:hAnsi="Arial" w:cs="Arial"/>
          <w:bCs/>
          <w:color w:val="000000"/>
        </w:rPr>
        <w:t> </w:t>
      </w:r>
      <w:r w:rsidRPr="00CB1C8A">
        <w:rPr>
          <w:rFonts w:ascii="Arial" w:eastAsia="Calibri" w:hAnsi="Arial" w:cs="Arial"/>
          <w:bCs/>
          <w:color w:val="000000"/>
        </w:rPr>
        <w:t xml:space="preserve">rámci institutu oprávněného investora), </w:t>
      </w:r>
    </w:p>
    <w:p w14:paraId="546430AD" w14:textId="5F458C09"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aspekt sítí </w:t>
      </w:r>
      <w:r w:rsidR="00972E91">
        <w:rPr>
          <w:rFonts w:ascii="Arial" w:eastAsia="Calibri" w:hAnsi="Arial" w:cs="Arial"/>
          <w:bCs/>
          <w:color w:val="000000"/>
        </w:rPr>
        <w:t xml:space="preserve">elektronických </w:t>
      </w:r>
      <w:r w:rsidRPr="00CB1C8A">
        <w:rPr>
          <w:rFonts w:ascii="Arial" w:eastAsia="Calibri" w:hAnsi="Arial" w:cs="Arial"/>
          <w:bCs/>
          <w:color w:val="000000"/>
        </w:rPr>
        <w:t>komunikací jako veřejně prospěšných staveb (vazba na §</w:t>
      </w:r>
      <w:r w:rsidR="00E82801">
        <w:rPr>
          <w:rFonts w:ascii="Arial" w:eastAsia="Calibri" w:hAnsi="Arial" w:cs="Arial"/>
          <w:bCs/>
          <w:color w:val="000000"/>
        </w:rPr>
        <w:t> </w:t>
      </w:r>
      <w:r w:rsidRPr="00CB1C8A">
        <w:rPr>
          <w:rFonts w:ascii="Arial" w:eastAsia="Calibri" w:hAnsi="Arial" w:cs="Arial"/>
          <w:bCs/>
          <w:color w:val="000000"/>
        </w:rPr>
        <w:t>184a zákona č. 183/2006 Sb., stavebního zákona).</w:t>
      </w:r>
    </w:p>
    <w:p w14:paraId="22AC4D78"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4724A84B"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2.2 Nejednotnost a nepředvídatelnost v rozhodování stavebních úřadů</w:t>
      </w:r>
    </w:p>
    <w:p w14:paraId="64592BD2"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A – v souladu se stanoviskem Ministerstva pro místní rozvoj je v současnosti vypracování metodického pokynu k aplikaci § 86 zákona č. 183/2006 Sb., stavebního zákona, nadbytečné,</w:t>
      </w:r>
    </w:p>
    <w:p w14:paraId="4BF30AAE"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 – průběžně se plní (viz příprava Metodické pracovní pomůcky),</w:t>
      </w:r>
    </w:p>
    <w:p w14:paraId="45ED848F"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C – průběžně se plní.</w:t>
      </w:r>
    </w:p>
    <w:p w14:paraId="44034980" w14:textId="77777777" w:rsidR="00CB1C8A" w:rsidRPr="00CB1C8A" w:rsidRDefault="00CB1C8A" w:rsidP="00E65C84">
      <w:pPr>
        <w:spacing w:line="312" w:lineRule="auto"/>
        <w:ind w:left="426"/>
        <w:jc w:val="both"/>
        <w:rPr>
          <w:rFonts w:ascii="Arial" w:eastAsia="Times New Roman" w:hAnsi="Arial" w:cs="Arial"/>
          <w:bCs/>
          <w:color w:val="auto"/>
          <w:lang w:eastAsia="cs-CZ"/>
        </w:rPr>
      </w:pPr>
      <w:r w:rsidRPr="00CB1C8A">
        <w:rPr>
          <w:rFonts w:ascii="Arial" w:eastAsia="Times New Roman" w:hAnsi="Arial" w:cs="Arial"/>
          <w:bCs/>
          <w:color w:val="auto"/>
          <w:lang w:eastAsia="cs-CZ"/>
        </w:rPr>
        <w:t xml:space="preserve">Dále bude nutné řešit některé vyplývající dlouhodobé sekundární </w:t>
      </w:r>
      <w:r w:rsidR="006A0AC0">
        <w:rPr>
          <w:rFonts w:ascii="Arial" w:eastAsia="Times New Roman" w:hAnsi="Arial" w:cs="Arial"/>
          <w:bCs/>
          <w:color w:val="auto"/>
          <w:lang w:eastAsia="cs-CZ"/>
        </w:rPr>
        <w:t>aspekty</w:t>
      </w:r>
      <w:r w:rsidRPr="00CB1C8A">
        <w:rPr>
          <w:rFonts w:ascii="Arial" w:eastAsia="Times New Roman" w:hAnsi="Arial" w:cs="Arial"/>
          <w:bCs/>
          <w:color w:val="auto"/>
          <w:lang w:eastAsia="cs-CZ"/>
        </w:rPr>
        <w:t>.</w:t>
      </w:r>
    </w:p>
    <w:p w14:paraId="4D278E63" w14:textId="77777777" w:rsidR="006A0AC0" w:rsidRDefault="006A0AC0" w:rsidP="00E65C84">
      <w:pPr>
        <w:spacing w:line="312" w:lineRule="auto"/>
        <w:ind w:left="426"/>
        <w:jc w:val="both"/>
        <w:rPr>
          <w:rFonts w:ascii="Arial" w:eastAsia="Times New Roman" w:hAnsi="Arial" w:cs="Arial"/>
          <w:bCs/>
          <w:color w:val="auto"/>
          <w:u w:val="single"/>
          <w:lang w:eastAsia="cs-CZ"/>
        </w:rPr>
      </w:pPr>
    </w:p>
    <w:p w14:paraId="018E5279" w14:textId="77777777" w:rsidR="00CB1C8A" w:rsidRPr="00CB1C8A" w:rsidRDefault="00CB1C8A" w:rsidP="00E73FDB">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lastRenderedPageBreak/>
        <w:t>Opatření č. 2.3 Smluvní vztahy s majiteli pozemků</w:t>
      </w:r>
    </w:p>
    <w:p w14:paraId="4BFE8BA7" w14:textId="77777777" w:rsidR="00CB1C8A" w:rsidRPr="00E73FDB" w:rsidRDefault="00CB1C8A" w:rsidP="00E73FDB">
      <w:pPr>
        <w:pStyle w:val="Odstavecseseznamem"/>
        <w:numPr>
          <w:ilvl w:val="0"/>
          <w:numId w:val="40"/>
        </w:numPr>
        <w:spacing w:line="312" w:lineRule="auto"/>
        <w:jc w:val="both"/>
        <w:rPr>
          <w:rFonts w:ascii="Arial" w:eastAsia="Times New Roman" w:hAnsi="Arial" w:cs="Arial"/>
          <w:bCs/>
          <w:color w:val="auto"/>
          <w:lang w:eastAsia="cs-CZ"/>
        </w:rPr>
      </w:pPr>
      <w:r w:rsidRPr="00E73FDB">
        <w:rPr>
          <w:rFonts w:ascii="Arial" w:eastAsia="Times New Roman" w:hAnsi="Arial" w:cs="Arial"/>
          <w:bCs/>
          <w:color w:val="auto"/>
          <w:lang w:eastAsia="cs-CZ"/>
        </w:rPr>
        <w:t>Opatření bylo splněno nabytím účinnosti zákona č. 194/2017 Sb.</w:t>
      </w:r>
    </w:p>
    <w:p w14:paraId="7F405923"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62A8865A" w14:textId="037FE761"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 xml:space="preserve">Opatření č. 2.4 Nedostatečná koordinace staveb sítí </w:t>
      </w:r>
      <w:r w:rsidR="00061D18">
        <w:rPr>
          <w:rFonts w:ascii="Arial" w:eastAsia="Times New Roman" w:hAnsi="Arial" w:cs="Arial"/>
          <w:bCs/>
          <w:color w:val="auto"/>
          <w:u w:val="single"/>
          <w:lang w:eastAsia="cs-CZ"/>
        </w:rPr>
        <w:t>elektronických</w:t>
      </w:r>
      <w:r w:rsidRPr="00CB1C8A">
        <w:rPr>
          <w:rFonts w:ascii="Arial" w:eastAsia="Times New Roman" w:hAnsi="Arial" w:cs="Arial"/>
          <w:bCs/>
          <w:color w:val="auto"/>
          <w:u w:val="single"/>
          <w:lang w:eastAsia="cs-CZ"/>
        </w:rPr>
        <w:t xml:space="preserve"> komunikací různých investorů</w:t>
      </w:r>
    </w:p>
    <w:p w14:paraId="76372799"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Základní aspekt opatření byl splněn nabytím účinnosti zákona č. 194/2017 Sb.</w:t>
      </w:r>
    </w:p>
    <w:p w14:paraId="3CF710EB" w14:textId="28268A9B"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Některé další aspekty se nacházejí v</w:t>
      </w:r>
      <w:r w:rsidR="00E73FDB">
        <w:rPr>
          <w:rFonts w:ascii="Arial" w:eastAsia="Calibri" w:hAnsi="Arial" w:cs="Arial"/>
          <w:bCs/>
          <w:color w:val="000000"/>
        </w:rPr>
        <w:t>e</w:t>
      </w:r>
      <w:r w:rsidRPr="00CB1C8A">
        <w:rPr>
          <w:rFonts w:ascii="Arial" w:eastAsia="Calibri" w:hAnsi="Arial" w:cs="Arial"/>
          <w:bCs/>
          <w:color w:val="000000"/>
        </w:rPr>
        <w:t xml:space="preserve"> stadiu řešení v rámci novel</w:t>
      </w:r>
      <w:r w:rsidR="006A0AC0">
        <w:rPr>
          <w:rFonts w:ascii="Arial" w:eastAsia="Calibri" w:hAnsi="Arial" w:cs="Arial"/>
          <w:bCs/>
          <w:color w:val="000000"/>
        </w:rPr>
        <w:t>y</w:t>
      </w:r>
      <w:r w:rsidRPr="00CB1C8A">
        <w:rPr>
          <w:rFonts w:ascii="Arial" w:eastAsia="Calibri" w:hAnsi="Arial" w:cs="Arial"/>
          <w:bCs/>
          <w:color w:val="000000"/>
        </w:rPr>
        <w:t xml:space="preserve"> zákona č. 416/2009 Sb. (viz sněmovní tisk č. 76). </w:t>
      </w:r>
    </w:p>
    <w:p w14:paraId="6D50D66B"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513EB8E9"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2.5 Nadměrná šíře ochranného pásma podzemního vedení elektronických komunikací</w:t>
      </w:r>
    </w:p>
    <w:p w14:paraId="6E48AE2A"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bylo splněno nabytím účinnosti zákona č. 194/2017 Sb.</w:t>
      </w:r>
    </w:p>
    <w:p w14:paraId="754E7432" w14:textId="03F25468"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V současnosti se zvažuje </w:t>
      </w:r>
      <w:r w:rsidR="007E4ECB">
        <w:rPr>
          <w:rFonts w:ascii="Arial" w:eastAsia="Calibri" w:hAnsi="Arial" w:cs="Arial"/>
          <w:bCs/>
          <w:color w:val="000000"/>
        </w:rPr>
        <w:t>možné</w:t>
      </w:r>
      <w:r w:rsidR="007E4ECB" w:rsidRPr="00CB1C8A">
        <w:rPr>
          <w:rFonts w:ascii="Arial" w:eastAsia="Calibri" w:hAnsi="Arial" w:cs="Arial"/>
          <w:bCs/>
          <w:color w:val="000000"/>
        </w:rPr>
        <w:t xml:space="preserve"> </w:t>
      </w:r>
      <w:r w:rsidRPr="00CB1C8A">
        <w:rPr>
          <w:rFonts w:ascii="Arial" w:eastAsia="Calibri" w:hAnsi="Arial" w:cs="Arial"/>
          <w:bCs/>
          <w:color w:val="000000"/>
        </w:rPr>
        <w:t>další zúžení šíře ochranného pásma podzemního vedení elektronických komunikací.</w:t>
      </w:r>
    </w:p>
    <w:p w14:paraId="5DCC9494"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0C6CD9B2"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2.6 Nadzemní komunikační vedení</w:t>
      </w:r>
    </w:p>
    <w:p w14:paraId="46E832AB"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bylo splněno a v podstatě se již nevyskytují problémy.</w:t>
      </w:r>
    </w:p>
    <w:p w14:paraId="54EC9C04"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142A33C0"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2.7 Informace o neveřejné pasivní infrastruktuře za účelem sdílení</w:t>
      </w:r>
    </w:p>
    <w:p w14:paraId="32100E9D"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V současnosti Ministerstvo vnitra, tj. gestor opatření, provádí hodnocení obsahu projektu zavádění Informačního systému technické infrastruktury veřejné správy.</w:t>
      </w:r>
    </w:p>
    <w:p w14:paraId="2D0D69EA"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76A4F76B"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2.8 Vytváření nepřiměřených vícenákladů</w:t>
      </w:r>
    </w:p>
    <w:p w14:paraId="31B4B3AA"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První návrh na doplnění § 104 zákona č. 127/2005 Sb., o elektronických komunikacích, je již zpracován a </w:t>
      </w:r>
      <w:r w:rsidR="00B46589">
        <w:rPr>
          <w:rFonts w:ascii="Arial" w:eastAsia="Calibri" w:hAnsi="Arial" w:cs="Arial"/>
          <w:bCs/>
          <w:color w:val="000000"/>
        </w:rPr>
        <w:t>bude podle okolností zahrnut do novely zákona č. 127/2005 Sb</w:t>
      </w:r>
      <w:r w:rsidRPr="00CB1C8A">
        <w:rPr>
          <w:rFonts w:ascii="Arial" w:eastAsia="Calibri" w:hAnsi="Arial" w:cs="Arial"/>
          <w:bCs/>
          <w:color w:val="000000"/>
        </w:rPr>
        <w:t>.</w:t>
      </w:r>
    </w:p>
    <w:p w14:paraId="7C5D5AE5"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2474F0BD"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2.9 Předávání některých technicky nenáročných staveb sítí elektronických komunikací do užívání</w:t>
      </w:r>
    </w:p>
    <w:p w14:paraId="35444BB7"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bylo splněno nabytím účinnosti zákona č. 1</w:t>
      </w:r>
      <w:r w:rsidR="00B46589">
        <w:rPr>
          <w:rFonts w:ascii="Arial" w:eastAsia="Calibri" w:hAnsi="Arial" w:cs="Arial"/>
          <w:bCs/>
          <w:color w:val="000000"/>
        </w:rPr>
        <w:t>9</w:t>
      </w:r>
      <w:r w:rsidRPr="00CB1C8A">
        <w:rPr>
          <w:rFonts w:ascii="Arial" w:eastAsia="Calibri" w:hAnsi="Arial" w:cs="Arial"/>
          <w:bCs/>
          <w:color w:val="000000"/>
        </w:rPr>
        <w:t>4/2017 Sb.</w:t>
      </w:r>
    </w:p>
    <w:p w14:paraId="18198925" w14:textId="029CDA13"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Možnost dalšího zjednodušeného předávání technicky nenáročných staveb sítí elektronických komunikací do užívání se nacházejí v stadiu </w:t>
      </w:r>
      <w:r w:rsidR="007E4ECB">
        <w:rPr>
          <w:rFonts w:ascii="Arial" w:eastAsia="Calibri" w:hAnsi="Arial" w:cs="Arial"/>
          <w:bCs/>
          <w:color w:val="000000"/>
        </w:rPr>
        <w:t>řešení</w:t>
      </w:r>
      <w:r w:rsidR="007E4ECB" w:rsidRPr="00CB1C8A">
        <w:rPr>
          <w:rFonts w:ascii="Arial" w:eastAsia="Calibri" w:hAnsi="Arial" w:cs="Arial"/>
          <w:bCs/>
          <w:color w:val="000000"/>
        </w:rPr>
        <w:t xml:space="preserve"> </w:t>
      </w:r>
      <w:r w:rsidRPr="00CB1C8A">
        <w:rPr>
          <w:rFonts w:ascii="Arial" w:eastAsia="Calibri" w:hAnsi="Arial" w:cs="Arial"/>
          <w:bCs/>
          <w:color w:val="000000"/>
        </w:rPr>
        <w:t xml:space="preserve">v rámci novely zákona č. 416/2009 Sb. (viz sněmovní tisk č. 76). </w:t>
      </w:r>
    </w:p>
    <w:p w14:paraId="26AF05DE"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2380DCAF" w14:textId="77777777" w:rsidR="00CB1C8A" w:rsidRPr="00CB1C8A" w:rsidRDefault="00CB1C8A" w:rsidP="00E73FDB">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lastRenderedPageBreak/>
        <w:t>Opatření č. 2.11 Zjednodušení procesu vyvlastnění</w:t>
      </w:r>
    </w:p>
    <w:p w14:paraId="219EE08C" w14:textId="5666B888"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V období do r. 2020 </w:t>
      </w:r>
      <w:r w:rsidR="007E4ECB" w:rsidRPr="00CB1C8A">
        <w:rPr>
          <w:rFonts w:ascii="Arial" w:eastAsia="Calibri" w:hAnsi="Arial" w:cs="Arial"/>
          <w:bCs/>
          <w:color w:val="000000"/>
        </w:rPr>
        <w:t>M</w:t>
      </w:r>
      <w:r w:rsidR="007E4ECB">
        <w:rPr>
          <w:rFonts w:ascii="Arial" w:eastAsia="Calibri" w:hAnsi="Arial" w:cs="Arial"/>
          <w:bCs/>
          <w:color w:val="000000"/>
        </w:rPr>
        <w:t>inisterstvo pro místní rozvoj</w:t>
      </w:r>
      <w:r w:rsidR="007E4ECB" w:rsidRPr="00CB1C8A">
        <w:rPr>
          <w:rFonts w:ascii="Arial" w:eastAsia="Calibri" w:hAnsi="Arial" w:cs="Arial"/>
          <w:bCs/>
          <w:color w:val="000000"/>
        </w:rPr>
        <w:t xml:space="preserve"> </w:t>
      </w:r>
      <w:r w:rsidRPr="00CB1C8A">
        <w:rPr>
          <w:rFonts w:ascii="Arial" w:eastAsia="Calibri" w:hAnsi="Arial" w:cs="Arial"/>
          <w:bCs/>
          <w:color w:val="000000"/>
        </w:rPr>
        <w:t>připraví nový zákon o vyvlastnění.</w:t>
      </w:r>
    </w:p>
    <w:p w14:paraId="67190C76"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46FFEE26"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2.12 Výstavba v oblasti zájmů státní památkové péče</w:t>
      </w:r>
    </w:p>
    <w:p w14:paraId="635FF521"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V souladu s plánem legislativních prací vlády </w:t>
      </w:r>
      <w:r w:rsidR="00B46589">
        <w:rPr>
          <w:rFonts w:ascii="Arial" w:eastAsia="Calibri" w:hAnsi="Arial" w:cs="Arial"/>
          <w:bCs/>
          <w:color w:val="000000"/>
        </w:rPr>
        <w:t xml:space="preserve">hodlá </w:t>
      </w:r>
      <w:r w:rsidRPr="00CB1C8A">
        <w:rPr>
          <w:rFonts w:ascii="Arial" w:eastAsia="Calibri" w:hAnsi="Arial" w:cs="Arial"/>
          <w:bCs/>
          <w:color w:val="000000"/>
        </w:rPr>
        <w:t xml:space="preserve">do konce záři 2018 Ministerstvo kultury (tj. gestor opatření) předložit nový zákon o ochraně památkového fondu. </w:t>
      </w:r>
    </w:p>
    <w:p w14:paraId="734BDE35"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409894AF"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2.14 Výše náhrad za zřizování věcných břemen</w:t>
      </w:r>
    </w:p>
    <w:p w14:paraId="388CDA1D" w14:textId="3DC22B00"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MPO obdrželo od Platformy řadu podnětů a </w:t>
      </w:r>
      <w:r w:rsidR="007E4ECB" w:rsidRPr="00CB1C8A">
        <w:rPr>
          <w:rFonts w:ascii="Arial" w:eastAsia="Calibri" w:hAnsi="Arial" w:cs="Arial"/>
          <w:bCs/>
          <w:color w:val="000000"/>
        </w:rPr>
        <w:t>návrh</w:t>
      </w:r>
      <w:r w:rsidR="007E4ECB">
        <w:rPr>
          <w:rFonts w:ascii="Arial" w:eastAsia="Calibri" w:hAnsi="Arial" w:cs="Arial"/>
          <w:bCs/>
          <w:color w:val="000000"/>
        </w:rPr>
        <w:t>ů</w:t>
      </w:r>
      <w:r w:rsidRPr="00CB1C8A">
        <w:rPr>
          <w:rFonts w:ascii="Arial" w:eastAsia="Calibri" w:hAnsi="Arial" w:cs="Arial"/>
          <w:bCs/>
          <w:color w:val="000000"/>
        </w:rPr>
        <w:t>, které je nezbytné podrobněji prodiskutovat a analyzovat. Postupně budou podněty a návrhy projednávány s Ministerstvem financí.</w:t>
      </w:r>
    </w:p>
    <w:p w14:paraId="0E984A87"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036FD52B" w14:textId="0A1A12B5" w:rsidR="00CB1C8A" w:rsidRPr="00CB1C8A" w:rsidRDefault="00CB1C8A" w:rsidP="00E65C84">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2.15 Neexistující informace o vysokokapacitní přípojn</w:t>
      </w:r>
      <w:r w:rsidR="00876D95">
        <w:rPr>
          <w:rFonts w:ascii="Arial" w:eastAsia="Times New Roman" w:hAnsi="Arial" w:cs="Arial"/>
          <w:bCs/>
          <w:color w:val="auto"/>
          <w:u w:val="single"/>
          <w:lang w:eastAsia="cs-CZ"/>
        </w:rPr>
        <w:t>é</w:t>
      </w:r>
      <w:r w:rsidRPr="00CB1C8A">
        <w:rPr>
          <w:rFonts w:ascii="Arial" w:eastAsia="Times New Roman" w:hAnsi="Arial" w:cs="Arial"/>
          <w:bCs/>
          <w:color w:val="auto"/>
          <w:u w:val="single"/>
          <w:lang w:eastAsia="cs-CZ"/>
        </w:rPr>
        <w:t xml:space="preserve"> infrastruktuře</w:t>
      </w:r>
    </w:p>
    <w:p w14:paraId="6C0DF41D" w14:textId="1BCBB367" w:rsidR="00B92DC1" w:rsidRPr="00450CE1" w:rsidRDefault="00831D06" w:rsidP="00EE6207">
      <w:pPr>
        <w:numPr>
          <w:ilvl w:val="0"/>
          <w:numId w:val="39"/>
        </w:numPr>
        <w:spacing w:after="0" w:line="312" w:lineRule="auto"/>
        <w:contextualSpacing/>
        <w:jc w:val="both"/>
        <w:rPr>
          <w:rFonts w:ascii="Arial" w:hAnsi="Arial"/>
          <w:color w:val="auto"/>
        </w:rPr>
      </w:pPr>
      <w:r>
        <w:rPr>
          <w:rFonts w:ascii="Arial" w:eastAsia="Calibri" w:hAnsi="Arial" w:cs="Arial"/>
          <w:bCs/>
          <w:color w:val="000000"/>
        </w:rPr>
        <w:t>Byla z</w:t>
      </w:r>
      <w:r w:rsidRPr="00CB1C8A">
        <w:rPr>
          <w:rFonts w:ascii="Arial" w:eastAsia="Calibri" w:hAnsi="Arial" w:cs="Arial"/>
          <w:bCs/>
          <w:color w:val="000000"/>
        </w:rPr>
        <w:t xml:space="preserve">ahájená </w:t>
      </w:r>
      <w:r w:rsidR="00CB1C8A" w:rsidRPr="00CB1C8A">
        <w:rPr>
          <w:rFonts w:ascii="Arial" w:eastAsia="Calibri" w:hAnsi="Arial" w:cs="Arial"/>
          <w:bCs/>
          <w:color w:val="000000"/>
        </w:rPr>
        <w:t>diskuze</w:t>
      </w:r>
      <w:r w:rsidR="005B095D" w:rsidRPr="005B095D">
        <w:rPr>
          <w:rFonts w:ascii="Arial" w:eastAsia="Calibri" w:hAnsi="Arial" w:cs="Arial"/>
          <w:bCs/>
          <w:color w:val="000000"/>
        </w:rPr>
        <w:t xml:space="preserve"> o</w:t>
      </w:r>
      <w:r w:rsidR="00CB1C8A" w:rsidRPr="00CB1C8A">
        <w:rPr>
          <w:rFonts w:ascii="Arial" w:eastAsia="Calibri" w:hAnsi="Arial" w:cs="Arial"/>
          <w:bCs/>
          <w:color w:val="000000"/>
        </w:rPr>
        <w:t xml:space="preserve"> </w:t>
      </w:r>
      <w:r w:rsidR="005B095D" w:rsidRPr="005B095D">
        <w:rPr>
          <w:rFonts w:ascii="Arial" w:eastAsia="Calibri" w:hAnsi="Arial" w:cs="Arial"/>
          <w:bCs/>
          <w:color w:val="000000"/>
        </w:rPr>
        <w:t xml:space="preserve">vysokokapacitní </w:t>
      </w:r>
      <w:r w:rsidRPr="00CB1C8A">
        <w:rPr>
          <w:rFonts w:ascii="Arial" w:eastAsia="Calibri" w:hAnsi="Arial" w:cs="Arial"/>
          <w:bCs/>
          <w:color w:val="000000"/>
        </w:rPr>
        <w:t>přípojn</w:t>
      </w:r>
      <w:r>
        <w:rPr>
          <w:rFonts w:ascii="Arial" w:eastAsia="Calibri" w:hAnsi="Arial" w:cs="Arial"/>
          <w:bCs/>
          <w:color w:val="000000"/>
        </w:rPr>
        <w:t>é</w:t>
      </w:r>
      <w:r w:rsidRPr="005B095D">
        <w:rPr>
          <w:rFonts w:ascii="Arial" w:eastAsia="Calibri" w:hAnsi="Arial" w:cs="Arial"/>
          <w:bCs/>
          <w:color w:val="000000"/>
        </w:rPr>
        <w:t xml:space="preserve"> </w:t>
      </w:r>
      <w:r w:rsidR="005B095D" w:rsidRPr="005B095D">
        <w:rPr>
          <w:rFonts w:ascii="Arial" w:eastAsia="Calibri" w:hAnsi="Arial" w:cs="Arial"/>
          <w:bCs/>
          <w:color w:val="000000"/>
        </w:rPr>
        <w:t>infrastruktuře</w:t>
      </w:r>
      <w:r w:rsidR="00450CE1">
        <w:rPr>
          <w:rFonts w:ascii="Arial" w:eastAsia="Calibri" w:hAnsi="Arial" w:cs="Arial"/>
          <w:bCs/>
          <w:color w:val="000000"/>
        </w:rPr>
        <w:t xml:space="preserve"> </w:t>
      </w:r>
      <w:r>
        <w:rPr>
          <w:rFonts w:ascii="Arial" w:eastAsia="Calibri" w:hAnsi="Arial" w:cs="Arial"/>
          <w:bCs/>
          <w:color w:val="000000"/>
        </w:rPr>
        <w:t>s</w:t>
      </w:r>
      <w:r w:rsidR="00CB1C8A" w:rsidRPr="00CB1C8A">
        <w:rPr>
          <w:rFonts w:ascii="Arial" w:eastAsia="Calibri" w:hAnsi="Arial" w:cs="Arial"/>
          <w:bCs/>
          <w:color w:val="000000"/>
        </w:rPr>
        <w:t xml:space="preserve"> </w:t>
      </w:r>
      <w:r w:rsidRPr="00CB1C8A">
        <w:rPr>
          <w:rFonts w:ascii="Arial" w:eastAsia="Calibri" w:hAnsi="Arial" w:cs="Arial"/>
          <w:bCs/>
          <w:color w:val="000000"/>
        </w:rPr>
        <w:t>Platform</w:t>
      </w:r>
      <w:r>
        <w:rPr>
          <w:rFonts w:ascii="Arial" w:eastAsia="Calibri" w:hAnsi="Arial" w:cs="Arial"/>
          <w:bCs/>
          <w:color w:val="000000"/>
        </w:rPr>
        <w:t>ou.</w:t>
      </w:r>
      <w:r w:rsidRPr="00EE6207">
        <w:rPr>
          <w:rFonts w:ascii="Arial" w:hAnsi="Arial"/>
          <w:color w:val="000000"/>
        </w:rPr>
        <w:t xml:space="preserve"> </w:t>
      </w:r>
    </w:p>
    <w:p w14:paraId="04059162" w14:textId="58742593" w:rsidR="00831D06" w:rsidRDefault="00EE6207" w:rsidP="00450CE1">
      <w:pPr>
        <w:numPr>
          <w:ilvl w:val="0"/>
          <w:numId w:val="39"/>
        </w:numPr>
        <w:spacing w:after="0" w:line="312" w:lineRule="auto"/>
        <w:contextualSpacing/>
        <w:jc w:val="both"/>
        <w:rPr>
          <w:rFonts w:ascii="Arial" w:hAnsi="Arial"/>
          <w:color w:val="auto"/>
        </w:rPr>
      </w:pPr>
      <w:r w:rsidRPr="00EE6207">
        <w:rPr>
          <w:rFonts w:ascii="Arial" w:hAnsi="Arial"/>
          <w:color w:val="auto"/>
        </w:rPr>
        <w:t xml:space="preserve">Potřeba a vhodnost zjištění rozsahu a dostupnosti optických přípojných sítí byla </w:t>
      </w:r>
      <w:r w:rsidR="00831D06">
        <w:rPr>
          <w:rFonts w:ascii="Arial" w:hAnsi="Arial"/>
          <w:color w:val="auto"/>
        </w:rPr>
        <w:t>v rámci problematiky implementace programu podpory „Vysokorychlostní internet“ OP PIK</w:t>
      </w:r>
      <w:r w:rsidR="00831D06" w:rsidRPr="00EE6207">
        <w:rPr>
          <w:rFonts w:ascii="Arial" w:hAnsi="Arial"/>
          <w:color w:val="auto"/>
        </w:rPr>
        <w:t xml:space="preserve"> </w:t>
      </w:r>
      <w:r w:rsidRPr="00EE6207">
        <w:rPr>
          <w:rFonts w:ascii="Arial" w:hAnsi="Arial"/>
          <w:color w:val="auto"/>
        </w:rPr>
        <w:t>diskutována se zástupci EK</w:t>
      </w:r>
      <w:r w:rsidR="007E5B78">
        <w:rPr>
          <w:rFonts w:ascii="Arial" w:hAnsi="Arial"/>
          <w:color w:val="auto"/>
        </w:rPr>
        <w:t>.</w:t>
      </w:r>
    </w:p>
    <w:p w14:paraId="7AD25709" w14:textId="77777777" w:rsidR="00450CE1" w:rsidRPr="00450CE1" w:rsidRDefault="00450CE1" w:rsidP="00450CE1">
      <w:pPr>
        <w:spacing w:after="0" w:line="312" w:lineRule="auto"/>
        <w:ind w:left="1146"/>
        <w:contextualSpacing/>
        <w:jc w:val="both"/>
        <w:rPr>
          <w:rFonts w:ascii="Arial" w:hAnsi="Arial"/>
          <w:color w:val="auto"/>
        </w:rPr>
      </w:pPr>
    </w:p>
    <w:p w14:paraId="285EA2D9" w14:textId="77777777" w:rsidR="00CB1C8A" w:rsidRPr="00CB1C8A" w:rsidRDefault="00CB1C8A" w:rsidP="00E65C84">
      <w:pPr>
        <w:spacing w:line="312" w:lineRule="auto"/>
        <w:ind w:left="426"/>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3.1 Prověřit potřebu novely zákona o správních poplatcích</w:t>
      </w:r>
    </w:p>
    <w:p w14:paraId="519A171A"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Opatření bylo částečně splněno nabytím účinnosti zákona č. 194/2017 Sb.</w:t>
      </w:r>
    </w:p>
    <w:p w14:paraId="1F752A19" w14:textId="77777777"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 xml:space="preserve">V případě přijetí novely zákona č. 416/2009 Sb. (sněmovní tisk č. 76) bude toto opatření fakticky realizováno. </w:t>
      </w:r>
    </w:p>
    <w:p w14:paraId="6CDCB8E7"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6AAE5C1E" w14:textId="77777777" w:rsidR="00CB1C8A" w:rsidRPr="00CB1C8A" w:rsidRDefault="00CB1C8A" w:rsidP="00E65C84">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3.3 Poplatky za užívání veřejných prostranství</w:t>
      </w:r>
    </w:p>
    <w:p w14:paraId="3E10E1CF" w14:textId="66B11335"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Realizací nejvýznamnějšího návrhu Platformy, který je zařazen do plnění opatření č.</w:t>
      </w:r>
      <w:r w:rsidR="00E65C84">
        <w:rPr>
          <w:rFonts w:ascii="Arial" w:eastAsia="Calibri" w:hAnsi="Arial" w:cs="Arial"/>
          <w:bCs/>
          <w:color w:val="000000"/>
        </w:rPr>
        <w:t> </w:t>
      </w:r>
      <w:r w:rsidRPr="00CB1C8A">
        <w:rPr>
          <w:rFonts w:ascii="Arial" w:eastAsia="Calibri" w:hAnsi="Arial" w:cs="Arial"/>
          <w:bCs/>
          <w:color w:val="000000"/>
        </w:rPr>
        <w:t>2.14, bude opatření č. 3.3 splněno.</w:t>
      </w:r>
    </w:p>
    <w:p w14:paraId="28B3A628"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0EFA0BD9" w14:textId="77777777" w:rsidR="00CB1C8A" w:rsidRPr="00CB1C8A" w:rsidRDefault="00CB1C8A" w:rsidP="00E65C84">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t>Opatření č. 3.4 Odpovědnost obcí za hospodaření s majetkem v souvislosti s výstavbou</w:t>
      </w:r>
    </w:p>
    <w:p w14:paraId="29A549F7" w14:textId="37AB0994" w:rsidR="00CB1C8A" w:rsidRPr="00CB1C8A" w:rsidRDefault="002044EC" w:rsidP="00E65C84">
      <w:pPr>
        <w:numPr>
          <w:ilvl w:val="0"/>
          <w:numId w:val="39"/>
        </w:numPr>
        <w:spacing w:after="0" w:line="312" w:lineRule="auto"/>
        <w:contextualSpacing/>
        <w:jc w:val="both"/>
        <w:rPr>
          <w:rFonts w:ascii="Arial" w:eastAsia="Calibri" w:hAnsi="Arial" w:cs="Arial"/>
          <w:bCs/>
          <w:color w:val="000000"/>
        </w:rPr>
      </w:pPr>
      <w:r>
        <w:rPr>
          <w:rFonts w:ascii="Arial" w:eastAsia="Calibri" w:hAnsi="Arial" w:cs="Arial"/>
          <w:bCs/>
          <w:color w:val="000000"/>
        </w:rPr>
        <w:t>Probíhá diskuze s Ministerstvem financí nad návrhy platformy</w:t>
      </w:r>
      <w:r w:rsidR="00436EBB">
        <w:rPr>
          <w:rFonts w:ascii="Arial" w:eastAsia="Calibri" w:hAnsi="Arial" w:cs="Arial"/>
          <w:bCs/>
          <w:color w:val="000000"/>
        </w:rPr>
        <w:t xml:space="preserve"> (viz opatření č.  2.14).</w:t>
      </w:r>
    </w:p>
    <w:p w14:paraId="4513632B" w14:textId="77777777" w:rsidR="00CB1C8A" w:rsidRPr="00CB1C8A" w:rsidRDefault="00CB1C8A" w:rsidP="00E65C84">
      <w:pPr>
        <w:spacing w:line="312" w:lineRule="auto"/>
        <w:ind w:left="426"/>
        <w:jc w:val="both"/>
        <w:rPr>
          <w:rFonts w:ascii="Arial" w:eastAsia="Times New Roman" w:hAnsi="Arial" w:cs="Arial"/>
          <w:bCs/>
          <w:color w:val="auto"/>
          <w:lang w:eastAsia="cs-CZ"/>
        </w:rPr>
      </w:pPr>
    </w:p>
    <w:p w14:paraId="13D04BAE" w14:textId="77777777" w:rsidR="00CB1C8A" w:rsidRPr="00CB1C8A" w:rsidRDefault="00CB1C8A" w:rsidP="00E73FDB">
      <w:pPr>
        <w:keepNext/>
        <w:spacing w:line="312" w:lineRule="auto"/>
        <w:ind w:left="425"/>
        <w:jc w:val="both"/>
        <w:rPr>
          <w:rFonts w:ascii="Arial" w:eastAsia="Times New Roman" w:hAnsi="Arial" w:cs="Arial"/>
          <w:bCs/>
          <w:color w:val="auto"/>
          <w:u w:val="single"/>
          <w:lang w:eastAsia="cs-CZ"/>
        </w:rPr>
      </w:pPr>
      <w:r w:rsidRPr="00CB1C8A">
        <w:rPr>
          <w:rFonts w:ascii="Arial" w:eastAsia="Times New Roman" w:hAnsi="Arial" w:cs="Arial"/>
          <w:bCs/>
          <w:color w:val="auto"/>
          <w:u w:val="single"/>
          <w:lang w:eastAsia="cs-CZ"/>
        </w:rPr>
        <w:lastRenderedPageBreak/>
        <w:t>Opatření č. 3.5 Daňové odpisy a daň z příjmů u bezúplatných věcných břemen</w:t>
      </w:r>
    </w:p>
    <w:p w14:paraId="38F40AA2" w14:textId="3A933C5A" w:rsidR="00CB1C8A" w:rsidRPr="00CB1C8A" w:rsidRDefault="00CB1C8A" w:rsidP="00E65C84">
      <w:pPr>
        <w:numPr>
          <w:ilvl w:val="0"/>
          <w:numId w:val="39"/>
        </w:numPr>
        <w:spacing w:after="0" w:line="312" w:lineRule="auto"/>
        <w:contextualSpacing/>
        <w:jc w:val="both"/>
        <w:rPr>
          <w:rFonts w:ascii="Arial" w:eastAsia="Calibri" w:hAnsi="Arial" w:cs="Arial"/>
          <w:bCs/>
          <w:color w:val="000000"/>
        </w:rPr>
      </w:pPr>
      <w:r w:rsidRPr="00CB1C8A">
        <w:rPr>
          <w:rFonts w:ascii="Arial" w:eastAsia="Calibri" w:hAnsi="Arial" w:cs="Arial"/>
          <w:bCs/>
          <w:color w:val="000000"/>
        </w:rPr>
        <w:t>M</w:t>
      </w:r>
      <w:r w:rsidR="00061D18">
        <w:rPr>
          <w:rFonts w:ascii="Arial" w:eastAsia="Calibri" w:hAnsi="Arial" w:cs="Arial"/>
          <w:bCs/>
          <w:color w:val="000000"/>
        </w:rPr>
        <w:t>PO</w:t>
      </w:r>
      <w:r w:rsidRPr="00CB1C8A">
        <w:rPr>
          <w:rFonts w:ascii="Arial" w:eastAsia="Calibri" w:hAnsi="Arial" w:cs="Arial"/>
          <w:bCs/>
          <w:color w:val="000000"/>
        </w:rPr>
        <w:t xml:space="preserve"> společně s Platformou připravují návrhy, které je nezbytné podrobněji prodiskutovat a analyzovat. Postupně budou podněty a návrhy projednávány s Ministerstvem financí.</w:t>
      </w:r>
    </w:p>
    <w:p w14:paraId="0548BA14" w14:textId="77777777" w:rsidR="00CB1C8A" w:rsidRDefault="00CB1C8A" w:rsidP="00E65C84">
      <w:pPr>
        <w:spacing w:line="312" w:lineRule="auto"/>
        <w:ind w:left="426"/>
        <w:jc w:val="both"/>
        <w:rPr>
          <w:rFonts w:ascii="Arial" w:eastAsia="Times New Roman" w:hAnsi="Arial" w:cs="Arial"/>
          <w:bCs/>
          <w:color w:val="auto"/>
          <w:lang w:eastAsia="cs-CZ"/>
        </w:rPr>
      </w:pPr>
    </w:p>
    <w:p w14:paraId="4155CF97" w14:textId="40A5F095" w:rsidR="00470926" w:rsidRPr="00E73FDB" w:rsidRDefault="00470926" w:rsidP="00450CE1">
      <w:pPr>
        <w:numPr>
          <w:ilvl w:val="0"/>
          <w:numId w:val="38"/>
        </w:numPr>
        <w:spacing w:after="0" w:line="312" w:lineRule="auto"/>
        <w:ind w:left="426"/>
        <w:contextualSpacing/>
        <w:jc w:val="both"/>
        <w:rPr>
          <w:rFonts w:ascii="Arial" w:hAnsi="Arial"/>
          <w:color w:val="000000"/>
        </w:rPr>
      </w:pPr>
      <w:r>
        <w:rPr>
          <w:rFonts w:ascii="Arial" w:eastAsia="Calibri" w:hAnsi="Arial" w:cs="Arial"/>
          <w:bCs/>
          <w:color w:val="000000"/>
        </w:rPr>
        <w:t>Podpora</w:t>
      </w:r>
      <w:r w:rsidRPr="00450CE1">
        <w:rPr>
          <w:rFonts w:ascii="Arial" w:hAnsi="Arial"/>
          <w:color w:val="000000"/>
        </w:rPr>
        <w:t xml:space="preserve"> a</w:t>
      </w:r>
      <w:r>
        <w:rPr>
          <w:rFonts w:ascii="Arial" w:eastAsia="Calibri" w:hAnsi="Arial" w:cs="Arial"/>
          <w:bCs/>
          <w:color w:val="000000"/>
        </w:rPr>
        <w:t xml:space="preserve"> propagace výstavby</w:t>
      </w:r>
      <w:r w:rsidRPr="00450CE1">
        <w:rPr>
          <w:rFonts w:ascii="Arial" w:hAnsi="Arial"/>
          <w:color w:val="000000"/>
        </w:rPr>
        <w:t xml:space="preserve"> sítí elektronických komunikací</w:t>
      </w:r>
      <w:r>
        <w:rPr>
          <w:rFonts w:ascii="Arial" w:eastAsia="Calibri" w:hAnsi="Arial" w:cs="Arial"/>
          <w:bCs/>
          <w:color w:val="000000"/>
        </w:rPr>
        <w:t xml:space="preserve"> prostřednictvím osvětové činnosti. </w:t>
      </w:r>
      <w:r w:rsidR="007E5B78">
        <w:rPr>
          <w:rFonts w:ascii="Arial" w:eastAsia="Calibri" w:hAnsi="Arial" w:cs="Arial"/>
          <w:bCs/>
          <w:color w:val="000000"/>
        </w:rPr>
        <w:t>Předpokládá se</w:t>
      </w:r>
    </w:p>
    <w:p w14:paraId="24B69612" w14:textId="77777777" w:rsidR="00E73FDB" w:rsidRPr="00450CE1" w:rsidRDefault="00E73FDB" w:rsidP="00E73FDB">
      <w:pPr>
        <w:spacing w:after="0" w:line="312" w:lineRule="auto"/>
        <w:ind w:left="426"/>
        <w:contextualSpacing/>
        <w:jc w:val="both"/>
        <w:rPr>
          <w:rFonts w:ascii="Arial" w:hAnsi="Arial"/>
          <w:color w:val="000000"/>
        </w:rPr>
      </w:pPr>
    </w:p>
    <w:p w14:paraId="54F24AB5" w14:textId="4E451725" w:rsidR="00470926" w:rsidRDefault="00470926" w:rsidP="00470926">
      <w:pPr>
        <w:numPr>
          <w:ilvl w:val="0"/>
          <w:numId w:val="39"/>
        </w:numPr>
        <w:spacing w:after="0" w:line="312" w:lineRule="auto"/>
        <w:contextualSpacing/>
        <w:jc w:val="both"/>
        <w:rPr>
          <w:rFonts w:ascii="Arial" w:eastAsia="Times New Roman" w:hAnsi="Arial" w:cs="Arial"/>
          <w:bCs/>
          <w:color w:val="auto"/>
          <w:lang w:eastAsia="cs-CZ"/>
        </w:rPr>
      </w:pPr>
      <w:r>
        <w:rPr>
          <w:rFonts w:ascii="Arial" w:eastAsia="Times New Roman" w:hAnsi="Arial" w:cs="Arial"/>
          <w:bCs/>
          <w:color w:val="auto"/>
          <w:lang w:eastAsia="cs-CZ"/>
        </w:rPr>
        <w:t>vydání stručné propagační brožury (adresované místním samosprávám), ve které budou populární formou zpropagovány jednak pozitiva výstavby sítí elektronických komunikací ve městech a na venkově, a dále způsoby možných řešení potenciálních konfliktních situací; vydání brožury bude doplněno detailnější podporou v elektronické formě,</w:t>
      </w:r>
    </w:p>
    <w:p w14:paraId="2F8E92A0" w14:textId="409CD384" w:rsidR="00470926" w:rsidRDefault="00B92DC1" w:rsidP="00B92DC1">
      <w:pPr>
        <w:numPr>
          <w:ilvl w:val="0"/>
          <w:numId w:val="39"/>
        </w:numPr>
        <w:spacing w:after="0" w:line="312" w:lineRule="auto"/>
        <w:contextualSpacing/>
        <w:jc w:val="both"/>
        <w:rPr>
          <w:rFonts w:ascii="Arial" w:eastAsia="Times New Roman" w:hAnsi="Arial" w:cs="Arial"/>
          <w:bCs/>
          <w:color w:val="auto"/>
          <w:lang w:eastAsia="cs-CZ"/>
        </w:rPr>
      </w:pPr>
      <w:r>
        <w:rPr>
          <w:rFonts w:ascii="Arial" w:eastAsia="Times New Roman" w:hAnsi="Arial" w:cs="Arial"/>
          <w:bCs/>
          <w:color w:val="auto"/>
          <w:lang w:eastAsia="cs-CZ"/>
        </w:rPr>
        <w:t xml:space="preserve">vydání </w:t>
      </w:r>
      <w:r w:rsidRPr="00B92DC1">
        <w:rPr>
          <w:rFonts w:ascii="Arial" w:eastAsia="Times New Roman" w:hAnsi="Arial" w:cs="Arial"/>
          <w:bCs/>
          <w:color w:val="auto"/>
          <w:lang w:eastAsia="cs-CZ"/>
        </w:rPr>
        <w:t>Metodick</w:t>
      </w:r>
      <w:r>
        <w:rPr>
          <w:rFonts w:ascii="Arial" w:eastAsia="Times New Roman" w:hAnsi="Arial" w:cs="Arial"/>
          <w:bCs/>
          <w:color w:val="auto"/>
          <w:lang w:eastAsia="cs-CZ"/>
        </w:rPr>
        <w:t>é</w:t>
      </w:r>
      <w:r w:rsidRPr="00B92DC1">
        <w:rPr>
          <w:rFonts w:ascii="Arial" w:eastAsia="Times New Roman" w:hAnsi="Arial" w:cs="Arial"/>
          <w:bCs/>
          <w:color w:val="auto"/>
          <w:lang w:eastAsia="cs-CZ"/>
        </w:rPr>
        <w:t xml:space="preserve"> pracovní pomůck</w:t>
      </w:r>
      <w:r>
        <w:rPr>
          <w:rFonts w:ascii="Arial" w:eastAsia="Times New Roman" w:hAnsi="Arial" w:cs="Arial"/>
          <w:bCs/>
          <w:color w:val="auto"/>
          <w:lang w:eastAsia="cs-CZ"/>
        </w:rPr>
        <w:t>y</w:t>
      </w:r>
      <w:r w:rsidRPr="00B92DC1">
        <w:rPr>
          <w:rFonts w:ascii="Arial" w:eastAsia="Times New Roman" w:hAnsi="Arial" w:cs="Arial"/>
          <w:bCs/>
          <w:color w:val="auto"/>
          <w:lang w:eastAsia="cs-CZ"/>
        </w:rPr>
        <w:t xml:space="preserve"> </w:t>
      </w:r>
      <w:r>
        <w:rPr>
          <w:rFonts w:ascii="Arial" w:eastAsia="Times New Roman" w:hAnsi="Arial" w:cs="Arial"/>
          <w:bCs/>
          <w:color w:val="auto"/>
          <w:lang w:eastAsia="cs-CZ"/>
        </w:rPr>
        <w:t>(po její</w:t>
      </w:r>
      <w:r w:rsidR="00450CE1">
        <w:rPr>
          <w:rFonts w:ascii="Arial" w:eastAsia="Times New Roman" w:hAnsi="Arial" w:cs="Arial"/>
          <w:bCs/>
          <w:color w:val="auto"/>
          <w:lang w:eastAsia="cs-CZ"/>
        </w:rPr>
        <w:t xml:space="preserve"> finalizaci</w:t>
      </w:r>
      <w:r w:rsidR="000A3299">
        <w:rPr>
          <w:rFonts w:ascii="Arial" w:eastAsia="Times New Roman" w:hAnsi="Arial" w:cs="Arial"/>
          <w:bCs/>
          <w:color w:val="auto"/>
          <w:lang w:eastAsia="cs-CZ"/>
        </w:rPr>
        <w:t>) v listinné</w:t>
      </w:r>
      <w:r>
        <w:rPr>
          <w:rFonts w:ascii="Arial" w:eastAsia="Times New Roman" w:hAnsi="Arial" w:cs="Arial"/>
          <w:bCs/>
          <w:color w:val="auto"/>
          <w:lang w:eastAsia="cs-CZ"/>
        </w:rPr>
        <w:t xml:space="preserve"> formě a její distribuce všem </w:t>
      </w:r>
      <w:r w:rsidRPr="00B92DC1">
        <w:rPr>
          <w:rFonts w:ascii="Arial" w:eastAsia="Times New Roman" w:hAnsi="Arial" w:cs="Arial"/>
          <w:bCs/>
          <w:color w:val="auto"/>
          <w:lang w:eastAsia="cs-CZ"/>
        </w:rPr>
        <w:t>stavebním úřadům</w:t>
      </w:r>
      <w:r w:rsidR="00450CE1">
        <w:rPr>
          <w:rFonts w:ascii="Arial" w:eastAsia="Times New Roman" w:hAnsi="Arial" w:cs="Arial"/>
          <w:bCs/>
          <w:color w:val="auto"/>
          <w:lang w:eastAsia="cs-CZ"/>
        </w:rPr>
        <w:t>,</w:t>
      </w:r>
    </w:p>
    <w:p w14:paraId="77540B8D" w14:textId="67CC881B" w:rsidR="00B92DC1" w:rsidRDefault="00B92DC1" w:rsidP="00B92DC1">
      <w:pPr>
        <w:numPr>
          <w:ilvl w:val="0"/>
          <w:numId w:val="39"/>
        </w:numPr>
        <w:spacing w:after="0" w:line="312" w:lineRule="auto"/>
        <w:contextualSpacing/>
        <w:jc w:val="both"/>
        <w:rPr>
          <w:rFonts w:ascii="Arial" w:eastAsia="Times New Roman" w:hAnsi="Arial" w:cs="Arial"/>
          <w:bCs/>
          <w:color w:val="auto"/>
          <w:lang w:eastAsia="cs-CZ"/>
        </w:rPr>
      </w:pPr>
      <w:r>
        <w:rPr>
          <w:rFonts w:ascii="Arial" w:eastAsia="Times New Roman" w:hAnsi="Arial" w:cs="Arial"/>
          <w:bCs/>
          <w:color w:val="auto"/>
          <w:lang w:eastAsia="cs-CZ"/>
        </w:rPr>
        <w:t>vydání propagačního letáku (</w:t>
      </w:r>
      <w:r w:rsidRPr="00B92DC1">
        <w:rPr>
          <w:rFonts w:ascii="Arial" w:eastAsia="Times New Roman" w:hAnsi="Arial" w:cs="Arial"/>
          <w:bCs/>
          <w:color w:val="auto"/>
          <w:lang w:eastAsia="cs-CZ"/>
        </w:rPr>
        <w:t>po schválení TNI</w:t>
      </w:r>
      <w:r>
        <w:rPr>
          <w:rFonts w:ascii="Arial" w:eastAsia="Times New Roman" w:hAnsi="Arial" w:cs="Arial"/>
          <w:bCs/>
          <w:color w:val="auto"/>
          <w:lang w:eastAsia="cs-CZ"/>
        </w:rPr>
        <w:t xml:space="preserve">), který bude informovat </w:t>
      </w:r>
      <w:r w:rsidRPr="00B92DC1">
        <w:rPr>
          <w:rFonts w:ascii="Arial" w:eastAsia="Times New Roman" w:hAnsi="Arial" w:cs="Arial"/>
          <w:bCs/>
          <w:color w:val="auto"/>
          <w:lang w:eastAsia="cs-CZ"/>
        </w:rPr>
        <w:t>o výstavbě vedení e</w:t>
      </w:r>
      <w:r>
        <w:rPr>
          <w:rFonts w:ascii="Arial" w:eastAsia="Times New Roman" w:hAnsi="Arial" w:cs="Arial"/>
          <w:bCs/>
          <w:color w:val="auto"/>
          <w:lang w:eastAsia="cs-CZ"/>
        </w:rPr>
        <w:t xml:space="preserve">lektronických </w:t>
      </w:r>
      <w:r w:rsidRPr="00B92DC1">
        <w:rPr>
          <w:rFonts w:ascii="Arial" w:eastAsia="Times New Roman" w:hAnsi="Arial" w:cs="Arial"/>
          <w:bCs/>
          <w:color w:val="auto"/>
          <w:lang w:eastAsia="cs-CZ"/>
        </w:rPr>
        <w:t>komunikací uvnitř budov</w:t>
      </w:r>
      <w:r>
        <w:rPr>
          <w:rFonts w:ascii="Arial" w:eastAsia="Times New Roman" w:hAnsi="Arial" w:cs="Arial"/>
          <w:bCs/>
          <w:color w:val="auto"/>
          <w:lang w:eastAsia="cs-CZ"/>
        </w:rPr>
        <w:t xml:space="preserve"> a zajištění povinnosti sdílení těchto vedení mezi operátory elektronických komunikací; leták bude distribuován nejvýznamnějším developerům obytných budov.</w:t>
      </w:r>
    </w:p>
    <w:p w14:paraId="6DDE4826" w14:textId="77777777" w:rsidR="00876D95" w:rsidRDefault="00876D95" w:rsidP="00E65C84">
      <w:pPr>
        <w:spacing w:line="312" w:lineRule="auto"/>
        <w:ind w:left="426"/>
        <w:jc w:val="both"/>
        <w:rPr>
          <w:rFonts w:ascii="Arial" w:eastAsia="Times New Roman" w:hAnsi="Arial" w:cs="Arial"/>
          <w:bCs/>
          <w:color w:val="auto"/>
          <w:lang w:eastAsia="cs-CZ"/>
        </w:rPr>
      </w:pPr>
    </w:p>
    <w:p w14:paraId="7367FBC3" w14:textId="77777777" w:rsidR="00B92DC1" w:rsidRDefault="00B92DC1" w:rsidP="00E65C84">
      <w:pPr>
        <w:spacing w:line="312" w:lineRule="auto"/>
        <w:ind w:left="426"/>
        <w:jc w:val="both"/>
        <w:rPr>
          <w:rFonts w:ascii="Arial" w:eastAsia="Times New Roman" w:hAnsi="Arial" w:cs="Arial"/>
          <w:bCs/>
          <w:color w:val="auto"/>
          <w:lang w:eastAsia="cs-CZ"/>
        </w:rPr>
      </w:pPr>
    </w:p>
    <w:p w14:paraId="77325741" w14:textId="77777777" w:rsidR="00B92DC1" w:rsidRDefault="00B92DC1" w:rsidP="00E65C84">
      <w:pPr>
        <w:spacing w:line="312" w:lineRule="auto"/>
        <w:ind w:left="426"/>
        <w:jc w:val="both"/>
        <w:rPr>
          <w:rFonts w:ascii="Arial" w:eastAsia="Times New Roman" w:hAnsi="Arial" w:cs="Arial"/>
          <w:bCs/>
          <w:color w:val="auto"/>
          <w:lang w:eastAsia="cs-CZ"/>
        </w:rPr>
      </w:pPr>
    </w:p>
    <w:p w14:paraId="614A5CB6" w14:textId="77777777" w:rsidR="00B92DC1" w:rsidRPr="00CB1C8A" w:rsidRDefault="00B92DC1" w:rsidP="00E65C84">
      <w:pPr>
        <w:spacing w:line="312" w:lineRule="auto"/>
        <w:ind w:left="426"/>
        <w:jc w:val="both"/>
        <w:rPr>
          <w:rFonts w:ascii="Arial" w:eastAsia="Times New Roman" w:hAnsi="Arial" w:cs="Arial"/>
          <w:bCs/>
          <w:color w:val="auto"/>
          <w:lang w:eastAsia="cs-CZ"/>
        </w:rPr>
      </w:pPr>
    </w:p>
    <w:p w14:paraId="61AB620D" w14:textId="77777777" w:rsidR="00E73FDB" w:rsidRDefault="00E73FDB">
      <w:pPr>
        <w:spacing w:after="200" w:line="276" w:lineRule="auto"/>
        <w:rPr>
          <w:rFonts w:ascii="Arial" w:eastAsia="Times New Roman" w:hAnsi="Arial" w:cs="Arial"/>
          <w:b/>
          <w:bCs/>
          <w:color w:val="auto"/>
          <w:sz w:val="24"/>
          <w:szCs w:val="24"/>
          <w:lang w:eastAsia="cs-CZ"/>
        </w:rPr>
      </w:pPr>
      <w:r>
        <w:rPr>
          <w:rFonts w:ascii="Arial" w:eastAsia="Times New Roman" w:hAnsi="Arial" w:cs="Arial"/>
          <w:b/>
          <w:bCs/>
          <w:color w:val="auto"/>
          <w:sz w:val="24"/>
          <w:szCs w:val="24"/>
          <w:lang w:eastAsia="cs-CZ"/>
        </w:rPr>
        <w:br w:type="page"/>
      </w:r>
    </w:p>
    <w:p w14:paraId="701020A0" w14:textId="5A394225" w:rsidR="00CB1C8A" w:rsidRDefault="00CB1C8A" w:rsidP="00E65C84">
      <w:pPr>
        <w:spacing w:after="0" w:line="312" w:lineRule="auto"/>
        <w:ind w:left="284" w:hanging="284"/>
        <w:jc w:val="both"/>
        <w:rPr>
          <w:rFonts w:ascii="Arial" w:eastAsia="Times New Roman" w:hAnsi="Arial" w:cs="Arial"/>
          <w:b/>
          <w:bCs/>
          <w:color w:val="auto"/>
          <w:sz w:val="24"/>
          <w:szCs w:val="24"/>
          <w:lang w:eastAsia="cs-CZ"/>
        </w:rPr>
      </w:pPr>
      <w:r w:rsidRPr="00CB1C8A">
        <w:rPr>
          <w:rFonts w:ascii="Arial" w:eastAsia="Times New Roman" w:hAnsi="Arial" w:cs="Arial"/>
          <w:b/>
          <w:bCs/>
          <w:color w:val="auto"/>
          <w:sz w:val="24"/>
          <w:szCs w:val="24"/>
          <w:lang w:eastAsia="cs-CZ"/>
        </w:rPr>
        <w:lastRenderedPageBreak/>
        <w:t>B.</w:t>
      </w:r>
      <w:r w:rsidRPr="00CB1C8A">
        <w:rPr>
          <w:rFonts w:ascii="Arial" w:eastAsia="Times New Roman" w:hAnsi="Arial" w:cs="Arial"/>
          <w:b/>
          <w:bCs/>
          <w:color w:val="auto"/>
          <w:sz w:val="24"/>
          <w:szCs w:val="24"/>
          <w:lang w:eastAsia="cs-CZ"/>
        </w:rPr>
        <w:tab/>
        <w:t>Implementace Programu podpory „Vysokorychlostní internet“ OP PIK</w:t>
      </w:r>
    </w:p>
    <w:p w14:paraId="0364F924" w14:textId="77777777" w:rsidR="00B657C7" w:rsidRPr="00E65C84" w:rsidRDefault="00B657C7" w:rsidP="00B657C7">
      <w:pPr>
        <w:spacing w:line="312" w:lineRule="auto"/>
        <w:jc w:val="both"/>
        <w:rPr>
          <w:rFonts w:ascii="Arial" w:hAnsi="Arial" w:cs="Arial"/>
        </w:rPr>
      </w:pPr>
      <w:r w:rsidRPr="00E65C84">
        <w:rPr>
          <w:rFonts w:ascii="Arial" w:hAnsi="Arial" w:cs="Arial"/>
        </w:rPr>
        <w:t xml:space="preserve">MPO jako řídící orgán Operačního programu Podnikání a inovace pro konkurence obdrželo dne 26. září 2017 tři žádosti o poskytnutí dotace na výstavbu sítí vysokorychlostního přístupu k internetu podle podmínek I. výzvy Programu podpory „Vysokorychlostní internet“ ze dne 31. března 2017. Tyto tři žádosti dosahují celkové výše cca 50 mil. Kč. Reakcí na první výzvu byly stížnosti na Evropskou komisi ohledně nedovolené veřejné podpory. Následovalo zaslání technických dotazů ze strany Evropské komise, které MPO vypořádalo. Dne 23. 4. 2018 proběhlo v Bruselu jednání ve věci stížnosti na první výzvu a popis dalších kroků v přípravách druhé výzvy. </w:t>
      </w:r>
      <w:r>
        <w:rPr>
          <w:rFonts w:ascii="Arial" w:hAnsi="Arial" w:cs="Arial"/>
        </w:rPr>
        <w:t xml:space="preserve">Na tomto jednání bylo dohodnuto, že MPO nalezne cestu jak zrušit první výzvu bez vydání rozhodnutí o poskytnutí dotace. Tím bude možné formálně uzavřít všechny podané stížnosti. </w:t>
      </w:r>
    </w:p>
    <w:p w14:paraId="53B69186" w14:textId="77777777" w:rsidR="00B657C7" w:rsidRPr="00E65C84" w:rsidRDefault="00B657C7" w:rsidP="00B657C7">
      <w:pPr>
        <w:spacing w:line="312" w:lineRule="auto"/>
        <w:jc w:val="both"/>
        <w:rPr>
          <w:rFonts w:ascii="Arial" w:hAnsi="Arial" w:cs="Arial"/>
        </w:rPr>
      </w:pPr>
      <w:r w:rsidRPr="00E65C84">
        <w:rPr>
          <w:rFonts w:ascii="Arial" w:hAnsi="Arial" w:cs="Arial"/>
        </w:rPr>
        <w:t>Nadcházející výzva bude v mnoha ohledech vstřícnější k trhu. Zásadní změna v procesu přípravy druhé výzvy je v odlišném přístupu k veřejné konzultaci. Akceptují se připomínky, ve kterých poskytovatelé doplňují data o pokrytí České republiky. Dříve MPO akceptovalo pouze data z mapování. Dodatečná data z veřejné konzultace byla předána ČTÚ a</w:t>
      </w:r>
      <w:r>
        <w:rPr>
          <w:rFonts w:ascii="Arial" w:hAnsi="Arial" w:cs="Arial"/>
        </w:rPr>
        <w:t> </w:t>
      </w:r>
      <w:r w:rsidRPr="00E65C84">
        <w:rPr>
          <w:rFonts w:ascii="Arial" w:hAnsi="Arial" w:cs="Arial"/>
        </w:rPr>
        <w:t xml:space="preserve">budou využita pro mapování v následujícím roce. </w:t>
      </w:r>
    </w:p>
    <w:p w14:paraId="1DF9AB68" w14:textId="77777777" w:rsidR="00B657C7" w:rsidRPr="00E65C84" w:rsidRDefault="00B657C7" w:rsidP="00B657C7">
      <w:pPr>
        <w:spacing w:line="312" w:lineRule="auto"/>
        <w:jc w:val="both"/>
        <w:rPr>
          <w:rFonts w:ascii="Arial" w:hAnsi="Arial" w:cs="Arial"/>
        </w:rPr>
      </w:pPr>
      <w:r w:rsidRPr="00E65C84">
        <w:rPr>
          <w:rFonts w:ascii="Arial" w:hAnsi="Arial" w:cs="Arial"/>
        </w:rPr>
        <w:t xml:space="preserve">Další změnou je možnost žadatele samostatného výběru oblasti  v rámci bílých míst, kde chce investovat a nemusí investovat v rozsáhlých oblastech, tak jak to bylo v I. výzvě. Dovoleno bude také pořízení aktivních prvků sítí. </w:t>
      </w:r>
    </w:p>
    <w:p w14:paraId="0E317393" w14:textId="77777777" w:rsidR="00B657C7" w:rsidRPr="00E65C84" w:rsidRDefault="00B657C7" w:rsidP="00B657C7">
      <w:pPr>
        <w:spacing w:line="312" w:lineRule="auto"/>
        <w:jc w:val="both"/>
        <w:rPr>
          <w:rFonts w:ascii="Arial" w:hAnsi="Arial" w:cs="Arial"/>
        </w:rPr>
      </w:pPr>
      <w:r w:rsidRPr="00E65C84">
        <w:rPr>
          <w:rFonts w:ascii="Arial" w:hAnsi="Arial" w:cs="Arial"/>
        </w:rPr>
        <w:t>MPO, ve spolupráci s profesními organizacemi, připravuje výzvu na  podporu projektů pro zajištění vysokorychlostního přístupu k síti pro obytné budovy, kde soukromí investoři toto připojení dosud nezajišťují a ani neplánují zajistit, a to v období do konce roku 2019. Takových míst zbývá v České republice cca 84 tisíc, což činí necelá 4% z celkového počtu. Pro podporu projektů by mělo být k dispozici cca 2,5 mld. Kč.</w:t>
      </w:r>
      <w:r w:rsidRPr="005819BB">
        <w:t xml:space="preserve"> </w:t>
      </w:r>
      <w:r w:rsidRPr="005819BB">
        <w:rPr>
          <w:rFonts w:ascii="Arial" w:hAnsi="Arial" w:cs="Arial"/>
        </w:rPr>
        <w:t>Další nepokrytá adresní míst</w:t>
      </w:r>
      <w:r>
        <w:rPr>
          <w:rFonts w:ascii="Arial" w:hAnsi="Arial" w:cs="Arial"/>
        </w:rPr>
        <w:t>a obytných budov jsou v černých a</w:t>
      </w:r>
      <w:r w:rsidRPr="005819BB">
        <w:rPr>
          <w:rFonts w:ascii="Arial" w:hAnsi="Arial" w:cs="Arial"/>
        </w:rPr>
        <w:t xml:space="preserve"> šedých oblastech a v Praze, kam podpora podle pravidel EK směřovat nemůže.</w:t>
      </w:r>
    </w:p>
    <w:p w14:paraId="1A2B8A1F" w14:textId="77777777" w:rsidR="00B657C7" w:rsidRPr="00E65C84" w:rsidRDefault="00B657C7" w:rsidP="00B657C7">
      <w:pPr>
        <w:spacing w:line="312" w:lineRule="auto"/>
        <w:jc w:val="both"/>
        <w:rPr>
          <w:rFonts w:ascii="Arial" w:hAnsi="Arial" w:cs="Arial"/>
        </w:rPr>
      </w:pPr>
      <w:r w:rsidRPr="00E65C84">
        <w:rPr>
          <w:rFonts w:ascii="Arial" w:hAnsi="Arial" w:cs="Arial"/>
        </w:rPr>
        <w:t>Na základě dostupných dat z mapování ČTÚ lze konstatovat, že v roce 2016 byla možnost  vysokorychlostního přístupu k </w:t>
      </w:r>
      <w:proofErr w:type="gramStart"/>
      <w:r w:rsidRPr="00E65C84">
        <w:rPr>
          <w:rFonts w:ascii="Arial" w:hAnsi="Arial" w:cs="Arial"/>
        </w:rPr>
        <w:t>internetu v</w:t>
      </w:r>
      <w:r>
        <w:rPr>
          <w:rFonts w:ascii="Arial" w:hAnsi="Arial" w:cs="Arial"/>
        </w:rPr>
        <w:t> </w:t>
      </w:r>
      <w:r w:rsidRPr="00E65C84">
        <w:rPr>
          <w:rFonts w:ascii="Arial" w:hAnsi="Arial" w:cs="Arial"/>
        </w:rPr>
        <w:t>1</w:t>
      </w:r>
      <w:r>
        <w:rPr>
          <w:rFonts w:ascii="Arial" w:hAnsi="Arial" w:cs="Arial"/>
        </w:rPr>
        <w:t>,</w:t>
      </w:r>
      <w:r w:rsidRPr="00E65C84">
        <w:rPr>
          <w:rFonts w:ascii="Arial" w:hAnsi="Arial" w:cs="Arial"/>
        </w:rPr>
        <w:t>4</w:t>
      </w:r>
      <w:proofErr w:type="gramEnd"/>
      <w:r w:rsidRPr="00E65C84">
        <w:rPr>
          <w:rFonts w:ascii="Arial" w:hAnsi="Arial" w:cs="Arial"/>
        </w:rPr>
        <w:t xml:space="preserve"> mil</w:t>
      </w:r>
      <w:r>
        <w:rPr>
          <w:rFonts w:ascii="Arial" w:hAnsi="Arial" w:cs="Arial"/>
        </w:rPr>
        <w:t>.</w:t>
      </w:r>
      <w:r w:rsidRPr="00E65C84">
        <w:rPr>
          <w:rFonts w:ascii="Arial" w:hAnsi="Arial" w:cs="Arial"/>
        </w:rPr>
        <w:t xml:space="preserve"> obytných budov z celkového počtu 2</w:t>
      </w:r>
      <w:r>
        <w:rPr>
          <w:rFonts w:ascii="Arial" w:hAnsi="Arial" w:cs="Arial"/>
        </w:rPr>
        <w:t>,</w:t>
      </w:r>
      <w:r w:rsidRPr="00E65C84">
        <w:rPr>
          <w:rFonts w:ascii="Arial" w:hAnsi="Arial" w:cs="Arial"/>
        </w:rPr>
        <w:t xml:space="preserve">2 milionu obytných budov v České republice, což činí zhruba 63% z celkového počtu. V průběhu následujících tří let plánuje soukromý sektor zvýšit možnost zajištění přístupu k vysokorychlostnímu internetu o téměř půl milionu obytných budov, čímž dojde ke zvýšení možnosti přístupu k vysokorychlostnímu internetu na zhruba 82% obytných budov z celkového počtu. </w:t>
      </w:r>
    </w:p>
    <w:p w14:paraId="135E9830" w14:textId="71FAB8CD" w:rsidR="00B657C7" w:rsidRDefault="00B657C7" w:rsidP="00B657C7">
      <w:pPr>
        <w:spacing w:after="0" w:line="312" w:lineRule="auto"/>
        <w:jc w:val="both"/>
        <w:rPr>
          <w:rFonts w:ascii="Arial" w:hAnsi="Arial" w:cs="Arial"/>
        </w:rPr>
      </w:pPr>
      <w:r w:rsidRPr="00E65C84">
        <w:rPr>
          <w:rFonts w:ascii="Arial" w:hAnsi="Arial" w:cs="Arial"/>
        </w:rPr>
        <w:t xml:space="preserve">První možnost posouzení průběhu realizace plánovaného rozvoje připojení k internetu bude MPO moci provést </w:t>
      </w:r>
      <w:r w:rsidR="00412787">
        <w:rPr>
          <w:rFonts w:ascii="Arial" w:hAnsi="Arial" w:cs="Arial"/>
        </w:rPr>
        <w:t>v průběhu</w:t>
      </w:r>
      <w:r w:rsidRPr="00E65C84">
        <w:rPr>
          <w:rFonts w:ascii="Arial" w:hAnsi="Arial" w:cs="Arial"/>
        </w:rPr>
        <w:t xml:space="preserve"> července letošního roku, kdy od ČTÚ dostane informace o počtu připojení k internetu za rok 2017.</w:t>
      </w:r>
    </w:p>
    <w:p w14:paraId="2F012382" w14:textId="77777777" w:rsidR="00B657C7" w:rsidRDefault="00B657C7" w:rsidP="00B657C7">
      <w:pPr>
        <w:spacing w:after="0" w:line="312" w:lineRule="auto"/>
        <w:jc w:val="both"/>
        <w:rPr>
          <w:rFonts w:ascii="Arial" w:eastAsia="Times New Roman" w:hAnsi="Arial" w:cs="Arial"/>
          <w:b/>
          <w:bCs/>
          <w:color w:val="auto"/>
          <w:sz w:val="24"/>
          <w:szCs w:val="24"/>
          <w:lang w:eastAsia="cs-CZ"/>
        </w:rPr>
      </w:pPr>
    </w:p>
    <w:p w14:paraId="59BC034C" w14:textId="77777777" w:rsidR="00B657C7" w:rsidRPr="0065633C" w:rsidRDefault="00B657C7" w:rsidP="00B657C7">
      <w:pPr>
        <w:spacing w:after="0" w:line="312" w:lineRule="auto"/>
        <w:jc w:val="both"/>
        <w:rPr>
          <w:rFonts w:ascii="Arial" w:eastAsia="Times New Roman" w:hAnsi="Arial" w:cs="Arial"/>
          <w:bCs/>
          <w:color w:val="auto"/>
          <w:lang w:eastAsia="cs-CZ"/>
        </w:rPr>
      </w:pPr>
      <w:r w:rsidRPr="0065633C">
        <w:rPr>
          <w:rFonts w:ascii="Arial" w:eastAsia="Times New Roman" w:hAnsi="Arial" w:cs="Arial"/>
          <w:bCs/>
          <w:color w:val="auto"/>
          <w:lang w:eastAsia="cs-CZ"/>
        </w:rPr>
        <w:t xml:space="preserve">Na 10. jednání Monitorovacího výboru OP PIK dne 22, května 2018 byl projednán a schválen „Model hodnocení a kritéria pro hodnocení a výběr projektů výzvy II programu podpory Vysokorychlostní Internet.“ </w:t>
      </w:r>
    </w:p>
    <w:p w14:paraId="1CD768FB" w14:textId="1D20DD5B" w:rsidR="00B657C7" w:rsidRPr="0065633C" w:rsidRDefault="00B657C7" w:rsidP="00B657C7">
      <w:pPr>
        <w:spacing w:after="0" w:line="312" w:lineRule="auto"/>
        <w:jc w:val="both"/>
        <w:rPr>
          <w:rFonts w:ascii="Arial" w:eastAsia="Times New Roman" w:hAnsi="Arial" w:cs="Arial"/>
          <w:bCs/>
          <w:color w:val="auto"/>
          <w:lang w:eastAsia="cs-CZ"/>
        </w:rPr>
      </w:pPr>
    </w:p>
    <w:p w14:paraId="0EE32E04" w14:textId="77777777" w:rsidR="00B657C7" w:rsidRDefault="00B657C7" w:rsidP="00B657C7">
      <w:pPr>
        <w:spacing w:after="0" w:line="312" w:lineRule="auto"/>
        <w:jc w:val="both"/>
        <w:rPr>
          <w:rFonts w:ascii="Arial" w:eastAsia="Times New Roman" w:hAnsi="Arial" w:cs="Arial"/>
          <w:bCs/>
          <w:color w:val="auto"/>
          <w:lang w:eastAsia="cs-CZ"/>
        </w:rPr>
      </w:pPr>
      <w:r w:rsidRPr="0065633C">
        <w:rPr>
          <w:rFonts w:ascii="Arial" w:eastAsia="Times New Roman" w:hAnsi="Arial" w:cs="Arial"/>
          <w:bCs/>
          <w:color w:val="auto"/>
          <w:lang w:eastAsia="cs-CZ"/>
        </w:rPr>
        <w:t>Hlavní váha hodnocení projektů, mimo plnění kvalifikačních podmínek, je soustředěna především na kombinaci ceny projektu, kvality projektu a rozsahu pokrytí oblastí, ve kterých není a nebude v nejbližším tříletém období k dispozici řešení umožňující obyvatelům vysokorychlostní přístup k internetu. Toto kritérium bylo detailně projednáno a odsouhlaseno se zástupci podnikatelské veřejnosti.</w:t>
      </w:r>
    </w:p>
    <w:p w14:paraId="3C691836" w14:textId="77777777" w:rsidR="00B657C7" w:rsidRDefault="00B657C7" w:rsidP="00B657C7">
      <w:pPr>
        <w:spacing w:after="0" w:line="312" w:lineRule="auto"/>
        <w:jc w:val="both"/>
        <w:rPr>
          <w:rFonts w:ascii="Arial" w:eastAsia="Times New Roman" w:hAnsi="Arial" w:cs="Arial"/>
          <w:bCs/>
          <w:color w:val="auto"/>
          <w:lang w:eastAsia="cs-CZ"/>
        </w:rPr>
      </w:pPr>
    </w:p>
    <w:p w14:paraId="26D29168" w14:textId="77777777" w:rsidR="00B657C7" w:rsidRPr="0065633C" w:rsidRDefault="00B657C7" w:rsidP="00B657C7">
      <w:pPr>
        <w:spacing w:after="0" w:line="312" w:lineRule="auto"/>
        <w:jc w:val="both"/>
        <w:rPr>
          <w:rFonts w:ascii="Arial" w:eastAsia="Times New Roman" w:hAnsi="Arial" w:cs="Arial"/>
          <w:bCs/>
          <w:color w:val="auto"/>
          <w:lang w:eastAsia="cs-CZ"/>
        </w:rPr>
      </w:pPr>
      <w:r w:rsidRPr="0065633C">
        <w:rPr>
          <w:rFonts w:ascii="Arial" w:eastAsia="Times New Roman" w:hAnsi="Arial" w:cs="Arial"/>
          <w:bCs/>
          <w:color w:val="auto"/>
          <w:lang w:eastAsia="cs-CZ"/>
        </w:rPr>
        <w:t>Model hodnocení byl návazně předán zástupcům EK.</w:t>
      </w:r>
      <w:r>
        <w:rPr>
          <w:rFonts w:ascii="Arial" w:eastAsia="Times New Roman" w:hAnsi="Arial" w:cs="Arial"/>
          <w:bCs/>
          <w:color w:val="auto"/>
          <w:lang w:eastAsia="cs-CZ"/>
        </w:rPr>
        <w:t xml:space="preserve"> </w:t>
      </w:r>
      <w:r w:rsidRPr="0065633C">
        <w:rPr>
          <w:rFonts w:ascii="Arial" w:eastAsia="Times New Roman" w:hAnsi="Arial" w:cs="Arial"/>
          <w:bCs/>
          <w:color w:val="auto"/>
          <w:lang w:eastAsia="cs-CZ"/>
        </w:rPr>
        <w:t xml:space="preserve">Všechny další související a navazující dokumenty budou </w:t>
      </w:r>
      <w:r>
        <w:rPr>
          <w:rFonts w:ascii="Arial" w:eastAsia="Times New Roman" w:hAnsi="Arial" w:cs="Arial"/>
          <w:bCs/>
          <w:color w:val="auto"/>
          <w:lang w:eastAsia="cs-CZ"/>
        </w:rPr>
        <w:t xml:space="preserve">následně </w:t>
      </w:r>
      <w:r w:rsidRPr="0065633C">
        <w:rPr>
          <w:rFonts w:ascii="Arial" w:eastAsia="Times New Roman" w:hAnsi="Arial" w:cs="Arial"/>
          <w:bCs/>
          <w:color w:val="auto"/>
          <w:lang w:eastAsia="cs-CZ"/>
        </w:rPr>
        <w:t>předloženy</w:t>
      </w:r>
      <w:r>
        <w:rPr>
          <w:rFonts w:ascii="Arial" w:eastAsia="Times New Roman" w:hAnsi="Arial" w:cs="Arial"/>
          <w:bCs/>
          <w:color w:val="auto"/>
          <w:lang w:eastAsia="cs-CZ"/>
        </w:rPr>
        <w:t xml:space="preserve"> zástupcům EK</w:t>
      </w:r>
      <w:r w:rsidRPr="0065633C">
        <w:rPr>
          <w:rFonts w:ascii="Arial" w:eastAsia="Times New Roman" w:hAnsi="Arial" w:cs="Arial"/>
          <w:bCs/>
          <w:color w:val="auto"/>
          <w:lang w:eastAsia="cs-CZ"/>
        </w:rPr>
        <w:t xml:space="preserve"> po jejich dopracování a doplnění závěrů vyplývajících z</w:t>
      </w:r>
      <w:r>
        <w:rPr>
          <w:rFonts w:ascii="Arial" w:eastAsia="Times New Roman" w:hAnsi="Arial" w:cs="Arial"/>
          <w:bCs/>
          <w:color w:val="auto"/>
          <w:lang w:eastAsia="cs-CZ"/>
        </w:rPr>
        <w:t> diskusí.</w:t>
      </w:r>
    </w:p>
    <w:p w14:paraId="772108B0" w14:textId="77777777" w:rsidR="00B657C7" w:rsidRPr="0065633C" w:rsidRDefault="00B657C7" w:rsidP="00B657C7">
      <w:pPr>
        <w:spacing w:after="0" w:line="312" w:lineRule="auto"/>
        <w:jc w:val="both"/>
        <w:rPr>
          <w:rFonts w:ascii="Arial" w:eastAsia="Times New Roman" w:hAnsi="Arial" w:cs="Arial"/>
          <w:bCs/>
          <w:color w:val="auto"/>
          <w:lang w:eastAsia="cs-CZ"/>
        </w:rPr>
      </w:pPr>
    </w:p>
    <w:p w14:paraId="495733D6" w14:textId="77777777" w:rsidR="00B657C7" w:rsidRDefault="00B657C7" w:rsidP="00B657C7">
      <w:pPr>
        <w:spacing w:after="0" w:line="312" w:lineRule="auto"/>
        <w:jc w:val="both"/>
        <w:rPr>
          <w:rFonts w:ascii="Arial" w:eastAsia="Times New Roman" w:hAnsi="Arial" w:cs="Arial"/>
          <w:bCs/>
          <w:color w:val="auto"/>
          <w:lang w:eastAsia="cs-CZ"/>
        </w:rPr>
      </w:pPr>
      <w:r w:rsidRPr="0065633C">
        <w:rPr>
          <w:rFonts w:ascii="Arial" w:eastAsia="Times New Roman" w:hAnsi="Arial" w:cs="Arial"/>
          <w:bCs/>
          <w:color w:val="auto"/>
          <w:lang w:eastAsia="cs-CZ"/>
        </w:rPr>
        <w:t>Vyhlášení II výzvy tohoto programu je připravováno s termínem – listopad 2018 na datových podkladech za rok 2017, zajišťovaných Českým telekomunikačním úřadem, které MPO obdrží v červenci 2018 k dalšímu procesnímu zpracování a které pak bezprostředně před vyhlášením výzvy projdou transparentní veřejnou konzultací zajištěnou MPO.</w:t>
      </w:r>
    </w:p>
    <w:p w14:paraId="316C61CC" w14:textId="77777777" w:rsidR="00B657C7" w:rsidRDefault="00B657C7" w:rsidP="00B657C7">
      <w:pPr>
        <w:spacing w:after="0" w:line="312" w:lineRule="auto"/>
        <w:jc w:val="both"/>
        <w:rPr>
          <w:rFonts w:ascii="Arial" w:eastAsia="Times New Roman" w:hAnsi="Arial" w:cs="Arial"/>
          <w:bCs/>
          <w:color w:val="auto"/>
          <w:lang w:eastAsia="cs-CZ"/>
        </w:rPr>
      </w:pPr>
    </w:p>
    <w:p w14:paraId="25F0ACC6" w14:textId="68A7C68F" w:rsidR="00B657C7" w:rsidRPr="00835FA4" w:rsidRDefault="00B657C7" w:rsidP="00B657C7">
      <w:pPr>
        <w:spacing w:after="0" w:line="312" w:lineRule="auto"/>
        <w:jc w:val="both"/>
        <w:rPr>
          <w:rFonts w:ascii="Arial" w:eastAsia="Times New Roman" w:hAnsi="Arial" w:cs="Arial"/>
          <w:bCs/>
          <w:color w:val="auto"/>
          <w:lang w:eastAsia="cs-CZ"/>
        </w:rPr>
      </w:pPr>
      <w:r>
        <w:rPr>
          <w:rFonts w:ascii="Arial" w:eastAsia="Calibri" w:hAnsi="Arial" w:cs="Arial"/>
          <w:bCs/>
          <w:color w:val="000000"/>
        </w:rPr>
        <w:t>V</w:t>
      </w:r>
      <w:r w:rsidRPr="00EE4D1F">
        <w:rPr>
          <w:rFonts w:ascii="Arial" w:eastAsia="Calibri" w:hAnsi="Arial" w:cs="Arial"/>
          <w:bCs/>
          <w:color w:val="000000"/>
        </w:rPr>
        <w:t>e dnech 11.</w:t>
      </w:r>
      <w:r>
        <w:rPr>
          <w:rFonts w:ascii="Arial" w:eastAsia="Calibri" w:hAnsi="Arial" w:cs="Arial"/>
          <w:bCs/>
          <w:color w:val="000000"/>
        </w:rPr>
        <w:t xml:space="preserve"> </w:t>
      </w:r>
      <w:r w:rsidRPr="00EE4D1F">
        <w:rPr>
          <w:rFonts w:ascii="Arial" w:eastAsia="Calibri" w:hAnsi="Arial" w:cs="Arial"/>
          <w:bCs/>
          <w:color w:val="000000"/>
        </w:rPr>
        <w:t>-</w:t>
      </w:r>
      <w:r>
        <w:rPr>
          <w:rFonts w:ascii="Arial" w:eastAsia="Calibri" w:hAnsi="Arial" w:cs="Arial"/>
          <w:bCs/>
          <w:color w:val="000000"/>
        </w:rPr>
        <w:t xml:space="preserve"> </w:t>
      </w:r>
      <w:r w:rsidRPr="00EE4D1F">
        <w:rPr>
          <w:rFonts w:ascii="Arial" w:eastAsia="Calibri" w:hAnsi="Arial" w:cs="Arial"/>
          <w:bCs/>
          <w:color w:val="000000"/>
        </w:rPr>
        <w:t>12. června 2018 v</w:t>
      </w:r>
      <w:r>
        <w:rPr>
          <w:rFonts w:ascii="Arial" w:eastAsia="Calibri" w:hAnsi="Arial" w:cs="Arial"/>
          <w:bCs/>
          <w:color w:val="000000"/>
        </w:rPr>
        <w:t> </w:t>
      </w:r>
      <w:r w:rsidRPr="00EE4D1F">
        <w:rPr>
          <w:rFonts w:ascii="Arial" w:eastAsia="Calibri" w:hAnsi="Arial" w:cs="Arial"/>
          <w:bCs/>
          <w:color w:val="000000"/>
        </w:rPr>
        <w:t>Praze</w:t>
      </w:r>
      <w:r>
        <w:rPr>
          <w:rFonts w:ascii="Arial" w:eastAsia="Calibri" w:hAnsi="Arial" w:cs="Arial"/>
          <w:bCs/>
          <w:color w:val="000000"/>
        </w:rPr>
        <w:t xml:space="preserve"> proběhlo </w:t>
      </w:r>
      <w:r w:rsidRPr="00EE4D1F">
        <w:rPr>
          <w:rFonts w:ascii="Arial" w:eastAsia="Calibri" w:hAnsi="Arial" w:cs="Arial"/>
          <w:bCs/>
          <w:color w:val="000000"/>
        </w:rPr>
        <w:t xml:space="preserve">EK </w:t>
      </w:r>
      <w:proofErr w:type="spellStart"/>
      <w:r w:rsidRPr="00EE4D1F">
        <w:rPr>
          <w:rFonts w:ascii="Arial" w:eastAsia="Calibri" w:hAnsi="Arial" w:cs="Arial"/>
          <w:bCs/>
          <w:color w:val="000000"/>
        </w:rPr>
        <w:t>Broadband</w:t>
      </w:r>
      <w:proofErr w:type="spellEnd"/>
      <w:r w:rsidRPr="00EE4D1F">
        <w:rPr>
          <w:rFonts w:ascii="Arial" w:eastAsia="Calibri" w:hAnsi="Arial" w:cs="Arial"/>
          <w:bCs/>
          <w:color w:val="000000"/>
        </w:rPr>
        <w:t xml:space="preserve"> </w:t>
      </w:r>
      <w:proofErr w:type="spellStart"/>
      <w:r w:rsidRPr="00EE4D1F">
        <w:rPr>
          <w:rFonts w:ascii="Arial" w:eastAsia="Calibri" w:hAnsi="Arial" w:cs="Arial"/>
          <w:bCs/>
          <w:color w:val="000000"/>
        </w:rPr>
        <w:t>Mission</w:t>
      </w:r>
      <w:proofErr w:type="spellEnd"/>
      <w:r>
        <w:rPr>
          <w:rFonts w:ascii="Arial" w:eastAsia="Calibri" w:hAnsi="Arial" w:cs="Arial"/>
          <w:bCs/>
          <w:color w:val="000000"/>
        </w:rPr>
        <w:t xml:space="preserve"> tedy jednání ze zástupci EK MMR</w:t>
      </w:r>
      <w:r w:rsidRPr="00412787">
        <w:rPr>
          <w:rFonts w:ascii="Arial" w:eastAsia="Times New Roman" w:hAnsi="Arial" w:cs="Arial"/>
          <w:bCs/>
          <w:color w:val="auto"/>
          <w:lang w:eastAsia="cs-CZ"/>
        </w:rPr>
        <w:t>, ČT</w:t>
      </w:r>
      <w:r w:rsidR="000C0DAB">
        <w:rPr>
          <w:rFonts w:ascii="Arial" w:eastAsia="Times New Roman" w:hAnsi="Arial" w:cs="Arial"/>
          <w:bCs/>
          <w:color w:val="auto"/>
          <w:lang w:eastAsia="cs-CZ"/>
        </w:rPr>
        <w:t>Ú</w:t>
      </w:r>
      <w:r w:rsidRPr="00412787">
        <w:rPr>
          <w:rFonts w:ascii="Arial" w:eastAsia="Times New Roman" w:hAnsi="Arial" w:cs="Arial"/>
          <w:bCs/>
          <w:color w:val="auto"/>
          <w:lang w:eastAsia="cs-CZ"/>
        </w:rPr>
        <w:t xml:space="preserve"> a dalších subjektů zapojených do problematiky dotační podpory na budování NGA sítí. Byl představen Akční plán jak smysluplně intervenovat v oblastech, kde to je opravdu potřeba</w:t>
      </w:r>
      <w:r w:rsidR="00412787">
        <w:rPr>
          <w:rFonts w:ascii="Arial" w:eastAsia="Times New Roman" w:hAnsi="Arial" w:cs="Arial"/>
          <w:bCs/>
          <w:color w:val="auto"/>
          <w:lang w:eastAsia="cs-CZ"/>
        </w:rPr>
        <w:t>.</w:t>
      </w:r>
    </w:p>
    <w:p w14:paraId="35C089C5" w14:textId="77777777" w:rsidR="00061D18" w:rsidRDefault="00061D18" w:rsidP="00E65C84">
      <w:pPr>
        <w:spacing w:after="0" w:line="312" w:lineRule="auto"/>
        <w:ind w:left="284" w:hanging="284"/>
        <w:jc w:val="both"/>
        <w:rPr>
          <w:rFonts w:ascii="Arial" w:eastAsia="Times New Roman" w:hAnsi="Arial" w:cs="Arial"/>
          <w:b/>
          <w:bCs/>
          <w:color w:val="auto"/>
          <w:sz w:val="24"/>
          <w:szCs w:val="24"/>
          <w:lang w:eastAsia="cs-CZ"/>
        </w:rPr>
      </w:pPr>
    </w:p>
    <w:sectPr w:rsidR="00061D18" w:rsidSect="00EE1441">
      <w:footerReference w:type="default" r:id="rId9"/>
      <w:pgSz w:w="11906" w:h="16838"/>
      <w:pgMar w:top="1417" w:right="1417" w:bottom="1417" w:left="1417"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0B2E" w14:textId="77777777" w:rsidR="00705CEE" w:rsidRDefault="00705CEE" w:rsidP="00CB1C8A">
      <w:pPr>
        <w:spacing w:after="0" w:line="240" w:lineRule="auto"/>
      </w:pPr>
      <w:r>
        <w:separator/>
      </w:r>
    </w:p>
  </w:endnote>
  <w:endnote w:type="continuationSeparator" w:id="0">
    <w:p w14:paraId="435F2AF4" w14:textId="77777777" w:rsidR="00705CEE" w:rsidRDefault="00705CEE" w:rsidP="00CB1C8A">
      <w:pPr>
        <w:spacing w:after="0" w:line="240" w:lineRule="auto"/>
      </w:pPr>
      <w:r>
        <w:continuationSeparator/>
      </w:r>
    </w:p>
  </w:endnote>
  <w:endnote w:type="continuationNotice" w:id="1">
    <w:p w14:paraId="4F0D21EA" w14:textId="77777777" w:rsidR="00705CEE" w:rsidRDefault="00705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61392"/>
      <w:docPartObj>
        <w:docPartGallery w:val="Page Numbers (Bottom of Page)"/>
        <w:docPartUnique/>
      </w:docPartObj>
    </w:sdtPr>
    <w:sdtEndPr/>
    <w:sdtContent>
      <w:p w14:paraId="5BE80088" w14:textId="77777777" w:rsidR="00972E91" w:rsidRDefault="00972E91">
        <w:pPr>
          <w:pStyle w:val="Zpat"/>
          <w:jc w:val="center"/>
        </w:pPr>
        <w:r>
          <w:fldChar w:fldCharType="begin"/>
        </w:r>
        <w:r>
          <w:instrText>PAGE   \* MERGEFORMAT</w:instrText>
        </w:r>
        <w:r>
          <w:fldChar w:fldCharType="separate"/>
        </w:r>
        <w:r w:rsidR="00987714">
          <w:rPr>
            <w:noProof/>
          </w:rPr>
          <w:t>8</w:t>
        </w:r>
        <w:r>
          <w:fldChar w:fldCharType="end"/>
        </w:r>
      </w:p>
    </w:sdtContent>
  </w:sdt>
  <w:p w14:paraId="6E694D9A" w14:textId="77777777" w:rsidR="00972E91" w:rsidRDefault="00972E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BD793" w14:textId="77777777" w:rsidR="00705CEE" w:rsidRDefault="00705CEE" w:rsidP="00CB1C8A">
      <w:pPr>
        <w:spacing w:after="0" w:line="240" w:lineRule="auto"/>
      </w:pPr>
      <w:r>
        <w:separator/>
      </w:r>
    </w:p>
  </w:footnote>
  <w:footnote w:type="continuationSeparator" w:id="0">
    <w:p w14:paraId="18580AA8" w14:textId="77777777" w:rsidR="00705CEE" w:rsidRDefault="00705CEE" w:rsidP="00CB1C8A">
      <w:pPr>
        <w:spacing w:after="0" w:line="240" w:lineRule="auto"/>
      </w:pPr>
      <w:r>
        <w:continuationSeparator/>
      </w:r>
    </w:p>
  </w:footnote>
  <w:footnote w:type="continuationNotice" w:id="1">
    <w:p w14:paraId="29CFA4F6" w14:textId="77777777" w:rsidR="00705CEE" w:rsidRDefault="00705CE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173577"/>
    <w:multiLevelType w:val="hybridMultilevel"/>
    <w:tmpl w:val="936299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3068A6"/>
    <w:multiLevelType w:val="multilevel"/>
    <w:tmpl w:val="3320A8B2"/>
    <w:numStyleLink w:val="VariantaB-odrky"/>
  </w:abstractNum>
  <w:abstractNum w:abstractNumId="21" w15:restartNumberingAfterBreak="0">
    <w:nsid w:val="1D464EC2"/>
    <w:multiLevelType w:val="multilevel"/>
    <w:tmpl w:val="E8BAE50A"/>
    <w:numStyleLink w:val="VariantaA-odrky"/>
  </w:abstractNum>
  <w:abstractNum w:abstractNumId="22" w15:restartNumberingAfterBreak="0">
    <w:nsid w:val="1EAB39CE"/>
    <w:multiLevelType w:val="multilevel"/>
    <w:tmpl w:val="E8BAE50A"/>
    <w:numStyleLink w:val="VariantaA-odrky"/>
  </w:abstractNum>
  <w:abstractNum w:abstractNumId="23" w15:restartNumberingAfterBreak="0">
    <w:nsid w:val="2589311D"/>
    <w:multiLevelType w:val="hybridMultilevel"/>
    <w:tmpl w:val="E2264A34"/>
    <w:lvl w:ilvl="0" w:tplc="D4207C64">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289A5EA2"/>
    <w:multiLevelType w:val="multilevel"/>
    <w:tmpl w:val="E8BAE50A"/>
    <w:numStyleLink w:val="VariantaA-odrky"/>
  </w:abstractNum>
  <w:abstractNum w:abstractNumId="25" w15:restartNumberingAfterBreak="0">
    <w:nsid w:val="28AB573E"/>
    <w:multiLevelType w:val="multilevel"/>
    <w:tmpl w:val="3320A8B2"/>
    <w:numStyleLink w:val="VariantaB-odrky"/>
  </w:abstractNum>
  <w:abstractNum w:abstractNumId="26" w15:restartNumberingAfterBreak="0">
    <w:nsid w:val="2A5F2D39"/>
    <w:multiLevelType w:val="multilevel"/>
    <w:tmpl w:val="E8BAE50A"/>
    <w:numStyleLink w:val="VariantaA-odrky"/>
  </w:abstractNum>
  <w:abstractNum w:abstractNumId="27" w15:restartNumberingAfterBreak="0">
    <w:nsid w:val="2DBB2CE6"/>
    <w:multiLevelType w:val="multilevel"/>
    <w:tmpl w:val="E8BAE50A"/>
    <w:numStyleLink w:val="VariantaA-odrky"/>
  </w:abstractNum>
  <w:abstractNum w:abstractNumId="28" w15:restartNumberingAfterBreak="0">
    <w:nsid w:val="355131EF"/>
    <w:multiLevelType w:val="multilevel"/>
    <w:tmpl w:val="E8A48D7C"/>
    <w:numStyleLink w:val="VariantaA-sla"/>
  </w:abstractNum>
  <w:abstractNum w:abstractNumId="29" w15:restartNumberingAfterBreak="0">
    <w:nsid w:val="4A306389"/>
    <w:multiLevelType w:val="multilevel"/>
    <w:tmpl w:val="E8BAE50A"/>
    <w:numStyleLink w:val="VariantaA-odrky"/>
  </w:abstractNum>
  <w:abstractNum w:abstractNumId="3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290926"/>
    <w:multiLevelType w:val="multilevel"/>
    <w:tmpl w:val="E8BAE50A"/>
    <w:numStyleLink w:val="VariantaA-odrky"/>
  </w:abstractNum>
  <w:abstractNum w:abstractNumId="32" w15:restartNumberingAfterBreak="0">
    <w:nsid w:val="533902EA"/>
    <w:multiLevelType w:val="multilevel"/>
    <w:tmpl w:val="E8BAE50A"/>
    <w:numStyleLink w:val="VariantaA-odrky"/>
  </w:abstractNum>
  <w:abstractNum w:abstractNumId="33" w15:restartNumberingAfterBreak="0">
    <w:nsid w:val="571C11E2"/>
    <w:multiLevelType w:val="multilevel"/>
    <w:tmpl w:val="E8A48D7C"/>
    <w:numStyleLink w:val="VariantaA-sla"/>
  </w:abstractNum>
  <w:abstractNum w:abstractNumId="3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5" w15:restartNumberingAfterBreak="0">
    <w:nsid w:val="5AF35F43"/>
    <w:multiLevelType w:val="multilevel"/>
    <w:tmpl w:val="0D8ABE32"/>
    <w:numStyleLink w:val="VariantaB-sla"/>
  </w:abstractNum>
  <w:abstractNum w:abstractNumId="36" w15:restartNumberingAfterBreak="0">
    <w:nsid w:val="616A6A0E"/>
    <w:multiLevelType w:val="hybridMultilevel"/>
    <w:tmpl w:val="D04EBDFE"/>
    <w:lvl w:ilvl="0" w:tplc="D4207C64">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E9A5268"/>
    <w:multiLevelType w:val="hybridMultilevel"/>
    <w:tmpl w:val="3B6065E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4"/>
  </w:num>
  <w:num w:numId="3">
    <w:abstractNumId w:val="20"/>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0"/>
  </w:num>
  <w:num w:numId="7">
    <w:abstractNumId w:val="7"/>
  </w:num>
  <w:num w:numId="8">
    <w:abstractNumId w:val="33"/>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2"/>
  </w:num>
  <w:num w:numId="14">
    <w:abstractNumId w:val="4"/>
  </w:num>
  <w:num w:numId="15">
    <w:abstractNumId w:val="3"/>
  </w:num>
  <w:num w:numId="16">
    <w:abstractNumId w:val="30"/>
  </w:num>
  <w:num w:numId="17">
    <w:abstractNumId w:val="21"/>
  </w:num>
  <w:num w:numId="18">
    <w:abstractNumId w:val="6"/>
  </w:num>
  <w:num w:numId="19">
    <w:abstractNumId w:val="12"/>
  </w:num>
  <w:num w:numId="20">
    <w:abstractNumId w:val="8"/>
  </w:num>
  <w:num w:numId="21">
    <w:abstractNumId w:val="28"/>
  </w:num>
  <w:num w:numId="22">
    <w:abstractNumId w:val="10"/>
  </w:num>
  <w:num w:numId="23">
    <w:abstractNumId w:val="22"/>
  </w:num>
  <w:num w:numId="24">
    <w:abstractNumId w:val="11"/>
  </w:num>
  <w:num w:numId="25">
    <w:abstractNumId w:val="15"/>
  </w:num>
  <w:num w:numId="26">
    <w:abstractNumId w:val="29"/>
  </w:num>
  <w:num w:numId="27">
    <w:abstractNumId w:val="27"/>
  </w:num>
  <w:num w:numId="28">
    <w:abstractNumId w:val="26"/>
  </w:num>
  <w:num w:numId="29">
    <w:abstractNumId w:val="18"/>
  </w:num>
  <w:num w:numId="30">
    <w:abstractNumId w:val="31"/>
  </w:num>
  <w:num w:numId="31">
    <w:abstractNumId w:val="35"/>
  </w:num>
  <w:num w:numId="32">
    <w:abstractNumId w:val="24"/>
  </w:num>
  <w:num w:numId="33">
    <w:abstractNumId w:val="17"/>
  </w:num>
  <w:num w:numId="34">
    <w:abstractNumId w:val="9"/>
  </w:num>
  <w:num w:numId="35">
    <w:abstractNumId w:val="25"/>
  </w:num>
  <w:num w:numId="36">
    <w:abstractNumId w:val="13"/>
  </w:num>
  <w:num w:numId="37">
    <w:abstractNumId w:val="37"/>
  </w:num>
  <w:num w:numId="38">
    <w:abstractNumId w:val="19"/>
  </w:num>
  <w:num w:numId="39">
    <w:abstractNumId w:val="23"/>
  </w:num>
  <w:num w:numId="4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8A"/>
    <w:rsid w:val="00015306"/>
    <w:rsid w:val="0002674B"/>
    <w:rsid w:val="0004162E"/>
    <w:rsid w:val="0004786B"/>
    <w:rsid w:val="00054AC3"/>
    <w:rsid w:val="00061D18"/>
    <w:rsid w:val="00063405"/>
    <w:rsid w:val="0007137A"/>
    <w:rsid w:val="000809B9"/>
    <w:rsid w:val="00090B40"/>
    <w:rsid w:val="000919F7"/>
    <w:rsid w:val="00095A0A"/>
    <w:rsid w:val="000A3299"/>
    <w:rsid w:val="000B1B3D"/>
    <w:rsid w:val="000B4F55"/>
    <w:rsid w:val="000C0DAB"/>
    <w:rsid w:val="000C4CAF"/>
    <w:rsid w:val="00121485"/>
    <w:rsid w:val="001471BF"/>
    <w:rsid w:val="00163E9F"/>
    <w:rsid w:val="0018051B"/>
    <w:rsid w:val="00183C1E"/>
    <w:rsid w:val="001B1E4A"/>
    <w:rsid w:val="001D27C0"/>
    <w:rsid w:val="001D6278"/>
    <w:rsid w:val="001D798D"/>
    <w:rsid w:val="001E1176"/>
    <w:rsid w:val="001E5023"/>
    <w:rsid w:val="001E74C3"/>
    <w:rsid w:val="001F6937"/>
    <w:rsid w:val="002044EC"/>
    <w:rsid w:val="00214137"/>
    <w:rsid w:val="00220DE3"/>
    <w:rsid w:val="0025290D"/>
    <w:rsid w:val="00260372"/>
    <w:rsid w:val="00262DAF"/>
    <w:rsid w:val="002745D3"/>
    <w:rsid w:val="00285AED"/>
    <w:rsid w:val="002A2EC5"/>
    <w:rsid w:val="002C1B9F"/>
    <w:rsid w:val="002E2442"/>
    <w:rsid w:val="002F0E8C"/>
    <w:rsid w:val="00301619"/>
    <w:rsid w:val="00310FA0"/>
    <w:rsid w:val="00320481"/>
    <w:rsid w:val="003250CB"/>
    <w:rsid w:val="00345237"/>
    <w:rsid w:val="00363201"/>
    <w:rsid w:val="003859AB"/>
    <w:rsid w:val="0039063C"/>
    <w:rsid w:val="003A46A8"/>
    <w:rsid w:val="003A51AA"/>
    <w:rsid w:val="003B00B0"/>
    <w:rsid w:val="003B565A"/>
    <w:rsid w:val="003D00A1"/>
    <w:rsid w:val="0040013C"/>
    <w:rsid w:val="00401241"/>
    <w:rsid w:val="00412787"/>
    <w:rsid w:val="00413116"/>
    <w:rsid w:val="0041427F"/>
    <w:rsid w:val="00436EBB"/>
    <w:rsid w:val="00437364"/>
    <w:rsid w:val="004509E5"/>
    <w:rsid w:val="00450CE1"/>
    <w:rsid w:val="00450DB7"/>
    <w:rsid w:val="00470926"/>
    <w:rsid w:val="00486FB9"/>
    <w:rsid w:val="0049151F"/>
    <w:rsid w:val="004C212A"/>
    <w:rsid w:val="004E18AA"/>
    <w:rsid w:val="004E3CF9"/>
    <w:rsid w:val="004F6124"/>
    <w:rsid w:val="00500232"/>
    <w:rsid w:val="00504668"/>
    <w:rsid w:val="0053441F"/>
    <w:rsid w:val="005455E1"/>
    <w:rsid w:val="005502BD"/>
    <w:rsid w:val="00556787"/>
    <w:rsid w:val="00566780"/>
    <w:rsid w:val="005819BB"/>
    <w:rsid w:val="005B095D"/>
    <w:rsid w:val="005C2560"/>
    <w:rsid w:val="005F7585"/>
    <w:rsid w:val="00605759"/>
    <w:rsid w:val="00650C6C"/>
    <w:rsid w:val="00652FE6"/>
    <w:rsid w:val="00667898"/>
    <w:rsid w:val="00691C26"/>
    <w:rsid w:val="006A0AC0"/>
    <w:rsid w:val="006D04EF"/>
    <w:rsid w:val="006E2FB0"/>
    <w:rsid w:val="00705CEE"/>
    <w:rsid w:val="007102D2"/>
    <w:rsid w:val="00713948"/>
    <w:rsid w:val="00724230"/>
    <w:rsid w:val="00742C5E"/>
    <w:rsid w:val="00753A27"/>
    <w:rsid w:val="0079342A"/>
    <w:rsid w:val="007A5041"/>
    <w:rsid w:val="007B4949"/>
    <w:rsid w:val="007D0E0D"/>
    <w:rsid w:val="007D466E"/>
    <w:rsid w:val="007E4ECB"/>
    <w:rsid w:val="007E5B78"/>
    <w:rsid w:val="007F0BC6"/>
    <w:rsid w:val="00831374"/>
    <w:rsid w:val="00831D06"/>
    <w:rsid w:val="00857580"/>
    <w:rsid w:val="00865238"/>
    <w:rsid w:val="008667BF"/>
    <w:rsid w:val="00876D95"/>
    <w:rsid w:val="00895645"/>
    <w:rsid w:val="008C3782"/>
    <w:rsid w:val="008D4A32"/>
    <w:rsid w:val="008D4A3E"/>
    <w:rsid w:val="008D593A"/>
    <w:rsid w:val="008E7760"/>
    <w:rsid w:val="00922001"/>
    <w:rsid w:val="00922C17"/>
    <w:rsid w:val="00942DDD"/>
    <w:rsid w:val="00943C98"/>
    <w:rsid w:val="009516A8"/>
    <w:rsid w:val="009663B1"/>
    <w:rsid w:val="00972E91"/>
    <w:rsid w:val="0097705C"/>
    <w:rsid w:val="0098025C"/>
    <w:rsid w:val="00987714"/>
    <w:rsid w:val="009E6F5C"/>
    <w:rsid w:val="009F393D"/>
    <w:rsid w:val="009F7F46"/>
    <w:rsid w:val="00A000BF"/>
    <w:rsid w:val="00A0587E"/>
    <w:rsid w:val="00A05C1B"/>
    <w:rsid w:val="00A2732E"/>
    <w:rsid w:val="00A275BC"/>
    <w:rsid w:val="00A464B4"/>
    <w:rsid w:val="00A63D6B"/>
    <w:rsid w:val="00A84B52"/>
    <w:rsid w:val="00A8660F"/>
    <w:rsid w:val="00A95C48"/>
    <w:rsid w:val="00AA7056"/>
    <w:rsid w:val="00AB31C6"/>
    <w:rsid w:val="00AB523B"/>
    <w:rsid w:val="00AD7E40"/>
    <w:rsid w:val="00B0109B"/>
    <w:rsid w:val="00B1477A"/>
    <w:rsid w:val="00B20993"/>
    <w:rsid w:val="00B42E96"/>
    <w:rsid w:val="00B46589"/>
    <w:rsid w:val="00B50EE6"/>
    <w:rsid w:val="00B52185"/>
    <w:rsid w:val="00B657C7"/>
    <w:rsid w:val="00B92DC1"/>
    <w:rsid w:val="00B9753A"/>
    <w:rsid w:val="00BA0461"/>
    <w:rsid w:val="00BB479C"/>
    <w:rsid w:val="00BC4720"/>
    <w:rsid w:val="00BD75A2"/>
    <w:rsid w:val="00C2017A"/>
    <w:rsid w:val="00C2026B"/>
    <w:rsid w:val="00C20470"/>
    <w:rsid w:val="00C34B2F"/>
    <w:rsid w:val="00C43490"/>
    <w:rsid w:val="00C4641B"/>
    <w:rsid w:val="00C6690E"/>
    <w:rsid w:val="00C703C5"/>
    <w:rsid w:val="00C805F2"/>
    <w:rsid w:val="00C90FA6"/>
    <w:rsid w:val="00CB1C8A"/>
    <w:rsid w:val="00CC5E40"/>
    <w:rsid w:val="00D1569F"/>
    <w:rsid w:val="00D20B1E"/>
    <w:rsid w:val="00D21D7F"/>
    <w:rsid w:val="00D22462"/>
    <w:rsid w:val="00D230AC"/>
    <w:rsid w:val="00D30F96"/>
    <w:rsid w:val="00D32489"/>
    <w:rsid w:val="00D3349E"/>
    <w:rsid w:val="00D65D2A"/>
    <w:rsid w:val="00D73CB8"/>
    <w:rsid w:val="00D97FE0"/>
    <w:rsid w:val="00DA7591"/>
    <w:rsid w:val="00E13BC9"/>
    <w:rsid w:val="00E32798"/>
    <w:rsid w:val="00E51C91"/>
    <w:rsid w:val="00E65C84"/>
    <w:rsid w:val="00E667C1"/>
    <w:rsid w:val="00E73FDB"/>
    <w:rsid w:val="00E75355"/>
    <w:rsid w:val="00E82801"/>
    <w:rsid w:val="00E95D8E"/>
    <w:rsid w:val="00EA6743"/>
    <w:rsid w:val="00EB7BE2"/>
    <w:rsid w:val="00EC3F88"/>
    <w:rsid w:val="00ED1045"/>
    <w:rsid w:val="00ED36D8"/>
    <w:rsid w:val="00EE1441"/>
    <w:rsid w:val="00EE6207"/>
    <w:rsid w:val="00EE6BD7"/>
    <w:rsid w:val="00EF7A15"/>
    <w:rsid w:val="00F0689D"/>
    <w:rsid w:val="00F63990"/>
    <w:rsid w:val="00F91522"/>
    <w:rsid w:val="00FB01B5"/>
    <w:rsid w:val="00FF6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4BE9C"/>
  <w15:docId w15:val="{DCFF6F3A-D65F-4C5F-A5E6-F34AA86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Textpoznpodarou">
    <w:name w:val="footnote text"/>
    <w:basedOn w:val="Normln"/>
    <w:link w:val="TextpoznpodarouChar"/>
    <w:uiPriority w:val="99"/>
    <w:semiHidden/>
    <w:unhideWhenUsed/>
    <w:rsid w:val="00CB1C8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1C8A"/>
    <w:rPr>
      <w:color w:val="000000" w:themeColor="text1"/>
      <w:sz w:val="20"/>
      <w:szCs w:val="20"/>
    </w:rPr>
  </w:style>
  <w:style w:type="character" w:styleId="Znakapoznpodarou">
    <w:name w:val="footnote reference"/>
    <w:uiPriority w:val="99"/>
    <w:semiHidden/>
    <w:unhideWhenUsed/>
    <w:rsid w:val="00CB1C8A"/>
    <w:rPr>
      <w:vertAlign w:val="superscript"/>
    </w:rPr>
  </w:style>
  <w:style w:type="paragraph" w:styleId="Zhlav">
    <w:name w:val="header"/>
    <w:basedOn w:val="Normln"/>
    <w:link w:val="ZhlavChar"/>
    <w:uiPriority w:val="99"/>
    <w:unhideWhenUsed/>
    <w:rsid w:val="00972E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E91"/>
    <w:rPr>
      <w:color w:val="000000" w:themeColor="text1"/>
    </w:rPr>
  </w:style>
  <w:style w:type="paragraph" w:styleId="Zpat">
    <w:name w:val="footer"/>
    <w:basedOn w:val="Normln"/>
    <w:link w:val="ZpatChar"/>
    <w:uiPriority w:val="99"/>
    <w:unhideWhenUsed/>
    <w:rsid w:val="00972E91"/>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E91"/>
    <w:rPr>
      <w:color w:val="000000" w:themeColor="text1"/>
    </w:rPr>
  </w:style>
  <w:style w:type="character" w:styleId="Odkaznakoment">
    <w:name w:val="annotation reference"/>
    <w:basedOn w:val="Standardnpsmoodstavce"/>
    <w:uiPriority w:val="99"/>
    <w:semiHidden/>
    <w:unhideWhenUsed/>
    <w:rsid w:val="007E4ECB"/>
    <w:rPr>
      <w:sz w:val="16"/>
      <w:szCs w:val="16"/>
    </w:rPr>
  </w:style>
  <w:style w:type="paragraph" w:styleId="Textkomente">
    <w:name w:val="annotation text"/>
    <w:basedOn w:val="Normln"/>
    <w:link w:val="TextkomenteChar"/>
    <w:uiPriority w:val="99"/>
    <w:semiHidden/>
    <w:unhideWhenUsed/>
    <w:rsid w:val="007E4ECB"/>
    <w:pPr>
      <w:spacing w:line="240" w:lineRule="auto"/>
    </w:pPr>
    <w:rPr>
      <w:sz w:val="20"/>
      <w:szCs w:val="20"/>
    </w:rPr>
  </w:style>
  <w:style w:type="character" w:customStyle="1" w:styleId="TextkomenteChar">
    <w:name w:val="Text komentáře Char"/>
    <w:basedOn w:val="Standardnpsmoodstavce"/>
    <w:link w:val="Textkomente"/>
    <w:uiPriority w:val="99"/>
    <w:semiHidden/>
    <w:rsid w:val="007E4EC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7E4ECB"/>
    <w:rPr>
      <w:b/>
      <w:bCs/>
    </w:rPr>
  </w:style>
  <w:style w:type="character" w:customStyle="1" w:styleId="PedmtkomenteChar">
    <w:name w:val="Předmět komentáře Char"/>
    <w:basedOn w:val="TextkomenteChar"/>
    <w:link w:val="Pedmtkomente"/>
    <w:uiPriority w:val="99"/>
    <w:semiHidden/>
    <w:rsid w:val="007E4ECB"/>
    <w:rPr>
      <w:b/>
      <w:bCs/>
      <w:color w:val="000000" w:themeColor="text1"/>
      <w:sz w:val="20"/>
      <w:szCs w:val="20"/>
    </w:rPr>
  </w:style>
  <w:style w:type="paragraph" w:styleId="Textbubliny">
    <w:name w:val="Balloon Text"/>
    <w:basedOn w:val="Normln"/>
    <w:link w:val="TextbublinyChar"/>
    <w:uiPriority w:val="99"/>
    <w:semiHidden/>
    <w:unhideWhenUsed/>
    <w:rsid w:val="007E4E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EC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40270">
      <w:bodyDiv w:val="1"/>
      <w:marLeft w:val="0"/>
      <w:marRight w:val="0"/>
      <w:marTop w:val="0"/>
      <w:marBottom w:val="0"/>
      <w:divBdr>
        <w:top w:val="none" w:sz="0" w:space="0" w:color="auto"/>
        <w:left w:val="none" w:sz="0" w:space="0" w:color="auto"/>
        <w:bottom w:val="none" w:sz="0" w:space="0" w:color="auto"/>
        <w:right w:val="none" w:sz="0" w:space="0" w:color="auto"/>
      </w:divBdr>
      <w:divsChild>
        <w:div w:id="1463384036">
          <w:marLeft w:val="0"/>
          <w:marRight w:val="0"/>
          <w:marTop w:val="0"/>
          <w:marBottom w:val="0"/>
          <w:divBdr>
            <w:top w:val="none" w:sz="0" w:space="0" w:color="auto"/>
            <w:left w:val="none" w:sz="0" w:space="0" w:color="auto"/>
            <w:bottom w:val="none" w:sz="0" w:space="0" w:color="auto"/>
            <w:right w:val="none" w:sz="0" w:space="0" w:color="auto"/>
          </w:divBdr>
        </w:div>
        <w:div w:id="207112578">
          <w:marLeft w:val="0"/>
          <w:marRight w:val="0"/>
          <w:marTop w:val="0"/>
          <w:marBottom w:val="0"/>
          <w:divBdr>
            <w:top w:val="none" w:sz="0" w:space="0" w:color="auto"/>
            <w:left w:val="none" w:sz="0" w:space="0" w:color="auto"/>
            <w:bottom w:val="none" w:sz="0" w:space="0" w:color="auto"/>
            <w:right w:val="none" w:sz="0" w:space="0" w:color="auto"/>
          </w:divBdr>
        </w:div>
        <w:div w:id="708920799">
          <w:marLeft w:val="0"/>
          <w:marRight w:val="0"/>
          <w:marTop w:val="0"/>
          <w:marBottom w:val="0"/>
          <w:divBdr>
            <w:top w:val="none" w:sz="0" w:space="0" w:color="auto"/>
            <w:left w:val="none" w:sz="0" w:space="0" w:color="auto"/>
            <w:bottom w:val="none" w:sz="0" w:space="0" w:color="auto"/>
            <w:right w:val="none" w:sz="0" w:space="0" w:color="auto"/>
          </w:divBdr>
        </w:div>
        <w:div w:id="276179519">
          <w:marLeft w:val="0"/>
          <w:marRight w:val="0"/>
          <w:marTop w:val="0"/>
          <w:marBottom w:val="0"/>
          <w:divBdr>
            <w:top w:val="none" w:sz="0" w:space="0" w:color="auto"/>
            <w:left w:val="none" w:sz="0" w:space="0" w:color="auto"/>
            <w:bottom w:val="none" w:sz="0" w:space="0" w:color="auto"/>
            <w:right w:val="none" w:sz="0" w:space="0" w:color="auto"/>
          </w:divBdr>
        </w:div>
        <w:div w:id="1426804095">
          <w:marLeft w:val="0"/>
          <w:marRight w:val="0"/>
          <w:marTop w:val="0"/>
          <w:marBottom w:val="0"/>
          <w:divBdr>
            <w:top w:val="none" w:sz="0" w:space="0" w:color="auto"/>
            <w:left w:val="none" w:sz="0" w:space="0" w:color="auto"/>
            <w:bottom w:val="none" w:sz="0" w:space="0" w:color="auto"/>
            <w:right w:val="none" w:sz="0" w:space="0" w:color="auto"/>
          </w:divBdr>
        </w:div>
        <w:div w:id="599997400">
          <w:marLeft w:val="0"/>
          <w:marRight w:val="0"/>
          <w:marTop w:val="0"/>
          <w:marBottom w:val="0"/>
          <w:divBdr>
            <w:top w:val="none" w:sz="0" w:space="0" w:color="auto"/>
            <w:left w:val="none" w:sz="0" w:space="0" w:color="auto"/>
            <w:bottom w:val="none" w:sz="0" w:space="0" w:color="auto"/>
            <w:right w:val="none" w:sz="0" w:space="0" w:color="auto"/>
          </w:divBdr>
        </w:div>
        <w:div w:id="1483543881">
          <w:marLeft w:val="0"/>
          <w:marRight w:val="0"/>
          <w:marTop w:val="0"/>
          <w:marBottom w:val="0"/>
          <w:divBdr>
            <w:top w:val="none" w:sz="0" w:space="0" w:color="auto"/>
            <w:left w:val="none" w:sz="0" w:space="0" w:color="auto"/>
            <w:bottom w:val="none" w:sz="0" w:space="0" w:color="auto"/>
            <w:right w:val="none" w:sz="0" w:space="0" w:color="auto"/>
          </w:divBdr>
        </w:div>
        <w:div w:id="316807429">
          <w:marLeft w:val="0"/>
          <w:marRight w:val="0"/>
          <w:marTop w:val="0"/>
          <w:marBottom w:val="0"/>
          <w:divBdr>
            <w:top w:val="none" w:sz="0" w:space="0" w:color="auto"/>
            <w:left w:val="none" w:sz="0" w:space="0" w:color="auto"/>
            <w:bottom w:val="none" w:sz="0" w:space="0" w:color="auto"/>
            <w:right w:val="none" w:sz="0" w:space="0" w:color="auto"/>
          </w:divBdr>
        </w:div>
        <w:div w:id="197278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cz/xqw/xervlet/pssenat/htmlhled?action=doc&amp;value=882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20EF-CF0E-4A89-B41C-4CB2AB1A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1059DB3D</Template>
  <TotalTime>33</TotalTime>
  <Pages>8</Pages>
  <Words>2227</Words>
  <Characters>13140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Schneider Luděk</dc:creator>
  <cp:lastModifiedBy>Frič Jan</cp:lastModifiedBy>
  <cp:revision>90</cp:revision>
  <cp:lastPrinted>2016-06-24T18:48:00Z</cp:lastPrinted>
  <dcterms:created xsi:type="dcterms:W3CDTF">2018-07-10T13:10:00Z</dcterms:created>
  <dcterms:modified xsi:type="dcterms:W3CDTF">2018-07-25T07:59:00Z</dcterms:modified>
</cp:coreProperties>
</file>