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14576" w14:textId="22E3E712" w:rsidR="006308F6" w:rsidRDefault="00A50246" w:rsidP="00F92632">
      <w:pPr>
        <w:pStyle w:val="Nadpis1"/>
        <w:jc w:val="both"/>
      </w:pPr>
      <w:bookmarkStart w:id="0" w:name="_Hlk84578716"/>
      <w:r>
        <w:t>Z</w:t>
      </w:r>
      <w:r w:rsidR="007A4122">
        <w:t xml:space="preserve">ajištění geografického sběru dat </w:t>
      </w:r>
      <w:r w:rsidR="006926EF">
        <w:t xml:space="preserve">podle </w:t>
      </w:r>
      <w:r w:rsidR="006926EF" w:rsidRPr="00550ACF">
        <w:t xml:space="preserve">§ 115a </w:t>
      </w:r>
      <w:r w:rsidR="00A5432D">
        <w:t>transpoziční novely</w:t>
      </w:r>
      <w:r w:rsidR="006926EF" w:rsidRPr="00550ACF">
        <w:t xml:space="preserve"> Zákona o</w:t>
      </w:r>
      <w:r w:rsidR="006926EF">
        <w:t> </w:t>
      </w:r>
      <w:r w:rsidR="006926EF" w:rsidRPr="00550ACF">
        <w:t>elektronických komunikacích</w:t>
      </w:r>
      <w:r w:rsidR="006926EF">
        <w:t xml:space="preserve">, resp. </w:t>
      </w:r>
      <w:r w:rsidR="007A4122">
        <w:t>podle článku 22 Kodexu a</w:t>
      </w:r>
      <w:r>
        <w:t> </w:t>
      </w:r>
      <w:r w:rsidR="007A4122">
        <w:t>souvisejících Pokynů BEREC</w:t>
      </w:r>
      <w:bookmarkEnd w:id="0"/>
    </w:p>
    <w:p w14:paraId="59B27FB4" w14:textId="77777777" w:rsidR="00DA7A9D" w:rsidRDefault="00DA7A9D" w:rsidP="00F92632">
      <w:pPr>
        <w:jc w:val="both"/>
      </w:pPr>
    </w:p>
    <w:p w14:paraId="62335640" w14:textId="61BB6556" w:rsidR="00A50246" w:rsidRDefault="008541F4" w:rsidP="00A50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materiál představuje </w:t>
      </w:r>
      <w:r w:rsidR="00A50246">
        <w:rPr>
          <w:rFonts w:ascii="Arial" w:hAnsi="Arial" w:cs="Arial"/>
        </w:rPr>
        <w:t xml:space="preserve">vstupní úvahy k přípravě zajištění </w:t>
      </w:r>
      <w:r>
        <w:rPr>
          <w:rFonts w:ascii="Arial" w:hAnsi="Arial" w:cs="Arial"/>
        </w:rPr>
        <w:t>sběru dat</w:t>
      </w:r>
      <w:r w:rsidR="00CC1676">
        <w:rPr>
          <w:rFonts w:ascii="Arial" w:hAnsi="Arial" w:cs="Arial"/>
        </w:rPr>
        <w:t xml:space="preserve"> </w:t>
      </w:r>
      <w:r w:rsidR="008037DE">
        <w:rPr>
          <w:rFonts w:ascii="Arial" w:hAnsi="Arial" w:cs="Arial"/>
        </w:rPr>
        <w:t>tak, aby ČTÚ naplnil p</w:t>
      </w:r>
      <w:r w:rsidR="00A50246">
        <w:rPr>
          <w:rFonts w:ascii="Arial" w:hAnsi="Arial" w:cs="Arial"/>
        </w:rPr>
        <w:t xml:space="preserve">ovinnost sbírat data v novém a podrobnějším členění </w:t>
      </w:r>
      <w:r w:rsidR="008037DE">
        <w:rPr>
          <w:rFonts w:ascii="Arial" w:hAnsi="Arial" w:cs="Arial"/>
        </w:rPr>
        <w:t>plynoucí z</w:t>
      </w:r>
      <w:r w:rsidR="00A50246">
        <w:rPr>
          <w:rFonts w:ascii="Arial" w:hAnsi="Arial" w:cs="Arial"/>
        </w:rPr>
        <w:t xml:space="preserve"> § 115a transpoziční novely zákona o elektronických komunikacích, resp. z článku 22 s</w:t>
      </w:r>
      <w:r w:rsidR="00A50246" w:rsidRPr="00A5432D">
        <w:rPr>
          <w:rFonts w:ascii="Arial" w:hAnsi="Arial" w:cs="Arial"/>
        </w:rPr>
        <w:t>měrnice Evropského parlamentu a</w:t>
      </w:r>
      <w:r w:rsidR="00A50246">
        <w:rPr>
          <w:rFonts w:ascii="Arial" w:hAnsi="Arial" w:cs="Arial"/>
        </w:rPr>
        <w:t> </w:t>
      </w:r>
      <w:r w:rsidR="00A50246" w:rsidRPr="00A5432D">
        <w:rPr>
          <w:rFonts w:ascii="Arial" w:hAnsi="Arial" w:cs="Arial"/>
        </w:rPr>
        <w:t>Rady (EU) 2018/1972, kterou se stanoví evropský kodex pro elektronické komunikace</w:t>
      </w:r>
      <w:r w:rsidR="00A50246">
        <w:rPr>
          <w:rFonts w:ascii="Arial" w:hAnsi="Arial" w:cs="Arial"/>
        </w:rPr>
        <w:t xml:space="preserve"> </w:t>
      </w:r>
      <w:r w:rsidR="000F535E">
        <w:rPr>
          <w:rFonts w:ascii="Arial" w:hAnsi="Arial" w:cs="Arial"/>
        </w:rPr>
        <w:t>(</w:t>
      </w:r>
      <w:r w:rsidR="008037DE">
        <w:rPr>
          <w:rFonts w:ascii="Arial" w:hAnsi="Arial" w:cs="Arial"/>
        </w:rPr>
        <w:t>dále jen „</w:t>
      </w:r>
      <w:r w:rsidR="00A50246">
        <w:rPr>
          <w:rFonts w:ascii="Arial" w:hAnsi="Arial" w:cs="Arial"/>
        </w:rPr>
        <w:t>Kodex</w:t>
      </w:r>
      <w:r w:rsidR="008037DE">
        <w:rPr>
          <w:rFonts w:ascii="Arial" w:hAnsi="Arial" w:cs="Arial"/>
        </w:rPr>
        <w:t>“</w:t>
      </w:r>
      <w:r w:rsidR="00A50246">
        <w:rPr>
          <w:rFonts w:ascii="Arial" w:hAnsi="Arial" w:cs="Arial"/>
        </w:rPr>
        <w:t xml:space="preserve">), a příslušných souvisejících </w:t>
      </w:r>
      <w:hyperlink r:id="rId8" w:history="1">
        <w:r w:rsidR="00A50246" w:rsidRPr="007C23FA">
          <w:rPr>
            <w:rStyle w:val="Hypertextovodkaz"/>
            <w:rFonts w:ascii="Arial" w:hAnsi="Arial" w:cs="Arial"/>
          </w:rPr>
          <w:t xml:space="preserve">Pokynů BEREC </w:t>
        </w:r>
        <w:r w:rsidR="00A50246">
          <w:rPr>
            <w:rStyle w:val="Hypertextovodkaz"/>
            <w:rFonts w:ascii="Arial" w:hAnsi="Arial" w:cs="Arial"/>
          </w:rPr>
          <w:t>pro zeměpisné mapování budování sítí</w:t>
        </w:r>
      </w:hyperlink>
      <w:r w:rsidR="00A50246">
        <w:rPr>
          <w:rFonts w:ascii="Arial" w:hAnsi="Arial" w:cs="Arial"/>
        </w:rPr>
        <w:t xml:space="preserve"> (</w:t>
      </w:r>
      <w:proofErr w:type="spellStart"/>
      <w:r w:rsidR="00A50246">
        <w:rPr>
          <w:rFonts w:ascii="Arial" w:hAnsi="Arial" w:cs="Arial"/>
        </w:rPr>
        <w:t>BoR</w:t>
      </w:r>
      <w:proofErr w:type="spellEnd"/>
      <w:r w:rsidR="00A50246">
        <w:rPr>
          <w:rFonts w:ascii="Arial" w:hAnsi="Arial" w:cs="Arial"/>
        </w:rPr>
        <w:t xml:space="preserve"> (20) 42, dále jen „Pokyny“)</w:t>
      </w:r>
      <w:r w:rsidR="00A50246">
        <w:rPr>
          <w:rStyle w:val="Znakapoznpodarou"/>
          <w:rFonts w:ascii="Arial" w:hAnsi="Arial" w:cs="Arial"/>
        </w:rPr>
        <w:footnoteReference w:id="1"/>
      </w:r>
      <w:r w:rsidR="00A50246">
        <w:rPr>
          <w:rFonts w:ascii="Arial" w:hAnsi="Arial" w:cs="Arial"/>
        </w:rPr>
        <w:t xml:space="preserve">. </w:t>
      </w:r>
    </w:p>
    <w:p w14:paraId="6E648490" w14:textId="0A30CFB9" w:rsidR="00A50246" w:rsidRDefault="00A50246" w:rsidP="00A50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Pokyny stanovují minimální rozsah sběru dat o sítích pro poskytování služeb přístupu k internetu v geografickém členění, který musí ČTÚ respektovat.</w:t>
      </w:r>
    </w:p>
    <w:p w14:paraId="3BFD93A3" w14:textId="3AF0A867" w:rsidR="008541F4" w:rsidRDefault="007A4122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541F4">
        <w:rPr>
          <w:rFonts w:ascii="Arial" w:hAnsi="Arial" w:cs="Arial"/>
        </w:rPr>
        <w:t xml:space="preserve">íže popsané </w:t>
      </w:r>
      <w:r w:rsidR="00A50246">
        <w:rPr>
          <w:rFonts w:ascii="Arial" w:hAnsi="Arial" w:cs="Arial"/>
        </w:rPr>
        <w:t xml:space="preserve">návrhy </w:t>
      </w:r>
      <w:r w:rsidR="008541F4">
        <w:rPr>
          <w:rFonts w:ascii="Arial" w:hAnsi="Arial" w:cs="Arial"/>
        </w:rPr>
        <w:t xml:space="preserve">se dotknou sběru dat </w:t>
      </w:r>
      <w:r w:rsidR="00CC1676">
        <w:rPr>
          <w:rFonts w:ascii="Arial" w:hAnsi="Arial" w:cs="Arial"/>
        </w:rPr>
        <w:t xml:space="preserve">za </w:t>
      </w:r>
      <w:r w:rsidR="00C973A5">
        <w:rPr>
          <w:rFonts w:ascii="Arial" w:hAnsi="Arial" w:cs="Arial"/>
        </w:rPr>
        <w:t>rok 2022</w:t>
      </w:r>
      <w:r w:rsidR="008541F4">
        <w:rPr>
          <w:rFonts w:ascii="Arial" w:hAnsi="Arial" w:cs="Arial"/>
        </w:rPr>
        <w:t xml:space="preserve">, kdy </w:t>
      </w:r>
      <w:r w:rsidR="00CC1676">
        <w:rPr>
          <w:rFonts w:ascii="Arial" w:hAnsi="Arial" w:cs="Arial"/>
        </w:rPr>
        <w:t>dojde k</w:t>
      </w:r>
      <w:r w:rsidR="00A50246">
        <w:rPr>
          <w:rFonts w:ascii="Arial" w:hAnsi="Arial" w:cs="Arial"/>
        </w:rPr>
        <w:t xml:space="preserve"> podstatnému </w:t>
      </w:r>
      <w:r w:rsidR="00CC1676">
        <w:rPr>
          <w:rFonts w:ascii="Arial" w:hAnsi="Arial" w:cs="Arial"/>
        </w:rPr>
        <w:t>rozšíření sběru</w:t>
      </w:r>
      <w:r w:rsidR="00F92632">
        <w:rPr>
          <w:rFonts w:ascii="Arial" w:hAnsi="Arial" w:cs="Arial"/>
        </w:rPr>
        <w:t xml:space="preserve"> dat</w:t>
      </w:r>
      <w:r w:rsidR="008E5C7C">
        <w:rPr>
          <w:rFonts w:ascii="Arial" w:hAnsi="Arial" w:cs="Arial"/>
        </w:rPr>
        <w:t xml:space="preserve"> o</w:t>
      </w:r>
      <w:r w:rsidR="008541F4">
        <w:rPr>
          <w:rFonts w:ascii="Arial" w:hAnsi="Arial" w:cs="Arial"/>
        </w:rPr>
        <w:t> </w:t>
      </w:r>
      <w:r w:rsidR="00CC1676">
        <w:rPr>
          <w:rFonts w:ascii="Arial" w:hAnsi="Arial" w:cs="Arial"/>
        </w:rPr>
        <w:t>sítích pro poskytování služeb přístupu k internetu v pevném místě v geografickém členění</w:t>
      </w:r>
      <w:r w:rsidR="009F29DF">
        <w:rPr>
          <w:rFonts w:ascii="Arial" w:hAnsi="Arial" w:cs="Arial"/>
        </w:rPr>
        <w:t xml:space="preserve"> na adresní místa prostřednictvím formuláře ART</w:t>
      </w:r>
      <w:r w:rsidR="00A50246">
        <w:rPr>
          <w:rFonts w:ascii="Arial" w:hAnsi="Arial" w:cs="Arial"/>
        </w:rPr>
        <w:t>.</w:t>
      </w:r>
      <w:r w:rsidR="00C973A5">
        <w:rPr>
          <w:rFonts w:ascii="Arial" w:hAnsi="Arial" w:cs="Arial"/>
        </w:rPr>
        <w:t xml:space="preserve"> </w:t>
      </w:r>
    </w:p>
    <w:p w14:paraId="5B34ADF5" w14:textId="3D79524E" w:rsidR="00744D3E" w:rsidRDefault="00744D3E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 týče v současnosti sbíraných dat o „aktivních přípojkách“ (tedy dat o</w:t>
      </w:r>
      <w:r w:rsidR="00532587">
        <w:rPr>
          <w:rFonts w:ascii="Arial" w:hAnsi="Arial" w:cs="Arial"/>
        </w:rPr>
        <w:t xml:space="preserve"> poskytovaných</w:t>
      </w:r>
      <w:r>
        <w:rPr>
          <w:rFonts w:ascii="Arial" w:hAnsi="Arial" w:cs="Arial"/>
        </w:rPr>
        <w:t xml:space="preserve"> službách), ČTÚ doporučuje ponechat sběr těchto dat v aktuálním rozsahu</w:t>
      </w:r>
      <w:r w:rsidR="00532587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rychlostní členění „aktivních přípojek“ bude i nadále potřebné pro verifikaci dat o „disponibilních přípojkách“ (v souladu s Pokyny)</w:t>
      </w:r>
      <w:r w:rsidR="00692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pro další účely</w:t>
      </w:r>
      <w:r w:rsidR="00A502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např. </w:t>
      </w:r>
      <w:r w:rsidR="00532587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případné dotační programy na „vouchery“ pro koncové zákazníky či malé a střední podniky (viz novela nařízení k blokovým výjimkám – GBER, čl. 52c) nebo pro účely analýz a monitoringu trhu.</w:t>
      </w:r>
    </w:p>
    <w:p w14:paraId="67AB52A3" w14:textId="761FDA9D" w:rsidR="00B76BE3" w:rsidRDefault="00B76BE3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jsou </w:t>
      </w:r>
      <w:r w:rsidR="00532587">
        <w:rPr>
          <w:rFonts w:ascii="Arial" w:hAnsi="Arial" w:cs="Arial"/>
        </w:rPr>
        <w:t xml:space="preserve">stručně </w:t>
      </w:r>
      <w:r>
        <w:rPr>
          <w:rFonts w:ascii="Arial" w:hAnsi="Arial" w:cs="Arial"/>
        </w:rPr>
        <w:t xml:space="preserve">uvedeny </w:t>
      </w:r>
      <w:r w:rsidR="00A50246">
        <w:rPr>
          <w:rFonts w:ascii="Arial" w:hAnsi="Arial" w:cs="Arial"/>
        </w:rPr>
        <w:t xml:space="preserve">návrhy </w:t>
      </w:r>
      <w:r>
        <w:rPr>
          <w:rFonts w:ascii="Arial" w:hAnsi="Arial" w:cs="Arial"/>
        </w:rPr>
        <w:t xml:space="preserve">změn a </w:t>
      </w:r>
      <w:r w:rsidR="00A50246">
        <w:rPr>
          <w:rFonts w:ascii="Arial" w:hAnsi="Arial" w:cs="Arial"/>
        </w:rPr>
        <w:t>jejich vztah k</w:t>
      </w:r>
      <w:r>
        <w:rPr>
          <w:rFonts w:ascii="Arial" w:hAnsi="Arial" w:cs="Arial"/>
        </w:rPr>
        <w:t>e stávajícím</w:t>
      </w:r>
      <w:r w:rsidR="00A5024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sběru dat.</w:t>
      </w:r>
    </w:p>
    <w:p w14:paraId="302154A3" w14:textId="2A8C42E5" w:rsidR="00D62106" w:rsidRDefault="00D62106" w:rsidP="00D62106">
      <w:pPr>
        <w:pStyle w:val="Nadpis2"/>
      </w:pPr>
      <w:r>
        <w:t>Disponibilita:</w:t>
      </w:r>
    </w:p>
    <w:p w14:paraId="6E038A54" w14:textId="2376A83C" w:rsidR="00D62106" w:rsidRDefault="00C41512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účely sběru dat bude nutno doplnit stávající definici disponibilní přípojky, neboť </w:t>
      </w:r>
      <w:r w:rsidR="00D62106">
        <w:rPr>
          <w:rFonts w:ascii="Arial" w:hAnsi="Arial" w:cs="Arial"/>
        </w:rPr>
        <w:t>Pokyny uvádí, že</w:t>
      </w:r>
      <w:r w:rsidR="00835705">
        <w:rPr>
          <w:rFonts w:ascii="Arial" w:hAnsi="Arial" w:cs="Arial"/>
        </w:rPr>
        <w:t xml:space="preserve"> bytové prostory jsou pokryty</w:t>
      </w:r>
      <w:r w:rsidR="00D62106">
        <w:rPr>
          <w:rFonts w:ascii="Arial" w:hAnsi="Arial" w:cs="Arial"/>
        </w:rPr>
        <w:t xml:space="preserve"> </w:t>
      </w:r>
      <w:r w:rsidR="00835705">
        <w:rPr>
          <w:rFonts w:ascii="Arial" w:hAnsi="Arial" w:cs="Arial"/>
        </w:rPr>
        <w:t>(</w:t>
      </w:r>
      <w:proofErr w:type="spellStart"/>
      <w:r w:rsidR="00D62106" w:rsidRPr="00FD1C65">
        <w:rPr>
          <w:rFonts w:ascii="Arial" w:hAnsi="Arial" w:cs="Arial"/>
          <w:i/>
          <w:iCs/>
        </w:rPr>
        <w:t>premises</w:t>
      </w:r>
      <w:proofErr w:type="spellEnd"/>
      <w:r w:rsidR="00D62106" w:rsidRPr="00FD1C65">
        <w:rPr>
          <w:rFonts w:ascii="Arial" w:hAnsi="Arial" w:cs="Arial"/>
          <w:i/>
          <w:iCs/>
        </w:rPr>
        <w:t xml:space="preserve"> </w:t>
      </w:r>
      <w:proofErr w:type="spellStart"/>
      <w:r w:rsidR="00D62106" w:rsidRPr="00FD1C65">
        <w:rPr>
          <w:rFonts w:ascii="Arial" w:hAnsi="Arial" w:cs="Arial"/>
          <w:i/>
          <w:iCs/>
        </w:rPr>
        <w:t>passed</w:t>
      </w:r>
      <w:proofErr w:type="spellEnd"/>
      <w:r w:rsidR="0057568F">
        <w:rPr>
          <w:rFonts w:ascii="Arial" w:hAnsi="Arial" w:cs="Arial"/>
        </w:rPr>
        <w:t>)</w:t>
      </w:r>
      <w:r w:rsidR="00D62106">
        <w:rPr>
          <w:rFonts w:ascii="Arial" w:hAnsi="Arial" w:cs="Arial"/>
        </w:rPr>
        <w:t xml:space="preserve"> </w:t>
      </w:r>
      <w:r w:rsidR="008D1BA5">
        <w:rPr>
          <w:rFonts w:ascii="Arial" w:hAnsi="Arial" w:cs="Arial"/>
        </w:rPr>
        <w:t xml:space="preserve">o časové vymezení, do kdy musí být </w:t>
      </w:r>
      <w:r w:rsidR="00D62106">
        <w:rPr>
          <w:rFonts w:ascii="Arial" w:hAnsi="Arial" w:cs="Arial"/>
        </w:rPr>
        <w:t xml:space="preserve">operátor schopen realizovat přípojky </w:t>
      </w:r>
      <w:r w:rsidR="008D1BA5">
        <w:rPr>
          <w:rFonts w:ascii="Arial" w:hAnsi="Arial" w:cs="Arial"/>
        </w:rPr>
        <w:t>(</w:t>
      </w:r>
      <w:r w:rsidR="0057568F">
        <w:rPr>
          <w:rFonts w:ascii="Arial" w:hAnsi="Arial" w:cs="Arial"/>
        </w:rPr>
        <w:t>nejpozději do</w:t>
      </w:r>
      <w:r w:rsidR="00D62106">
        <w:rPr>
          <w:rFonts w:ascii="Arial" w:hAnsi="Arial" w:cs="Arial"/>
        </w:rPr>
        <w:t xml:space="preserve"> 4 týdnů</w:t>
      </w:r>
      <w:r w:rsidR="008D1BA5">
        <w:rPr>
          <w:rFonts w:ascii="Arial" w:hAnsi="Arial" w:cs="Arial"/>
        </w:rPr>
        <w:t xml:space="preserve"> podle požadavku Pokynů)</w:t>
      </w:r>
      <w:r w:rsidR="00D62106">
        <w:rPr>
          <w:rFonts w:ascii="Arial" w:hAnsi="Arial" w:cs="Arial"/>
        </w:rPr>
        <w:t xml:space="preserve">. </w:t>
      </w:r>
      <w:r w:rsidR="008D66C0">
        <w:rPr>
          <w:rFonts w:ascii="Arial" w:hAnsi="Arial" w:cs="Arial"/>
        </w:rPr>
        <w:t xml:space="preserve">Fakticky </w:t>
      </w:r>
      <w:r w:rsidR="008D1BA5">
        <w:rPr>
          <w:rFonts w:ascii="Arial" w:hAnsi="Arial" w:cs="Arial"/>
        </w:rPr>
        <w:t xml:space="preserve">se nejedná o </w:t>
      </w:r>
      <w:r w:rsidR="008D66C0">
        <w:rPr>
          <w:rFonts w:ascii="Arial" w:hAnsi="Arial" w:cs="Arial"/>
        </w:rPr>
        <w:t>změnu</w:t>
      </w:r>
      <w:r w:rsidR="008D1BA5">
        <w:rPr>
          <w:rFonts w:ascii="Arial" w:hAnsi="Arial" w:cs="Arial"/>
        </w:rPr>
        <w:t>, spíše upřesnění stávající definice</w:t>
      </w:r>
      <w:r w:rsidR="008D66C0">
        <w:rPr>
          <w:rFonts w:ascii="Arial" w:hAnsi="Arial" w:cs="Arial"/>
        </w:rPr>
        <w:t>.</w:t>
      </w:r>
    </w:p>
    <w:p w14:paraId="3D8BB73F" w14:textId="6D62102E" w:rsidR="00D62106" w:rsidRDefault="00D62106" w:rsidP="002F43E4">
      <w:pPr>
        <w:pStyle w:val="Nadpis2"/>
      </w:pPr>
      <w:r>
        <w:t>Parametry přípojky:</w:t>
      </w:r>
    </w:p>
    <w:p w14:paraId="5C2354ED" w14:textId="0FC36C2C" w:rsidR="002F43E4" w:rsidRPr="00D62106" w:rsidRDefault="00D62106" w:rsidP="00D621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Rozšíření sběru o</w:t>
      </w:r>
      <w:r w:rsidR="005C6DF3">
        <w:rPr>
          <w:rFonts w:ascii="Arial" w:hAnsi="Arial" w:cs="Arial"/>
          <w:b/>
          <w:bCs/>
        </w:rPr>
        <w:t xml:space="preserve"> disponibilních</w:t>
      </w:r>
      <w:r>
        <w:rPr>
          <w:rFonts w:ascii="Arial" w:hAnsi="Arial" w:cs="Arial"/>
          <w:b/>
          <w:bCs/>
        </w:rPr>
        <w:t xml:space="preserve"> přípojkách o upload</w:t>
      </w:r>
      <w:r w:rsidR="008D66C0">
        <w:rPr>
          <w:rFonts w:ascii="Arial" w:hAnsi="Arial" w:cs="Arial"/>
          <w:b/>
          <w:bCs/>
        </w:rPr>
        <w:t xml:space="preserve"> </w:t>
      </w:r>
    </w:p>
    <w:p w14:paraId="527DEDC6" w14:textId="61209A2C" w:rsidR="0059796E" w:rsidRDefault="0059796E" w:rsidP="001C6DA4">
      <w:pPr>
        <w:jc w:val="both"/>
        <w:rPr>
          <w:rFonts w:ascii="Arial" w:hAnsi="Arial" w:cs="Arial"/>
        </w:rPr>
      </w:pPr>
      <w:r w:rsidRPr="00C40731">
        <w:rPr>
          <w:rFonts w:ascii="Arial" w:hAnsi="Arial" w:cs="Arial"/>
        </w:rPr>
        <w:t>Kromě rychlosti</w:t>
      </w:r>
      <w:r w:rsidR="00C40731" w:rsidRPr="00C40731">
        <w:rPr>
          <w:rFonts w:ascii="Arial" w:hAnsi="Arial" w:cs="Arial"/>
        </w:rPr>
        <w:t xml:space="preserve"> směrem</w:t>
      </w:r>
      <w:r w:rsidR="00C40731" w:rsidRPr="001C6DA4">
        <w:rPr>
          <w:rFonts w:ascii="Arial" w:hAnsi="Arial" w:cs="Arial"/>
        </w:rPr>
        <w:t xml:space="preserve"> </w:t>
      </w:r>
      <w:r w:rsidR="00C40731">
        <w:rPr>
          <w:rFonts w:ascii="Arial" w:hAnsi="Arial" w:cs="Arial"/>
        </w:rPr>
        <w:t>„k zákazníkovi“ (</w:t>
      </w:r>
      <w:proofErr w:type="spellStart"/>
      <w:r w:rsidR="00C40731">
        <w:rPr>
          <w:rFonts w:ascii="Arial" w:hAnsi="Arial" w:cs="Arial"/>
        </w:rPr>
        <w:t>download</w:t>
      </w:r>
      <w:proofErr w:type="spellEnd"/>
      <w:r w:rsidR="00C40731">
        <w:rPr>
          <w:rFonts w:ascii="Arial" w:hAnsi="Arial" w:cs="Arial"/>
        </w:rPr>
        <w:t xml:space="preserve">), která je již v současné době sbírána, </w:t>
      </w:r>
      <w:r w:rsidR="00C41512">
        <w:rPr>
          <w:rFonts w:ascii="Arial" w:hAnsi="Arial" w:cs="Arial"/>
        </w:rPr>
        <w:t xml:space="preserve">bude nutno sbírat (v souladu s </w:t>
      </w:r>
      <w:r w:rsidR="00C40731">
        <w:rPr>
          <w:rFonts w:ascii="Arial" w:hAnsi="Arial" w:cs="Arial"/>
        </w:rPr>
        <w:t>Pokyny</w:t>
      </w:r>
      <w:r w:rsidR="008E5C7C">
        <w:rPr>
          <w:rFonts w:ascii="Arial" w:hAnsi="Arial" w:cs="Arial"/>
        </w:rPr>
        <w:t xml:space="preserve"> (bod 47, či kapitola 2.4.1.4)</w:t>
      </w:r>
      <w:r w:rsidR="00C41512">
        <w:rPr>
          <w:rFonts w:ascii="Arial" w:hAnsi="Arial" w:cs="Arial"/>
        </w:rPr>
        <w:t>)</w:t>
      </w:r>
      <w:r w:rsidR="008E5C7C">
        <w:rPr>
          <w:rFonts w:ascii="Arial" w:hAnsi="Arial" w:cs="Arial"/>
        </w:rPr>
        <w:t xml:space="preserve"> </w:t>
      </w:r>
      <w:r w:rsidR="00C40731">
        <w:rPr>
          <w:rFonts w:ascii="Arial" w:hAnsi="Arial" w:cs="Arial"/>
        </w:rPr>
        <w:t>i rychlost „od zákazníka“ (upload).</w:t>
      </w:r>
      <w:r w:rsidR="001C6DA4">
        <w:rPr>
          <w:rFonts w:ascii="Arial" w:hAnsi="Arial" w:cs="Arial"/>
        </w:rPr>
        <w:t xml:space="preserve"> Tento parametr </w:t>
      </w:r>
      <w:r w:rsidR="001C6DA4" w:rsidRPr="003D693E">
        <w:rPr>
          <w:rFonts w:ascii="Arial" w:hAnsi="Arial" w:cs="Arial"/>
        </w:rPr>
        <w:t>bude nutn</w:t>
      </w:r>
      <w:r w:rsidR="008D1BA5" w:rsidRPr="003D693E">
        <w:rPr>
          <w:rFonts w:ascii="Arial" w:hAnsi="Arial" w:cs="Arial"/>
        </w:rPr>
        <w:t>é</w:t>
      </w:r>
      <w:r w:rsidR="001C6DA4" w:rsidRPr="003D693E">
        <w:rPr>
          <w:rFonts w:ascii="Arial" w:hAnsi="Arial" w:cs="Arial"/>
        </w:rPr>
        <w:t xml:space="preserve"> nově </w:t>
      </w:r>
      <w:r w:rsidR="008D1BA5" w:rsidRPr="003D693E">
        <w:rPr>
          <w:rFonts w:ascii="Arial" w:hAnsi="Arial" w:cs="Arial"/>
        </w:rPr>
        <w:t>do sběru dat zařadit</w:t>
      </w:r>
      <w:r w:rsidR="001C6DA4">
        <w:rPr>
          <w:rFonts w:ascii="Arial" w:hAnsi="Arial" w:cs="Arial"/>
        </w:rPr>
        <w:t xml:space="preserve">, a to </w:t>
      </w:r>
      <w:r w:rsidR="008D1BA5">
        <w:rPr>
          <w:rFonts w:ascii="Arial" w:hAnsi="Arial" w:cs="Arial"/>
        </w:rPr>
        <w:t>pro</w:t>
      </w:r>
      <w:r w:rsidR="001C6DA4">
        <w:rPr>
          <w:rFonts w:ascii="Arial" w:hAnsi="Arial" w:cs="Arial"/>
        </w:rPr>
        <w:t xml:space="preserve"> všech</w:t>
      </w:r>
      <w:r w:rsidR="008D1BA5">
        <w:rPr>
          <w:rFonts w:ascii="Arial" w:hAnsi="Arial" w:cs="Arial"/>
        </w:rPr>
        <w:t>ny</w:t>
      </w:r>
      <w:r w:rsidR="001C6DA4">
        <w:rPr>
          <w:rFonts w:ascii="Arial" w:hAnsi="Arial" w:cs="Arial"/>
        </w:rPr>
        <w:t xml:space="preserve"> rychlostní kategori</w:t>
      </w:r>
      <w:r w:rsidR="008D1BA5">
        <w:rPr>
          <w:rFonts w:ascii="Arial" w:hAnsi="Arial" w:cs="Arial"/>
        </w:rPr>
        <w:t xml:space="preserve">e. </w:t>
      </w:r>
    </w:p>
    <w:p w14:paraId="6DAEF21B" w14:textId="3A58FAF3" w:rsidR="005C6DF3" w:rsidRPr="001C6DA4" w:rsidRDefault="006B14E9" w:rsidP="001C6DA4">
      <w:pPr>
        <w:jc w:val="both"/>
        <w:rPr>
          <w:rFonts w:ascii="Arial" w:hAnsi="Arial" w:cs="Arial"/>
        </w:rPr>
      </w:pPr>
      <w:r w:rsidRPr="006B14E9">
        <w:rPr>
          <w:rFonts w:ascii="Arial" w:hAnsi="Arial" w:cs="Arial"/>
        </w:rPr>
        <w:t>Co se týče rozsahu formuláře</w:t>
      </w:r>
      <w:r w:rsidR="008D1BA5">
        <w:rPr>
          <w:rFonts w:ascii="Arial" w:hAnsi="Arial" w:cs="Arial"/>
        </w:rPr>
        <w:t xml:space="preserve">, </w:t>
      </w:r>
      <w:r w:rsidRPr="006B14E9">
        <w:rPr>
          <w:rFonts w:ascii="Arial" w:hAnsi="Arial" w:cs="Arial"/>
        </w:rPr>
        <w:t xml:space="preserve">bude </w:t>
      </w:r>
      <w:r w:rsidR="008D1BA5">
        <w:rPr>
          <w:rFonts w:ascii="Arial" w:hAnsi="Arial" w:cs="Arial"/>
        </w:rPr>
        <w:t xml:space="preserve">doplnění rychlosti upload </w:t>
      </w:r>
      <w:r w:rsidRPr="006B14E9">
        <w:rPr>
          <w:rFonts w:ascii="Arial" w:hAnsi="Arial" w:cs="Arial"/>
        </w:rPr>
        <w:t xml:space="preserve">fakticky znamenat </w:t>
      </w:r>
      <w:r w:rsidR="005C6DF3" w:rsidRPr="005C6DF3">
        <w:rPr>
          <w:rFonts w:ascii="Arial" w:hAnsi="Arial" w:cs="Arial"/>
        </w:rPr>
        <w:t xml:space="preserve">zdvojnásobení </w:t>
      </w:r>
      <w:r w:rsidR="008D1BA5">
        <w:rPr>
          <w:rFonts w:ascii="Arial" w:hAnsi="Arial" w:cs="Arial"/>
        </w:rPr>
        <w:t xml:space="preserve">počtu </w:t>
      </w:r>
      <w:r w:rsidR="009F29DF">
        <w:rPr>
          <w:rFonts w:ascii="Arial" w:hAnsi="Arial" w:cs="Arial"/>
        </w:rPr>
        <w:t>ukazatelů</w:t>
      </w:r>
      <w:r w:rsidR="008D1BA5">
        <w:rPr>
          <w:rFonts w:ascii="Arial" w:hAnsi="Arial" w:cs="Arial"/>
        </w:rPr>
        <w:t xml:space="preserve"> vztahujících se k rychlostní kategorii</w:t>
      </w:r>
      <w:r w:rsidR="005C6DF3">
        <w:rPr>
          <w:rFonts w:ascii="Arial" w:hAnsi="Arial" w:cs="Arial"/>
        </w:rPr>
        <w:t>.</w:t>
      </w:r>
    </w:p>
    <w:p w14:paraId="7BB2ABD1" w14:textId="3E531A9A" w:rsidR="00D62106" w:rsidRPr="00D62106" w:rsidRDefault="00D62106" w:rsidP="00175441">
      <w:pPr>
        <w:keepNext/>
        <w:jc w:val="both"/>
        <w:rPr>
          <w:rFonts w:ascii="Arial" w:hAnsi="Arial" w:cs="Arial"/>
          <w:b/>
          <w:bCs/>
        </w:rPr>
      </w:pPr>
      <w:r w:rsidRPr="00D62106">
        <w:rPr>
          <w:rFonts w:ascii="Arial" w:hAnsi="Arial" w:cs="Arial"/>
          <w:b/>
          <w:bCs/>
        </w:rPr>
        <w:t>Větší počet rychlostních kategorií</w:t>
      </w:r>
    </w:p>
    <w:p w14:paraId="5F67DB3F" w14:textId="06E1F621" w:rsidR="00864552" w:rsidRDefault="008D1BA5" w:rsidP="00B13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se rozšíří počet rychlostních kategorií, </w:t>
      </w:r>
      <w:r w:rsidR="00066DA7">
        <w:rPr>
          <w:rFonts w:ascii="Arial" w:hAnsi="Arial" w:cs="Arial"/>
        </w:rPr>
        <w:t xml:space="preserve">neboť </w:t>
      </w:r>
      <w:r w:rsidR="00B13C99" w:rsidRPr="00B13C99">
        <w:rPr>
          <w:rFonts w:ascii="Arial" w:hAnsi="Arial" w:cs="Arial"/>
        </w:rPr>
        <w:t xml:space="preserve">Pokyny </w:t>
      </w:r>
      <w:r w:rsidR="00B5170A">
        <w:rPr>
          <w:rFonts w:ascii="Arial" w:hAnsi="Arial" w:cs="Arial"/>
        </w:rPr>
        <w:t xml:space="preserve">jednoznačně určují členění </w:t>
      </w:r>
      <w:r w:rsidR="00B13C99" w:rsidRPr="00B13C99">
        <w:rPr>
          <w:rFonts w:ascii="Arial" w:hAnsi="Arial" w:cs="Arial"/>
        </w:rPr>
        <w:t>sběr</w:t>
      </w:r>
      <w:r w:rsidR="00B5170A">
        <w:rPr>
          <w:rFonts w:ascii="Arial" w:hAnsi="Arial" w:cs="Arial"/>
        </w:rPr>
        <w:t>u</w:t>
      </w:r>
      <w:r w:rsidR="00B13C99" w:rsidRPr="00B13C99">
        <w:rPr>
          <w:rFonts w:ascii="Arial" w:hAnsi="Arial" w:cs="Arial"/>
        </w:rPr>
        <w:t xml:space="preserve"> dat </w:t>
      </w:r>
      <w:r w:rsidR="00B5170A">
        <w:rPr>
          <w:rFonts w:ascii="Arial" w:hAnsi="Arial" w:cs="Arial"/>
        </w:rPr>
        <w:t>do</w:t>
      </w:r>
      <w:r w:rsidR="00B13C99" w:rsidRPr="00B13C99">
        <w:rPr>
          <w:rFonts w:ascii="Arial" w:hAnsi="Arial" w:cs="Arial"/>
        </w:rPr>
        <w:t> konkrétních rychlostních kategorií (bod 64 a</w:t>
      </w:r>
      <w:r w:rsidR="00B13C99">
        <w:rPr>
          <w:rFonts w:ascii="Arial" w:hAnsi="Arial" w:cs="Arial"/>
        </w:rPr>
        <w:t> </w:t>
      </w:r>
      <w:r w:rsidR="00B13C99" w:rsidRPr="00B13C99">
        <w:rPr>
          <w:rFonts w:ascii="Arial" w:hAnsi="Arial" w:cs="Arial"/>
        </w:rPr>
        <w:t>Příloha 2</w:t>
      </w:r>
      <w:r w:rsidR="00D3616F">
        <w:rPr>
          <w:rFonts w:ascii="Arial" w:hAnsi="Arial" w:cs="Arial"/>
        </w:rPr>
        <w:t xml:space="preserve"> viz obrázek níže</w:t>
      </w:r>
      <w:r w:rsidR="00B13C99" w:rsidRPr="00B13C9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nad rámec stávající praxe ČTÚ. Některé </w:t>
      </w:r>
      <w:r w:rsidR="00B13C99">
        <w:rPr>
          <w:rFonts w:ascii="Arial" w:hAnsi="Arial" w:cs="Arial"/>
        </w:rPr>
        <w:t xml:space="preserve">rychlostní kategorie se </w:t>
      </w:r>
      <w:r>
        <w:rPr>
          <w:rFonts w:ascii="Arial" w:hAnsi="Arial" w:cs="Arial"/>
        </w:rPr>
        <w:t xml:space="preserve">přitom </w:t>
      </w:r>
      <w:r w:rsidR="00B13C99">
        <w:rPr>
          <w:rFonts w:ascii="Arial" w:hAnsi="Arial" w:cs="Arial"/>
        </w:rPr>
        <w:t xml:space="preserve">částečně překrývají s již </w:t>
      </w:r>
      <w:r w:rsidR="00B13C99">
        <w:rPr>
          <w:rFonts w:ascii="Arial" w:hAnsi="Arial" w:cs="Arial"/>
        </w:rPr>
        <w:lastRenderedPageBreak/>
        <w:t>probíhajícím sběrem</w:t>
      </w:r>
      <w:r w:rsidR="00370E2C">
        <w:rPr>
          <w:rFonts w:ascii="Arial" w:hAnsi="Arial" w:cs="Arial"/>
        </w:rPr>
        <w:t xml:space="preserve"> dat</w:t>
      </w:r>
      <w:r w:rsidR="00B13C99">
        <w:rPr>
          <w:rFonts w:ascii="Arial" w:hAnsi="Arial" w:cs="Arial"/>
        </w:rPr>
        <w:t xml:space="preserve"> ze strany ČTÚ. </w:t>
      </w:r>
      <w:r w:rsidR="00D3616F">
        <w:rPr>
          <w:rFonts w:ascii="Arial" w:hAnsi="Arial" w:cs="Arial"/>
        </w:rPr>
        <w:t>S</w:t>
      </w:r>
      <w:r w:rsidR="00BE564F">
        <w:rPr>
          <w:rFonts w:ascii="Arial" w:hAnsi="Arial" w:cs="Arial"/>
        </w:rPr>
        <w:t xml:space="preserve">běr dat </w:t>
      </w:r>
      <w:r w:rsidR="00D3616F">
        <w:rPr>
          <w:rFonts w:ascii="Arial" w:hAnsi="Arial" w:cs="Arial"/>
        </w:rPr>
        <w:t xml:space="preserve">za rok 2022 </w:t>
      </w:r>
      <w:r w:rsidR="00BE564F" w:rsidRPr="003D693E">
        <w:rPr>
          <w:rFonts w:ascii="Arial" w:hAnsi="Arial" w:cs="Arial"/>
        </w:rPr>
        <w:t>bude nutn</w:t>
      </w:r>
      <w:r w:rsidRPr="003D693E">
        <w:rPr>
          <w:rFonts w:ascii="Arial" w:hAnsi="Arial" w:cs="Arial"/>
        </w:rPr>
        <w:t>é</w:t>
      </w:r>
      <w:r w:rsidR="00BE564F" w:rsidRPr="003D693E">
        <w:rPr>
          <w:rFonts w:ascii="Arial" w:hAnsi="Arial" w:cs="Arial"/>
        </w:rPr>
        <w:t xml:space="preserve"> rozšířit</w:t>
      </w:r>
      <w:r w:rsidR="00BE564F">
        <w:rPr>
          <w:rFonts w:ascii="Arial" w:hAnsi="Arial" w:cs="Arial"/>
        </w:rPr>
        <w:t xml:space="preserve"> o interval od 2 do 10 Mbit/s</w:t>
      </w:r>
      <w:r w:rsidR="00D3616F">
        <w:rPr>
          <w:rFonts w:ascii="Arial" w:hAnsi="Arial" w:cs="Arial"/>
        </w:rPr>
        <w:t xml:space="preserve"> a</w:t>
      </w:r>
      <w:r w:rsidR="00BE564F">
        <w:rPr>
          <w:rFonts w:ascii="Arial" w:hAnsi="Arial" w:cs="Arial"/>
        </w:rPr>
        <w:t xml:space="preserve"> od 10 do 30 Mbit/s (tzn. rozdělení současného intervalu „méně než 30 Mbit/s“)</w:t>
      </w:r>
      <w:r w:rsidR="00864552">
        <w:rPr>
          <w:rFonts w:ascii="Arial" w:hAnsi="Arial" w:cs="Arial"/>
        </w:rPr>
        <w:t>.</w:t>
      </w:r>
    </w:p>
    <w:p w14:paraId="3B36B243" w14:textId="0A8BA837" w:rsidR="00D62106" w:rsidRDefault="00DB127A" w:rsidP="00B13C99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F64DF8" wp14:editId="167491E6">
            <wp:extent cx="5600700" cy="3152775"/>
            <wp:effectExtent l="19050" t="19050" r="1905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032E96" w14:textId="77777777" w:rsidR="00D3616F" w:rsidRDefault="00D3616F" w:rsidP="00D36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B14E9">
        <w:rPr>
          <w:rFonts w:ascii="Arial" w:hAnsi="Arial" w:cs="Arial"/>
        </w:rPr>
        <w:t xml:space="preserve">ato úprava </w:t>
      </w:r>
      <w:r>
        <w:rPr>
          <w:rFonts w:ascii="Arial" w:hAnsi="Arial" w:cs="Arial"/>
        </w:rPr>
        <w:t xml:space="preserve">bude </w:t>
      </w:r>
      <w:r w:rsidRPr="006B14E9">
        <w:rPr>
          <w:rFonts w:ascii="Arial" w:hAnsi="Arial" w:cs="Arial"/>
        </w:rPr>
        <w:t xml:space="preserve">fakticky </w:t>
      </w:r>
      <w:r>
        <w:rPr>
          <w:rFonts w:ascii="Arial" w:hAnsi="Arial" w:cs="Arial"/>
        </w:rPr>
        <w:t xml:space="preserve">znamenat přidání dvou nových </w:t>
      </w:r>
      <w:r w:rsidRPr="005C6DF3">
        <w:rPr>
          <w:rFonts w:ascii="Arial" w:hAnsi="Arial" w:cs="Arial"/>
        </w:rPr>
        <w:t>rychlostní</w:t>
      </w:r>
      <w:r>
        <w:rPr>
          <w:rFonts w:ascii="Arial" w:hAnsi="Arial" w:cs="Arial"/>
        </w:rPr>
        <w:t>ch</w:t>
      </w:r>
      <w:r w:rsidRPr="005C6DF3">
        <w:rPr>
          <w:rFonts w:ascii="Arial" w:hAnsi="Arial" w:cs="Arial"/>
        </w:rPr>
        <w:t xml:space="preserve"> kategori</w:t>
      </w:r>
      <w:r>
        <w:rPr>
          <w:rFonts w:ascii="Arial" w:hAnsi="Arial" w:cs="Arial"/>
        </w:rPr>
        <w:t>í.</w:t>
      </w:r>
    </w:p>
    <w:p w14:paraId="2AC10C57" w14:textId="77777777" w:rsidR="00D3616F" w:rsidRPr="00B13C99" w:rsidRDefault="00D3616F" w:rsidP="00B13C99">
      <w:pPr>
        <w:jc w:val="both"/>
        <w:rPr>
          <w:rFonts w:ascii="Arial" w:hAnsi="Arial" w:cs="Arial"/>
        </w:rPr>
      </w:pPr>
    </w:p>
    <w:p w14:paraId="4D0FA553" w14:textId="4C8E4611" w:rsidR="002F43E4" w:rsidRPr="00D62106" w:rsidRDefault="00B13064" w:rsidP="00D621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Maximální a očekávaná/efektivní rychlost</w:t>
      </w:r>
    </w:p>
    <w:p w14:paraId="3CB9EE00" w14:textId="16944BC6" w:rsidR="008074D0" w:rsidRDefault="00494C8A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Nově bude potřeba </w:t>
      </w:r>
      <w:r w:rsidR="00B13064">
        <w:rPr>
          <w:rFonts w:ascii="Arial" w:hAnsi="Arial" w:cs="Arial"/>
        </w:rPr>
        <w:t xml:space="preserve">sbírat </w:t>
      </w:r>
      <w:r w:rsidR="00115BD6">
        <w:rPr>
          <w:rFonts w:ascii="Arial" w:hAnsi="Arial" w:cs="Arial"/>
        </w:rPr>
        <w:t>v souladu s</w:t>
      </w:r>
      <w:r w:rsidR="00B13064">
        <w:rPr>
          <w:rFonts w:ascii="Arial" w:hAnsi="Arial" w:cs="Arial"/>
        </w:rPr>
        <w:t xml:space="preserve"> požadavky </w:t>
      </w:r>
      <w:r w:rsidR="00115BD6">
        <w:rPr>
          <w:rFonts w:ascii="Arial" w:hAnsi="Arial" w:cs="Arial"/>
        </w:rPr>
        <w:t>Pokyn</w:t>
      </w:r>
      <w:r w:rsidR="00B13064">
        <w:rPr>
          <w:rFonts w:ascii="Arial" w:hAnsi="Arial" w:cs="Arial"/>
        </w:rPr>
        <w:t>ů</w:t>
      </w:r>
      <w:r w:rsidR="00115BD6">
        <w:rPr>
          <w:rFonts w:ascii="Arial" w:hAnsi="Arial" w:cs="Arial"/>
        </w:rPr>
        <w:t xml:space="preserve"> </w:t>
      </w:r>
      <w:r w:rsidR="0059796E">
        <w:rPr>
          <w:rFonts w:ascii="Arial" w:hAnsi="Arial" w:cs="Arial"/>
        </w:rPr>
        <w:t>dat</w:t>
      </w:r>
      <w:r>
        <w:rPr>
          <w:rFonts w:ascii="Arial" w:hAnsi="Arial" w:cs="Arial"/>
        </w:rPr>
        <w:t>a</w:t>
      </w:r>
      <w:r w:rsidR="0059796E">
        <w:rPr>
          <w:rFonts w:ascii="Arial" w:hAnsi="Arial" w:cs="Arial"/>
        </w:rPr>
        <w:t xml:space="preserve"> o dvou typech rychlostí: „maximální rychlost“ a </w:t>
      </w:r>
      <w:r w:rsidR="0059796E" w:rsidRPr="002F43E4">
        <w:rPr>
          <w:rFonts w:ascii="Arial" w:hAnsi="Arial" w:cs="Arial"/>
        </w:rPr>
        <w:t>„rychlost očekávan</w:t>
      </w:r>
      <w:r w:rsidR="0059796E">
        <w:rPr>
          <w:rFonts w:ascii="Arial" w:hAnsi="Arial" w:cs="Arial"/>
        </w:rPr>
        <w:t>á</w:t>
      </w:r>
      <w:r w:rsidR="0059796E" w:rsidRPr="002F43E4">
        <w:rPr>
          <w:rFonts w:ascii="Arial" w:hAnsi="Arial" w:cs="Arial"/>
        </w:rPr>
        <w:t xml:space="preserve"> v</w:t>
      </w:r>
      <w:r w:rsidR="0059796E">
        <w:rPr>
          <w:rFonts w:ascii="Arial" w:hAnsi="Arial" w:cs="Arial"/>
        </w:rPr>
        <w:t> </w:t>
      </w:r>
      <w:r w:rsidR="0059796E" w:rsidRPr="002F43E4">
        <w:rPr>
          <w:rFonts w:ascii="Arial" w:hAnsi="Arial" w:cs="Arial"/>
        </w:rPr>
        <w:t>době provozní špičky“</w:t>
      </w:r>
      <w:r w:rsidR="0059796E">
        <w:rPr>
          <w:rFonts w:ascii="Arial" w:hAnsi="Arial" w:cs="Arial"/>
        </w:rPr>
        <w:t xml:space="preserve">, </w:t>
      </w:r>
      <w:r w:rsidR="00B13064">
        <w:rPr>
          <w:rFonts w:ascii="Arial" w:hAnsi="Arial" w:cs="Arial"/>
        </w:rPr>
        <w:t xml:space="preserve">a </w:t>
      </w:r>
      <w:r w:rsidR="0059796E">
        <w:rPr>
          <w:rFonts w:ascii="Arial" w:hAnsi="Arial" w:cs="Arial"/>
        </w:rPr>
        <w:t xml:space="preserve">to pro </w:t>
      </w:r>
      <w:r w:rsidR="00B13064">
        <w:rPr>
          <w:rFonts w:ascii="Arial" w:hAnsi="Arial" w:cs="Arial"/>
        </w:rPr>
        <w:t xml:space="preserve">oba </w:t>
      </w:r>
      <w:r w:rsidR="0059796E">
        <w:rPr>
          <w:rFonts w:ascii="Arial" w:hAnsi="Arial" w:cs="Arial"/>
        </w:rPr>
        <w:t>směry „k</w:t>
      </w:r>
      <w:r w:rsidR="00695F6D">
        <w:rPr>
          <w:rFonts w:ascii="Arial" w:hAnsi="Arial" w:cs="Arial"/>
        </w:rPr>
        <w:t> </w:t>
      </w:r>
      <w:r w:rsidR="0059796E">
        <w:rPr>
          <w:rFonts w:ascii="Arial" w:hAnsi="Arial" w:cs="Arial"/>
        </w:rPr>
        <w:t>zákazníkovi“ (</w:t>
      </w:r>
      <w:proofErr w:type="spellStart"/>
      <w:r w:rsidR="0059796E">
        <w:rPr>
          <w:rFonts w:ascii="Arial" w:hAnsi="Arial" w:cs="Arial"/>
        </w:rPr>
        <w:t>download</w:t>
      </w:r>
      <w:proofErr w:type="spellEnd"/>
      <w:r w:rsidR="0059796E">
        <w:rPr>
          <w:rFonts w:ascii="Arial" w:hAnsi="Arial" w:cs="Arial"/>
        </w:rPr>
        <w:t xml:space="preserve">) i „od zákazníka“ (upload). </w:t>
      </w:r>
      <w:r w:rsidR="008074D0">
        <w:rPr>
          <w:rFonts w:ascii="Arial" w:hAnsi="Arial" w:cs="Arial"/>
        </w:rPr>
        <w:t xml:space="preserve">Data o </w:t>
      </w:r>
      <w:r w:rsidR="008074D0" w:rsidRPr="002F43E4">
        <w:rPr>
          <w:rFonts w:ascii="Arial" w:hAnsi="Arial" w:cs="Arial"/>
        </w:rPr>
        <w:t>„rychlost</w:t>
      </w:r>
      <w:r w:rsidR="008074D0">
        <w:rPr>
          <w:rFonts w:ascii="Arial" w:hAnsi="Arial" w:cs="Arial"/>
        </w:rPr>
        <w:t>i</w:t>
      </w:r>
      <w:r w:rsidR="008074D0" w:rsidRPr="002F43E4">
        <w:rPr>
          <w:rFonts w:ascii="Arial" w:hAnsi="Arial" w:cs="Arial"/>
        </w:rPr>
        <w:t xml:space="preserve"> očekávan</w:t>
      </w:r>
      <w:r w:rsidR="008074D0">
        <w:rPr>
          <w:rFonts w:ascii="Arial" w:hAnsi="Arial" w:cs="Arial"/>
        </w:rPr>
        <w:t>é</w:t>
      </w:r>
      <w:r w:rsidR="008074D0" w:rsidRPr="002F43E4">
        <w:rPr>
          <w:rFonts w:ascii="Arial" w:hAnsi="Arial" w:cs="Arial"/>
        </w:rPr>
        <w:t xml:space="preserve"> v</w:t>
      </w:r>
      <w:r w:rsidR="008074D0">
        <w:rPr>
          <w:rFonts w:ascii="Arial" w:hAnsi="Arial" w:cs="Arial"/>
        </w:rPr>
        <w:t> </w:t>
      </w:r>
      <w:r w:rsidR="008074D0" w:rsidRPr="002F43E4">
        <w:rPr>
          <w:rFonts w:ascii="Arial" w:hAnsi="Arial" w:cs="Arial"/>
        </w:rPr>
        <w:t>době provozní špičky</w:t>
      </w:r>
      <w:r w:rsidR="008074D0">
        <w:rPr>
          <w:rFonts w:ascii="Arial" w:hAnsi="Arial" w:cs="Arial"/>
        </w:rPr>
        <w:t>“ jsou již v současnosti ze strany ČTÚ sbírána, neboť tato rychlost věcně odpovídá tzv. „efektivní rychlosti“</w:t>
      </w:r>
      <w:r w:rsidR="00B13064">
        <w:rPr>
          <w:rFonts w:ascii="Arial" w:hAnsi="Arial" w:cs="Arial"/>
        </w:rPr>
        <w:t>,</w:t>
      </w:r>
      <w:r w:rsidR="008074D0">
        <w:rPr>
          <w:rFonts w:ascii="Arial" w:hAnsi="Arial" w:cs="Arial"/>
        </w:rPr>
        <w:t xml:space="preserve"> na které je geo</w:t>
      </w:r>
      <w:r w:rsidR="007E1D2C">
        <w:rPr>
          <w:rFonts w:ascii="Arial" w:hAnsi="Arial" w:cs="Arial"/>
        </w:rPr>
        <w:t xml:space="preserve">grafický </w:t>
      </w:r>
      <w:r w:rsidR="008074D0">
        <w:rPr>
          <w:rFonts w:ascii="Arial" w:hAnsi="Arial" w:cs="Arial"/>
        </w:rPr>
        <w:t xml:space="preserve">sběr </w:t>
      </w:r>
      <w:r w:rsidR="007E1D2C">
        <w:rPr>
          <w:rFonts w:ascii="Arial" w:hAnsi="Arial" w:cs="Arial"/>
        </w:rPr>
        <w:t xml:space="preserve">dat o </w:t>
      </w:r>
      <w:r w:rsidR="008074D0">
        <w:rPr>
          <w:rFonts w:ascii="Arial" w:hAnsi="Arial" w:cs="Arial"/>
        </w:rPr>
        <w:t>disponibilních přípojk</w:t>
      </w:r>
      <w:r w:rsidR="007E1D2C">
        <w:rPr>
          <w:rFonts w:ascii="Arial" w:hAnsi="Arial" w:cs="Arial"/>
        </w:rPr>
        <w:t>ách</w:t>
      </w:r>
      <w:r w:rsidR="008074D0">
        <w:rPr>
          <w:rFonts w:ascii="Arial" w:hAnsi="Arial" w:cs="Arial"/>
        </w:rPr>
        <w:t xml:space="preserve"> v současnosti založen. </w:t>
      </w:r>
    </w:p>
    <w:p w14:paraId="6C463FEF" w14:textId="6EE6CF0C" w:rsidR="002F43E4" w:rsidRDefault="00494C8A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se týče „maximální rychlosti“, lze tato data získat buď jejich přímým sběrem, nebo jejich odvozením od </w:t>
      </w:r>
      <w:r w:rsidRPr="002F43E4">
        <w:rPr>
          <w:rFonts w:ascii="Arial" w:hAnsi="Arial" w:cs="Arial"/>
        </w:rPr>
        <w:t>„rychlost</w:t>
      </w:r>
      <w:r>
        <w:rPr>
          <w:rFonts w:ascii="Arial" w:hAnsi="Arial" w:cs="Arial"/>
        </w:rPr>
        <w:t>i</w:t>
      </w:r>
      <w:r w:rsidRPr="002F43E4">
        <w:rPr>
          <w:rFonts w:ascii="Arial" w:hAnsi="Arial" w:cs="Arial"/>
        </w:rPr>
        <w:t xml:space="preserve"> očekávan</w:t>
      </w:r>
      <w:r>
        <w:rPr>
          <w:rFonts w:ascii="Arial" w:hAnsi="Arial" w:cs="Arial"/>
        </w:rPr>
        <w:t>é</w:t>
      </w:r>
      <w:r w:rsidRPr="002F43E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F43E4">
        <w:rPr>
          <w:rFonts w:ascii="Arial" w:hAnsi="Arial" w:cs="Arial"/>
        </w:rPr>
        <w:t>době provozní špičky“</w:t>
      </w:r>
      <w:r>
        <w:rPr>
          <w:rFonts w:ascii="Arial" w:hAnsi="Arial" w:cs="Arial"/>
        </w:rPr>
        <w:t xml:space="preserve"> (tedy od již nyní sbírané „efektivní rychlosti“).</w:t>
      </w:r>
      <w:r w:rsidRPr="0049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Toto odvození lze provézt např. stanovením metodiky přiměřeného odhadu (typicky např. „maximální rychlost“ může být stanovena jako určité procento </w:t>
      </w:r>
      <w:r w:rsidRPr="002F43E4">
        <w:rPr>
          <w:rFonts w:ascii="Arial" w:hAnsi="Arial" w:cs="Arial"/>
        </w:rPr>
        <w:t>„rychlost</w:t>
      </w:r>
      <w:r>
        <w:rPr>
          <w:rFonts w:ascii="Arial" w:hAnsi="Arial" w:cs="Arial"/>
        </w:rPr>
        <w:t>i</w:t>
      </w:r>
      <w:r w:rsidRPr="002F43E4">
        <w:rPr>
          <w:rFonts w:ascii="Arial" w:hAnsi="Arial" w:cs="Arial"/>
        </w:rPr>
        <w:t xml:space="preserve"> očekávan</w:t>
      </w:r>
      <w:r>
        <w:rPr>
          <w:rFonts w:ascii="Arial" w:hAnsi="Arial" w:cs="Arial"/>
        </w:rPr>
        <w:t>é</w:t>
      </w:r>
      <w:r w:rsidRPr="002F43E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F43E4">
        <w:rPr>
          <w:rFonts w:ascii="Arial" w:hAnsi="Arial" w:cs="Arial"/>
        </w:rPr>
        <w:t>době provozní špičky“</w:t>
      </w:r>
      <w:r>
        <w:rPr>
          <w:rFonts w:ascii="Arial" w:hAnsi="Arial" w:cs="Arial"/>
        </w:rPr>
        <w:t>, může být stanoveno odlišně pro každou technologii), viz bod 65</w:t>
      </w:r>
      <w:r w:rsidR="00967EB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Pokynů, resp. související </w:t>
      </w: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>. 38.</w:t>
      </w:r>
    </w:p>
    <w:p w14:paraId="1B0961E8" w14:textId="38305606" w:rsidR="007C4C07" w:rsidRDefault="00DD452F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ČTÚ</w:t>
      </w:r>
      <w:r w:rsidR="00494C8A">
        <w:rPr>
          <w:rFonts w:ascii="Arial" w:hAnsi="Arial" w:cs="Arial"/>
        </w:rPr>
        <w:t xml:space="preserve"> </w:t>
      </w:r>
      <w:r w:rsidR="00B13064" w:rsidRPr="004036C3">
        <w:rPr>
          <w:rFonts w:ascii="Arial" w:hAnsi="Arial" w:cs="Arial"/>
        </w:rPr>
        <w:t>navrhuje ne</w:t>
      </w:r>
      <w:r w:rsidR="00494C8A" w:rsidRPr="004036C3">
        <w:rPr>
          <w:rFonts w:ascii="Arial" w:hAnsi="Arial" w:cs="Arial"/>
        </w:rPr>
        <w:t>rozš</w:t>
      </w:r>
      <w:r w:rsidR="00B13064" w:rsidRPr="004036C3">
        <w:rPr>
          <w:rFonts w:ascii="Arial" w:hAnsi="Arial" w:cs="Arial"/>
        </w:rPr>
        <w:t xml:space="preserve">iřovat </w:t>
      </w:r>
      <w:r w:rsidR="007E1D2C">
        <w:rPr>
          <w:rFonts w:ascii="Arial" w:hAnsi="Arial" w:cs="Arial"/>
        </w:rPr>
        <w:t>sběr dat o „maximální rychlost“</w:t>
      </w:r>
      <w:r w:rsidR="00494C8A">
        <w:rPr>
          <w:rFonts w:ascii="Arial" w:hAnsi="Arial" w:cs="Arial"/>
        </w:rPr>
        <w:t xml:space="preserve"> s tím</w:t>
      </w:r>
      <w:r>
        <w:rPr>
          <w:rFonts w:ascii="Arial" w:hAnsi="Arial" w:cs="Arial"/>
        </w:rPr>
        <w:t xml:space="preserve">, že </w:t>
      </w:r>
      <w:r w:rsidR="00C274C9">
        <w:rPr>
          <w:rFonts w:ascii="Arial" w:hAnsi="Arial" w:cs="Arial"/>
        </w:rPr>
        <w:t xml:space="preserve">tato bude </w:t>
      </w:r>
      <w:r>
        <w:rPr>
          <w:rFonts w:ascii="Arial" w:hAnsi="Arial" w:cs="Arial"/>
        </w:rPr>
        <w:t xml:space="preserve">odvozena od </w:t>
      </w:r>
      <w:r w:rsidRPr="002F43E4">
        <w:rPr>
          <w:rFonts w:ascii="Arial" w:hAnsi="Arial" w:cs="Arial"/>
        </w:rPr>
        <w:t>„rychlost</w:t>
      </w:r>
      <w:r>
        <w:rPr>
          <w:rFonts w:ascii="Arial" w:hAnsi="Arial" w:cs="Arial"/>
        </w:rPr>
        <w:t>i</w:t>
      </w:r>
      <w:r w:rsidRPr="002F43E4">
        <w:rPr>
          <w:rFonts w:ascii="Arial" w:hAnsi="Arial" w:cs="Arial"/>
        </w:rPr>
        <w:t xml:space="preserve"> očekávan</w:t>
      </w:r>
      <w:r>
        <w:rPr>
          <w:rFonts w:ascii="Arial" w:hAnsi="Arial" w:cs="Arial"/>
        </w:rPr>
        <w:t>é</w:t>
      </w:r>
      <w:r w:rsidRPr="002F43E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F43E4">
        <w:rPr>
          <w:rFonts w:ascii="Arial" w:hAnsi="Arial" w:cs="Arial"/>
        </w:rPr>
        <w:t>době provozní špičky“</w:t>
      </w:r>
      <w:r w:rsidR="009126DB">
        <w:rPr>
          <w:rFonts w:ascii="Arial" w:hAnsi="Arial" w:cs="Arial"/>
        </w:rPr>
        <w:t xml:space="preserve"> (resp. od „efektivní rychlosti“)</w:t>
      </w:r>
      <w:r>
        <w:rPr>
          <w:rFonts w:ascii="Arial" w:hAnsi="Arial" w:cs="Arial"/>
        </w:rPr>
        <w:t xml:space="preserve"> pomocí </w:t>
      </w:r>
      <w:r w:rsidR="007E1D2C">
        <w:rPr>
          <w:rFonts w:ascii="Arial" w:hAnsi="Arial" w:cs="Arial"/>
        </w:rPr>
        <w:t>k tomu vytvořené</w:t>
      </w:r>
      <w:r>
        <w:rPr>
          <w:rFonts w:ascii="Arial" w:hAnsi="Arial" w:cs="Arial"/>
        </w:rPr>
        <w:t xml:space="preserve"> funkcionality v</w:t>
      </w:r>
      <w:r w:rsidR="008037DE">
        <w:rPr>
          <w:rFonts w:ascii="Arial" w:hAnsi="Arial" w:cs="Arial"/>
        </w:rPr>
        <w:t> </w:t>
      </w:r>
      <w:r w:rsidR="007E1D2C">
        <w:rPr>
          <w:rFonts w:ascii="Arial" w:hAnsi="Arial" w:cs="Arial"/>
        </w:rPr>
        <w:t>systému</w:t>
      </w:r>
      <w:r w:rsidR="008037DE">
        <w:rPr>
          <w:rFonts w:ascii="Arial" w:hAnsi="Arial" w:cs="Arial"/>
        </w:rPr>
        <w:t xml:space="preserve"> Elektronického sběru dat (</w:t>
      </w:r>
      <w:r>
        <w:rPr>
          <w:rFonts w:ascii="Arial" w:hAnsi="Arial" w:cs="Arial"/>
        </w:rPr>
        <w:t>ESD</w:t>
      </w:r>
      <w:bookmarkStart w:id="1" w:name="_GoBack"/>
      <w:r w:rsidR="008037DE">
        <w:rPr>
          <w:rFonts w:ascii="Arial" w:hAnsi="Arial" w:cs="Arial"/>
        </w:rPr>
        <w:t>)</w:t>
      </w:r>
      <w:bookmarkEnd w:id="1"/>
      <w:r>
        <w:rPr>
          <w:rFonts w:ascii="Arial" w:hAnsi="Arial" w:cs="Arial"/>
        </w:rPr>
        <w:t xml:space="preserve">. </w:t>
      </w:r>
      <w:r w:rsidR="00C274C9">
        <w:rPr>
          <w:rFonts w:ascii="Arial" w:hAnsi="Arial" w:cs="Arial"/>
        </w:rPr>
        <w:t xml:space="preserve">Pro odvození maximální rychlosti ČTÚ navrhuje využít definice parametrů pro jednotlivé </w:t>
      </w:r>
      <w:r w:rsidR="00C274C9" w:rsidRPr="003D693E">
        <w:rPr>
          <w:rFonts w:ascii="Arial" w:hAnsi="Arial" w:cs="Arial"/>
        </w:rPr>
        <w:t xml:space="preserve">pojmy pro rychlosti ve všeobecném oprávnění </w:t>
      </w:r>
      <w:hyperlink r:id="rId10" w:history="1">
        <w:r w:rsidR="00C274C9" w:rsidRPr="003D693E">
          <w:rPr>
            <w:rStyle w:val="Hypertextovodkaz"/>
            <w:rFonts w:ascii="Arial" w:hAnsi="Arial" w:cs="Arial"/>
          </w:rPr>
          <w:t>č.</w:t>
        </w:r>
        <w:r w:rsidR="00695F6D" w:rsidRPr="003D693E">
          <w:rPr>
            <w:rStyle w:val="Hypertextovodkaz"/>
            <w:rFonts w:ascii="Arial" w:hAnsi="Arial" w:cs="Arial"/>
          </w:rPr>
          <w:t> </w:t>
        </w:r>
        <w:r w:rsidR="00C274C9" w:rsidRPr="003D693E">
          <w:rPr>
            <w:rStyle w:val="Hypertextovodkaz"/>
            <w:rFonts w:ascii="Arial" w:hAnsi="Arial" w:cs="Arial"/>
          </w:rPr>
          <w:t>VO</w:t>
        </w:r>
        <w:r w:rsidR="00695F6D" w:rsidRPr="003D693E">
          <w:rPr>
            <w:rStyle w:val="Hypertextovodkaz"/>
            <w:rFonts w:ascii="Arial" w:hAnsi="Arial" w:cs="Arial"/>
          </w:rPr>
          <w:noBreakHyphen/>
        </w:r>
        <w:r w:rsidR="00C274C9" w:rsidRPr="003D693E">
          <w:rPr>
            <w:rStyle w:val="Hypertextovodkaz"/>
            <w:rFonts w:ascii="Arial" w:hAnsi="Arial" w:cs="Arial"/>
          </w:rPr>
          <w:t>S/1/07.2005-9 v aktuálním znění</w:t>
        </w:r>
      </w:hyperlink>
      <w:r w:rsidR="00C274C9">
        <w:rPr>
          <w:rFonts w:ascii="Arial" w:hAnsi="Arial" w:cs="Arial"/>
        </w:rPr>
        <w:t xml:space="preserve">. </w:t>
      </w:r>
    </w:p>
    <w:p w14:paraId="41A1D626" w14:textId="1B1E61C8" w:rsidR="00D62106" w:rsidRDefault="00D62106" w:rsidP="005E0844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Sběr dat o klasifikaci VHCN sítě</w:t>
      </w:r>
    </w:p>
    <w:p w14:paraId="6F6B31DC" w14:textId="619DB4A1" w:rsidR="00D62106" w:rsidRDefault="00C274C9" w:rsidP="00D62106">
      <w:pPr>
        <w:jc w:val="both"/>
        <w:rPr>
          <w:noProof/>
        </w:rPr>
      </w:pPr>
      <w:r>
        <w:rPr>
          <w:rFonts w:ascii="Arial" w:hAnsi="Arial" w:cs="Arial"/>
        </w:rPr>
        <w:t>S</w:t>
      </w:r>
      <w:r w:rsidR="00066DA7">
        <w:rPr>
          <w:rFonts w:ascii="Arial" w:hAnsi="Arial" w:cs="Arial"/>
        </w:rPr>
        <w:t xml:space="preserve">běr dat bude </w:t>
      </w:r>
      <w:r>
        <w:rPr>
          <w:rFonts w:ascii="Arial" w:hAnsi="Arial" w:cs="Arial"/>
        </w:rPr>
        <w:t xml:space="preserve">rozšířen o určení </w:t>
      </w:r>
      <w:r w:rsidR="00066DA7">
        <w:rPr>
          <w:rFonts w:ascii="Arial" w:hAnsi="Arial" w:cs="Arial"/>
        </w:rPr>
        <w:t xml:space="preserve">konkrétní </w:t>
      </w:r>
      <w:r w:rsidR="00967EB4">
        <w:rPr>
          <w:rFonts w:ascii="Arial" w:hAnsi="Arial" w:cs="Arial"/>
        </w:rPr>
        <w:t xml:space="preserve">kategorie, resp. </w:t>
      </w:r>
      <w:r w:rsidR="00066DA7">
        <w:rPr>
          <w:rFonts w:ascii="Arial" w:hAnsi="Arial" w:cs="Arial"/>
        </w:rPr>
        <w:t>„třídy“ VHCN</w:t>
      </w:r>
      <w:r w:rsidR="00EA1ECF">
        <w:rPr>
          <w:rFonts w:ascii="Arial" w:hAnsi="Arial" w:cs="Arial"/>
        </w:rPr>
        <w:t xml:space="preserve"> (pomocí příslušných kódů)</w:t>
      </w:r>
      <w:r w:rsidR="00066DA7">
        <w:rPr>
          <w:rFonts w:ascii="Arial" w:hAnsi="Arial" w:cs="Arial"/>
        </w:rPr>
        <w:t xml:space="preserve">, neboť </w:t>
      </w:r>
      <w:r w:rsidR="00D62106">
        <w:rPr>
          <w:rFonts w:ascii="Arial" w:hAnsi="Arial" w:cs="Arial"/>
        </w:rPr>
        <w:t xml:space="preserve">Pokyny vyžadují sběr dat o klasifikaci VHCN sítě. V současné době ČTÚ sbírá </w:t>
      </w:r>
      <w:r>
        <w:rPr>
          <w:rFonts w:ascii="Arial" w:hAnsi="Arial" w:cs="Arial"/>
        </w:rPr>
        <w:t xml:space="preserve">pouze </w:t>
      </w:r>
      <w:r w:rsidR="00D62106">
        <w:rPr>
          <w:rFonts w:ascii="Arial" w:hAnsi="Arial" w:cs="Arial"/>
        </w:rPr>
        <w:t>informaci o</w:t>
      </w:r>
      <w:r w:rsidR="00E851DE">
        <w:rPr>
          <w:rFonts w:ascii="Arial" w:hAnsi="Arial" w:cs="Arial"/>
        </w:rPr>
        <w:t> </w:t>
      </w:r>
      <w:r w:rsidR="00D62106">
        <w:rPr>
          <w:rFonts w:ascii="Arial" w:hAnsi="Arial" w:cs="Arial"/>
        </w:rPr>
        <w:t xml:space="preserve">VHCN na úrovni – ano/ne (tedy přípojka je/není součástí VHCN sítě). Nově </w:t>
      </w:r>
      <w:r>
        <w:rPr>
          <w:rFonts w:ascii="Arial" w:hAnsi="Arial" w:cs="Arial"/>
        </w:rPr>
        <w:lastRenderedPageBreak/>
        <w:t xml:space="preserve">je třeba uvést, </w:t>
      </w:r>
      <w:r w:rsidR="00D62106">
        <w:rPr>
          <w:rFonts w:ascii="Arial" w:hAnsi="Arial" w:cs="Arial"/>
        </w:rPr>
        <w:t>o jakou „třídu“ VHCN se jedná (podle toho, jaký definiční parametr VHCN sítě je sítí naplněn)</w:t>
      </w:r>
      <w:r>
        <w:rPr>
          <w:rFonts w:ascii="Arial" w:hAnsi="Arial" w:cs="Arial"/>
        </w:rPr>
        <w:t>, viz obrázek níže</w:t>
      </w:r>
      <w:r w:rsidR="00D62106">
        <w:rPr>
          <w:rFonts w:ascii="Arial" w:hAnsi="Arial" w:cs="Arial"/>
        </w:rPr>
        <w:t>.</w:t>
      </w:r>
      <w:r w:rsidR="00D62106">
        <w:rPr>
          <w:noProof/>
        </w:rPr>
        <w:t xml:space="preserve">  </w:t>
      </w:r>
    </w:p>
    <w:p w14:paraId="6F9C8A7F" w14:textId="09A203A3" w:rsidR="00DB127A" w:rsidRDefault="00DB127A" w:rsidP="00D62106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F78AF25" wp14:editId="7A8C28C9">
            <wp:extent cx="5343525" cy="1971675"/>
            <wp:effectExtent l="19050" t="19050" r="28575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71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723C44" w14:textId="782E4750" w:rsidR="00C274C9" w:rsidRPr="00D62106" w:rsidRDefault="00C274C9" w:rsidP="00D62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B14E9">
        <w:rPr>
          <w:rFonts w:ascii="Arial" w:hAnsi="Arial" w:cs="Arial"/>
        </w:rPr>
        <w:t xml:space="preserve">ato úprava </w:t>
      </w:r>
      <w:r>
        <w:rPr>
          <w:rFonts w:ascii="Arial" w:hAnsi="Arial" w:cs="Arial"/>
        </w:rPr>
        <w:t xml:space="preserve">bude </w:t>
      </w:r>
      <w:r w:rsidRPr="006B14E9">
        <w:rPr>
          <w:rFonts w:ascii="Arial" w:hAnsi="Arial" w:cs="Arial"/>
        </w:rPr>
        <w:t>fakticky</w:t>
      </w:r>
      <w:r>
        <w:rPr>
          <w:rFonts w:ascii="Arial" w:hAnsi="Arial" w:cs="Arial"/>
        </w:rPr>
        <w:t xml:space="preserve"> znamenat zavedení nových ukazatelů odpovídajících jednotlivým „třídám“ VHCN disponibilních přípojek.</w:t>
      </w:r>
    </w:p>
    <w:p w14:paraId="5E0FAB69" w14:textId="2C0D5EE6" w:rsidR="0076344A" w:rsidRPr="00D62106" w:rsidRDefault="009D3C34" w:rsidP="00967EB4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 technologické/infrastrukturní členění příloh</w:t>
      </w:r>
      <w:r w:rsidR="004206D3">
        <w:rPr>
          <w:rFonts w:ascii="Arial" w:hAnsi="Arial" w:cs="Arial"/>
          <w:b/>
          <w:bCs/>
        </w:rPr>
        <w:t xml:space="preserve"> formuláře ART</w:t>
      </w:r>
    </w:p>
    <w:p w14:paraId="1A2FB117" w14:textId="368AFB34" w:rsidR="0076344A" w:rsidRDefault="009D3C34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ČTÚ </w:t>
      </w:r>
      <w:r w:rsidR="00C274C9">
        <w:rPr>
          <w:rFonts w:ascii="Arial" w:hAnsi="Arial" w:cs="Arial"/>
        </w:rPr>
        <w:t xml:space="preserve">navrhuje pouze </w:t>
      </w:r>
      <w:r w:rsidR="003F1DC5">
        <w:rPr>
          <w:rFonts w:ascii="Arial" w:hAnsi="Arial" w:cs="Arial"/>
        </w:rPr>
        <w:t>drobné</w:t>
      </w:r>
      <w:r>
        <w:rPr>
          <w:rFonts w:ascii="Arial" w:hAnsi="Arial" w:cs="Arial"/>
        </w:rPr>
        <w:t xml:space="preserve"> rozš</w:t>
      </w:r>
      <w:r w:rsidR="003F1DC5">
        <w:rPr>
          <w:rFonts w:ascii="Arial" w:hAnsi="Arial" w:cs="Arial"/>
        </w:rPr>
        <w:t>í</w:t>
      </w:r>
      <w:r>
        <w:rPr>
          <w:rFonts w:ascii="Arial" w:hAnsi="Arial" w:cs="Arial"/>
        </w:rPr>
        <w:t>ř</w:t>
      </w:r>
      <w:r w:rsidR="003F1DC5">
        <w:rPr>
          <w:rFonts w:ascii="Arial" w:hAnsi="Arial" w:cs="Arial"/>
        </w:rPr>
        <w:t>ení</w:t>
      </w:r>
      <w:r>
        <w:rPr>
          <w:rFonts w:ascii="Arial" w:hAnsi="Arial" w:cs="Arial"/>
        </w:rPr>
        <w:t xml:space="preserve"> sběru dat</w:t>
      </w:r>
      <w:r w:rsidR="00C274C9">
        <w:rPr>
          <w:rFonts w:ascii="Arial" w:hAnsi="Arial" w:cs="Arial"/>
        </w:rPr>
        <w:t xml:space="preserve"> v členění podle jednotlivých technologií či</w:t>
      </w:r>
      <w:r w:rsidR="00695F6D">
        <w:rPr>
          <w:rFonts w:ascii="Arial" w:hAnsi="Arial" w:cs="Arial"/>
        </w:rPr>
        <w:t> </w:t>
      </w:r>
      <w:r w:rsidR="00C274C9">
        <w:rPr>
          <w:rFonts w:ascii="Arial" w:hAnsi="Arial" w:cs="Arial"/>
        </w:rPr>
        <w:t>přenosového média</w:t>
      </w:r>
      <w:r>
        <w:rPr>
          <w:rFonts w:ascii="Arial" w:hAnsi="Arial" w:cs="Arial"/>
        </w:rPr>
        <w:t xml:space="preserve">. </w:t>
      </w:r>
      <w:r w:rsidR="00867B08">
        <w:rPr>
          <w:rFonts w:ascii="Arial" w:hAnsi="Arial" w:cs="Arial"/>
        </w:rPr>
        <w:t>Pokyny</w:t>
      </w:r>
      <w:r w:rsidR="008E5C7C">
        <w:rPr>
          <w:rFonts w:ascii="Arial" w:hAnsi="Arial" w:cs="Arial"/>
        </w:rPr>
        <w:t xml:space="preserve"> (bod 62)</w:t>
      </w:r>
      <w:r w:rsidR="00867B08">
        <w:rPr>
          <w:rFonts w:ascii="Arial" w:hAnsi="Arial" w:cs="Arial"/>
        </w:rPr>
        <w:t xml:space="preserve"> požadují sběr </w:t>
      </w:r>
      <w:r w:rsidR="008E5C7C">
        <w:rPr>
          <w:rFonts w:ascii="Arial" w:hAnsi="Arial" w:cs="Arial"/>
        </w:rPr>
        <w:t xml:space="preserve">geografických </w:t>
      </w:r>
      <w:r w:rsidR="00867B08">
        <w:rPr>
          <w:rFonts w:ascii="Arial" w:hAnsi="Arial" w:cs="Arial"/>
        </w:rPr>
        <w:t xml:space="preserve">dat alespoň podle tzv. „médií“, v členění </w:t>
      </w:r>
      <w:r w:rsidR="008E5C7C">
        <w:rPr>
          <w:rFonts w:ascii="Arial" w:hAnsi="Arial" w:cs="Arial"/>
        </w:rPr>
        <w:t>minimálně do následujících kategorií:</w:t>
      </w:r>
      <w:r w:rsidR="00867B08">
        <w:rPr>
          <w:rFonts w:ascii="Arial" w:hAnsi="Arial" w:cs="Arial"/>
        </w:rPr>
        <w:t xml:space="preserve"> „měď“, „koaxiál“</w:t>
      </w:r>
      <w:r w:rsidR="008E5C7C">
        <w:rPr>
          <w:rFonts w:ascii="Arial" w:hAnsi="Arial" w:cs="Arial"/>
        </w:rPr>
        <w:t>, „optika“, „vzduch“ a</w:t>
      </w:r>
      <w:r>
        <w:rPr>
          <w:rFonts w:ascii="Arial" w:hAnsi="Arial" w:cs="Arial"/>
        </w:rPr>
        <w:t> </w:t>
      </w:r>
      <w:r w:rsidR="008E5C7C">
        <w:rPr>
          <w:rFonts w:ascii="Arial" w:hAnsi="Arial" w:cs="Arial"/>
        </w:rPr>
        <w:t xml:space="preserve">„ostatní“. </w:t>
      </w:r>
      <w:r w:rsidR="00072D78">
        <w:rPr>
          <w:rFonts w:ascii="Arial" w:hAnsi="Arial" w:cs="Arial"/>
        </w:rPr>
        <w:t xml:space="preserve">Alternativně Pokyny doporučují i detailnější sběr, v členění dle „technologií“ (DSL, VDSL, </w:t>
      </w:r>
      <w:proofErr w:type="spellStart"/>
      <w:r w:rsidR="00072D78">
        <w:rPr>
          <w:rFonts w:ascii="Arial" w:hAnsi="Arial" w:cs="Arial"/>
        </w:rPr>
        <w:t>Vectoring</w:t>
      </w:r>
      <w:proofErr w:type="spellEnd"/>
      <w:r w:rsidR="00072D78">
        <w:rPr>
          <w:rFonts w:ascii="Arial" w:hAnsi="Arial" w:cs="Arial"/>
        </w:rPr>
        <w:t>, DOCSIS 1.0 nebo 2.0, DOCSIS 3.0 a vyšší, FT</w:t>
      </w:r>
      <w:r w:rsidR="003500B0">
        <w:rPr>
          <w:rFonts w:ascii="Arial" w:hAnsi="Arial" w:cs="Arial"/>
        </w:rPr>
        <w:t>T</w:t>
      </w:r>
      <w:r w:rsidR="00072D78">
        <w:rPr>
          <w:rFonts w:ascii="Arial" w:hAnsi="Arial" w:cs="Arial"/>
        </w:rPr>
        <w:t>H</w:t>
      </w:r>
      <w:r w:rsidR="003500B0">
        <w:rPr>
          <w:rFonts w:ascii="Arial" w:hAnsi="Arial" w:cs="Arial"/>
        </w:rPr>
        <w:t>/</w:t>
      </w:r>
      <w:r w:rsidR="00072D78">
        <w:rPr>
          <w:rFonts w:ascii="Arial" w:hAnsi="Arial" w:cs="Arial"/>
        </w:rPr>
        <w:t xml:space="preserve"> FTTB, FWA v licencovaných pásmech, FWA ve volných pásmech, ostatní)</w:t>
      </w:r>
      <w:r w:rsidR="00873F57">
        <w:rPr>
          <w:rFonts w:ascii="Arial" w:hAnsi="Arial" w:cs="Arial"/>
        </w:rPr>
        <w:t>, viz obrázek níže</w:t>
      </w:r>
      <w:r w:rsidR="00072D78">
        <w:rPr>
          <w:rFonts w:ascii="Arial" w:hAnsi="Arial" w:cs="Arial"/>
        </w:rPr>
        <w:t>.</w:t>
      </w:r>
      <w:r w:rsidR="001264FF">
        <w:rPr>
          <w:rFonts w:ascii="Arial" w:hAnsi="Arial" w:cs="Arial"/>
        </w:rPr>
        <w:t xml:space="preserve"> </w:t>
      </w:r>
      <w:r w:rsidR="00C274C9">
        <w:rPr>
          <w:rFonts w:ascii="Arial" w:hAnsi="Arial" w:cs="Arial"/>
        </w:rPr>
        <w:t xml:space="preserve">Stávající </w:t>
      </w:r>
      <w:r w:rsidR="001264FF">
        <w:rPr>
          <w:rFonts w:ascii="Arial" w:hAnsi="Arial" w:cs="Arial"/>
        </w:rPr>
        <w:t xml:space="preserve">sběr dat </w:t>
      </w:r>
      <w:r>
        <w:rPr>
          <w:rFonts w:ascii="Arial" w:hAnsi="Arial" w:cs="Arial"/>
        </w:rPr>
        <w:t xml:space="preserve">tedy </w:t>
      </w:r>
      <w:r w:rsidRPr="004036C3">
        <w:rPr>
          <w:rFonts w:ascii="Arial" w:hAnsi="Arial" w:cs="Arial"/>
        </w:rPr>
        <w:t>nebude</w:t>
      </w:r>
      <w:r w:rsidR="001264FF">
        <w:rPr>
          <w:rFonts w:ascii="Arial" w:hAnsi="Arial" w:cs="Arial"/>
        </w:rPr>
        <w:t xml:space="preserve"> v tomto směru </w:t>
      </w:r>
      <w:r w:rsidR="003500B0">
        <w:rPr>
          <w:rFonts w:ascii="Arial" w:hAnsi="Arial" w:cs="Arial"/>
        </w:rPr>
        <w:t>nutné měnit</w:t>
      </w:r>
      <w:r w:rsidR="001264FF">
        <w:rPr>
          <w:rFonts w:ascii="Arial" w:hAnsi="Arial" w:cs="Arial"/>
        </w:rPr>
        <w:t>, neboť minimální rozlišování geografických dat (podle výše zmíněných „médií“) je již dnes splněno</w:t>
      </w:r>
      <w:r w:rsidR="00C274C9">
        <w:rPr>
          <w:rFonts w:ascii="Arial" w:hAnsi="Arial" w:cs="Arial"/>
        </w:rPr>
        <w:t>,</w:t>
      </w:r>
      <w:r w:rsidR="001264FF">
        <w:rPr>
          <w:rFonts w:ascii="Arial" w:hAnsi="Arial" w:cs="Arial"/>
        </w:rPr>
        <w:t xml:space="preserve"> ČTÚ v současnosti sbírá v podstatě kombinaci minimálního rozsahu členění („média“) a doporučujícího rozsahu členění („technologie“). </w:t>
      </w:r>
    </w:p>
    <w:p w14:paraId="287C7FB3" w14:textId="1893E99B" w:rsidR="00D62106" w:rsidRDefault="003F1DC5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Jedinou změnou v tomto ohledu tak bude pouze vytvoření nové přílohy pro sběr </w:t>
      </w:r>
      <w:r w:rsidR="003500B0">
        <w:rPr>
          <w:rFonts w:ascii="Arial" w:hAnsi="Arial" w:cs="Arial"/>
        </w:rPr>
        <w:t xml:space="preserve">geografických </w:t>
      </w:r>
      <w:r>
        <w:rPr>
          <w:rFonts w:ascii="Arial" w:hAnsi="Arial" w:cs="Arial"/>
        </w:rPr>
        <w:t xml:space="preserve">dat </w:t>
      </w:r>
      <w:r w:rsidR="003500B0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kategori</w:t>
      </w:r>
      <w:r w:rsidR="003500B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„</w:t>
      </w:r>
      <w:r w:rsidR="005A03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statní“. </w:t>
      </w:r>
      <w:r w:rsidR="00C274C9">
        <w:rPr>
          <w:rFonts w:ascii="Arial" w:hAnsi="Arial" w:cs="Arial"/>
        </w:rPr>
        <w:t xml:space="preserve">Zde by </w:t>
      </w:r>
      <w:r>
        <w:rPr>
          <w:rFonts w:ascii="Arial" w:hAnsi="Arial" w:cs="Arial"/>
        </w:rPr>
        <w:t xml:space="preserve">měla být vyplňována data o přípojkách realizovaných prostřednictvím PLC či jiným způsobem (např. čistým Ethernetem). </w:t>
      </w:r>
      <w:r w:rsidR="003500B0">
        <w:rPr>
          <w:rFonts w:ascii="Arial" w:hAnsi="Arial" w:cs="Arial"/>
        </w:rPr>
        <w:t>Geografická d</w:t>
      </w:r>
      <w:r w:rsidR="003500B0" w:rsidRPr="003F1DC5">
        <w:rPr>
          <w:rFonts w:ascii="Arial" w:hAnsi="Arial" w:cs="Arial"/>
        </w:rPr>
        <w:t xml:space="preserve">ata </w:t>
      </w:r>
      <w:r w:rsidR="00472123" w:rsidRPr="003F1DC5">
        <w:rPr>
          <w:rFonts w:ascii="Arial" w:hAnsi="Arial" w:cs="Arial"/>
        </w:rPr>
        <w:t>o</w:t>
      </w:r>
      <w:r w:rsidR="00695F6D">
        <w:rPr>
          <w:rFonts w:ascii="Arial" w:hAnsi="Arial" w:cs="Arial"/>
        </w:rPr>
        <w:t> </w:t>
      </w:r>
      <w:r w:rsidR="00472123" w:rsidRPr="003F1DC5">
        <w:rPr>
          <w:rFonts w:ascii="Arial" w:hAnsi="Arial" w:cs="Arial"/>
        </w:rPr>
        <w:t>„satelitu“</w:t>
      </w:r>
      <w:r>
        <w:rPr>
          <w:rFonts w:ascii="Arial" w:hAnsi="Arial" w:cs="Arial"/>
        </w:rPr>
        <w:t xml:space="preserve"> sbírána </w:t>
      </w:r>
      <w:r w:rsidR="00C274C9">
        <w:rPr>
          <w:rFonts w:ascii="Arial" w:hAnsi="Arial" w:cs="Arial"/>
        </w:rPr>
        <w:t>an</w:t>
      </w:r>
      <w:r>
        <w:rPr>
          <w:rFonts w:ascii="Arial" w:hAnsi="Arial" w:cs="Arial"/>
        </w:rPr>
        <w:t>i nadále nebudou, neboť</w:t>
      </w:r>
      <w:r w:rsidR="00472123" w:rsidRPr="003F1DC5">
        <w:rPr>
          <w:rFonts w:ascii="Arial" w:hAnsi="Arial" w:cs="Arial"/>
        </w:rPr>
        <w:t xml:space="preserve"> </w:t>
      </w:r>
      <w:r w:rsidRPr="003F1DC5">
        <w:rPr>
          <w:rFonts w:ascii="Arial" w:hAnsi="Arial" w:cs="Arial"/>
        </w:rPr>
        <w:t xml:space="preserve">pomocí satelitu jsou pokryta všechna </w:t>
      </w:r>
      <w:r w:rsidR="003500B0">
        <w:rPr>
          <w:rFonts w:ascii="Arial" w:hAnsi="Arial" w:cs="Arial"/>
        </w:rPr>
        <w:t>adresní místa</w:t>
      </w:r>
      <w:r w:rsidRPr="003F1DC5">
        <w:rPr>
          <w:rFonts w:ascii="Arial" w:hAnsi="Arial" w:cs="Arial"/>
        </w:rPr>
        <w:t xml:space="preserve"> v</w:t>
      </w:r>
      <w:r w:rsidR="003500B0">
        <w:rPr>
          <w:rFonts w:ascii="Arial" w:hAnsi="Arial" w:cs="Arial"/>
        </w:rPr>
        <w:t> </w:t>
      </w:r>
      <w:r w:rsidRPr="003F1DC5">
        <w:rPr>
          <w:rFonts w:ascii="Arial" w:hAnsi="Arial" w:cs="Arial"/>
        </w:rPr>
        <w:t>Evropě</w:t>
      </w:r>
      <w:r w:rsidR="003500B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tato data i</w:t>
      </w:r>
      <w:r w:rsidRPr="003F1DC5">
        <w:rPr>
          <w:rFonts w:ascii="Arial" w:hAnsi="Arial" w:cs="Arial"/>
        </w:rPr>
        <w:t xml:space="preserve"> </w:t>
      </w:r>
      <w:r w:rsidR="00472123" w:rsidRPr="003F1DC5">
        <w:rPr>
          <w:rFonts w:ascii="Arial" w:hAnsi="Arial" w:cs="Arial"/>
        </w:rPr>
        <w:t>Pokyny vyloženě nedoporučují mapovat).</w:t>
      </w:r>
    </w:p>
    <w:p w14:paraId="4D921E81" w14:textId="2613F681" w:rsidR="00D1786C" w:rsidRDefault="00D1786C" w:rsidP="00F92632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E46E6E" wp14:editId="26EEBF2E">
            <wp:extent cx="5419725" cy="2505075"/>
            <wp:effectExtent l="19050" t="19050" r="28575" b="285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05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E3B66A" w14:textId="77777777" w:rsidR="00BA19AD" w:rsidRDefault="00BA19AD" w:rsidP="00A97C1E">
      <w:pPr>
        <w:pStyle w:val="Nadpis2"/>
      </w:pPr>
    </w:p>
    <w:p w14:paraId="0747E3A7" w14:textId="3CAA29E5" w:rsidR="00CD4318" w:rsidRDefault="00873F57" w:rsidP="00F92632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</w:t>
      </w:r>
      <w:r w:rsidR="00CD4318" w:rsidRPr="00CD431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ouvisející úprava způsobu sběru dat </w:t>
      </w:r>
    </w:p>
    <w:p w14:paraId="254E8004" w14:textId="42159BC2" w:rsidR="00A97C1E" w:rsidRDefault="00A97C1E" w:rsidP="00F9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Pokyny</w:t>
      </w:r>
      <w:r w:rsidR="00D73A1D">
        <w:rPr>
          <w:rFonts w:ascii="Arial" w:hAnsi="Arial" w:cs="Arial"/>
        </w:rPr>
        <w:t xml:space="preserve"> předpokládají </w:t>
      </w:r>
      <w:r w:rsidR="00873F57">
        <w:rPr>
          <w:rFonts w:ascii="Arial" w:hAnsi="Arial" w:cs="Arial"/>
        </w:rPr>
        <w:t xml:space="preserve">co do struktury </w:t>
      </w:r>
      <w:r w:rsidR="00D73A1D">
        <w:rPr>
          <w:rFonts w:ascii="Arial" w:hAnsi="Arial" w:cs="Arial"/>
        </w:rPr>
        <w:t>odlišný způsob sběru geo</w:t>
      </w:r>
      <w:r w:rsidR="00223C22">
        <w:rPr>
          <w:rFonts w:ascii="Arial" w:hAnsi="Arial" w:cs="Arial"/>
        </w:rPr>
        <w:t xml:space="preserve">grafických </w:t>
      </w:r>
      <w:r w:rsidR="00D73A1D">
        <w:rPr>
          <w:rFonts w:ascii="Arial" w:hAnsi="Arial" w:cs="Arial"/>
        </w:rPr>
        <w:t>dat</w:t>
      </w:r>
      <w:r w:rsidR="00873F57">
        <w:rPr>
          <w:rFonts w:ascii="Arial" w:hAnsi="Arial" w:cs="Arial"/>
        </w:rPr>
        <w:t xml:space="preserve"> oproti stávají praxi ČTÚ</w:t>
      </w:r>
      <w:r w:rsidR="00D73A1D">
        <w:rPr>
          <w:rFonts w:ascii="Arial" w:hAnsi="Arial" w:cs="Arial"/>
        </w:rPr>
        <w:t xml:space="preserve">, </w:t>
      </w:r>
      <w:r w:rsidR="00873F57">
        <w:rPr>
          <w:rFonts w:ascii="Arial" w:hAnsi="Arial" w:cs="Arial"/>
        </w:rPr>
        <w:t xml:space="preserve">a to </w:t>
      </w:r>
      <w:r w:rsidR="00D73A1D">
        <w:rPr>
          <w:rFonts w:ascii="Arial" w:hAnsi="Arial" w:cs="Arial"/>
        </w:rPr>
        <w:t>konkrétně v následující struktuře</w:t>
      </w:r>
      <w:r>
        <w:rPr>
          <w:rFonts w:ascii="Arial" w:hAnsi="Arial" w:cs="Arial"/>
        </w:rPr>
        <w:t>:</w:t>
      </w:r>
    </w:p>
    <w:p w14:paraId="1E3F1819" w14:textId="2D377078" w:rsidR="00A97C1E" w:rsidRDefault="00A97C1E" w:rsidP="00F92632">
      <w:pPr>
        <w:jc w:val="both"/>
        <w:rPr>
          <w:rFonts w:ascii="Arial" w:hAnsi="Arial" w:cs="Arial"/>
        </w:rPr>
      </w:pPr>
    </w:p>
    <w:p w14:paraId="1A81F894" w14:textId="6D1CF13C" w:rsidR="003B0B64" w:rsidRPr="00A97C1E" w:rsidRDefault="003B0B64" w:rsidP="00F92632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5F6CA8" wp14:editId="32532633">
            <wp:extent cx="5648325" cy="2695575"/>
            <wp:effectExtent l="19050" t="19050" r="28575" b="285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95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769C78" w14:textId="520544E8" w:rsidR="000443B8" w:rsidRDefault="005C75E3" w:rsidP="00A97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Ačkoliv Pokyny </w:t>
      </w:r>
      <w:r w:rsidR="00873F57">
        <w:rPr>
          <w:rFonts w:ascii="Arial" w:hAnsi="Arial" w:cs="Arial"/>
        </w:rPr>
        <w:t xml:space="preserve">předpokládají </w:t>
      </w:r>
      <w:r>
        <w:rPr>
          <w:rFonts w:ascii="Arial" w:hAnsi="Arial" w:cs="Arial"/>
        </w:rPr>
        <w:t xml:space="preserve">sbírat informace o technologii v jednom ze sloupců, </w:t>
      </w:r>
      <w:r w:rsidR="009737E0">
        <w:rPr>
          <w:rFonts w:ascii="Arial" w:hAnsi="Arial" w:cs="Arial"/>
        </w:rPr>
        <w:t xml:space="preserve">ČTÚ navrhuje setrvat u způsobu sběru dat </w:t>
      </w:r>
      <w:r>
        <w:rPr>
          <w:rFonts w:ascii="Arial" w:hAnsi="Arial" w:cs="Arial"/>
        </w:rPr>
        <w:t xml:space="preserve">prostřednictvím </w:t>
      </w:r>
      <w:r w:rsidR="00312B36">
        <w:rPr>
          <w:rFonts w:ascii="Arial" w:hAnsi="Arial" w:cs="Arial"/>
        </w:rPr>
        <w:t>zvláštních</w:t>
      </w:r>
      <w:r w:rsidR="009737E0">
        <w:rPr>
          <w:rFonts w:ascii="Arial" w:hAnsi="Arial" w:cs="Arial"/>
        </w:rPr>
        <w:t xml:space="preserve"> příloh pro jednotlivé technologie</w:t>
      </w:r>
      <w:r w:rsidR="00C06B5E">
        <w:rPr>
          <w:rFonts w:ascii="Arial" w:hAnsi="Arial" w:cs="Arial"/>
        </w:rPr>
        <w:t xml:space="preserve">. </w:t>
      </w:r>
    </w:p>
    <w:p w14:paraId="56BE410B" w14:textId="1D5924C7" w:rsidR="00C06B5E" w:rsidRDefault="00873F57" w:rsidP="00A97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3B8">
        <w:rPr>
          <w:rFonts w:ascii="Arial" w:hAnsi="Arial" w:cs="Arial"/>
        </w:rPr>
        <w:t xml:space="preserve">běr dat </w:t>
      </w:r>
      <w:r>
        <w:rPr>
          <w:rFonts w:ascii="Arial" w:hAnsi="Arial" w:cs="Arial"/>
        </w:rPr>
        <w:t xml:space="preserve">v souladu s požadavky Pokynů lze zajistit </w:t>
      </w:r>
      <w:r w:rsidR="001D2AD7">
        <w:rPr>
          <w:rFonts w:ascii="Arial" w:hAnsi="Arial" w:cs="Arial"/>
        </w:rPr>
        <w:t xml:space="preserve">dvěma </w:t>
      </w:r>
      <w:r w:rsidR="00C06B5E">
        <w:rPr>
          <w:rFonts w:ascii="Arial" w:hAnsi="Arial" w:cs="Arial"/>
        </w:rPr>
        <w:t>způsoby:</w:t>
      </w:r>
    </w:p>
    <w:p w14:paraId="62DF45B2" w14:textId="77AE8560" w:rsidR="00C06B5E" w:rsidRDefault="00C06B5E" w:rsidP="0063330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prostým rozšířením </w:t>
      </w:r>
      <w:r w:rsidR="00873F57">
        <w:rPr>
          <w:rFonts w:ascii="Arial" w:hAnsi="Arial" w:cs="Arial"/>
        </w:rPr>
        <w:t xml:space="preserve">stávajících </w:t>
      </w:r>
      <w:r w:rsidR="000443B8">
        <w:rPr>
          <w:rFonts w:ascii="Arial" w:hAnsi="Arial" w:cs="Arial"/>
        </w:rPr>
        <w:t xml:space="preserve">jednotlivých </w:t>
      </w:r>
      <w:r>
        <w:rPr>
          <w:rFonts w:ascii="Arial" w:hAnsi="Arial" w:cs="Arial"/>
        </w:rPr>
        <w:t>příloh o požadované</w:t>
      </w:r>
      <w:r w:rsidR="000443B8">
        <w:rPr>
          <w:rFonts w:ascii="Arial" w:hAnsi="Arial" w:cs="Arial"/>
        </w:rPr>
        <w:t xml:space="preserve"> ukazatele</w:t>
      </w:r>
      <w:r>
        <w:rPr>
          <w:rFonts w:ascii="Arial" w:hAnsi="Arial" w:cs="Arial"/>
        </w:rPr>
        <w:t xml:space="preserve"> – tímto způsobem by došlo k enormnímu rozšíření příloh, což by mělo pravděpodobně negativní vliv na její přehlednost,</w:t>
      </w:r>
      <w:r w:rsidR="000443B8">
        <w:rPr>
          <w:rFonts w:ascii="Arial" w:hAnsi="Arial" w:cs="Arial"/>
        </w:rPr>
        <w:t xml:space="preserve"> možnosti vyplnění a následnou </w:t>
      </w:r>
      <w:r>
        <w:rPr>
          <w:rFonts w:ascii="Arial" w:hAnsi="Arial" w:cs="Arial"/>
        </w:rPr>
        <w:t>zpracovatelnost</w:t>
      </w:r>
      <w:r w:rsidR="000443B8">
        <w:rPr>
          <w:rFonts w:ascii="Arial" w:hAnsi="Arial" w:cs="Arial"/>
        </w:rPr>
        <w:t xml:space="preserve"> včetně ověřování sbíraných dat</w:t>
      </w:r>
      <w:r>
        <w:rPr>
          <w:rFonts w:ascii="Arial" w:hAnsi="Arial" w:cs="Arial"/>
        </w:rPr>
        <w:t>;</w:t>
      </w:r>
    </w:p>
    <w:p w14:paraId="7D3FB413" w14:textId="77777777" w:rsidR="00BE53F0" w:rsidRDefault="00BE53F0" w:rsidP="00BE53F0">
      <w:pPr>
        <w:pStyle w:val="Odstavecseseznamem"/>
        <w:jc w:val="both"/>
        <w:rPr>
          <w:rFonts w:ascii="Arial" w:hAnsi="Arial" w:cs="Arial"/>
        </w:rPr>
      </w:pPr>
    </w:p>
    <w:p w14:paraId="43F35487" w14:textId="7A90CF96" w:rsidR="009737E0" w:rsidRPr="00BE53F0" w:rsidRDefault="003B14FA" w:rsidP="005E084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E53F0">
        <w:rPr>
          <w:rFonts w:ascii="Arial" w:hAnsi="Arial" w:cs="Arial"/>
        </w:rPr>
        <w:t>změnou logiky vyplňování příloh</w:t>
      </w:r>
      <w:r w:rsidR="00F10A51" w:rsidRPr="00BE53F0">
        <w:rPr>
          <w:rFonts w:ascii="Arial" w:hAnsi="Arial" w:cs="Arial"/>
        </w:rPr>
        <w:t xml:space="preserve"> – </w:t>
      </w:r>
      <w:r w:rsidRPr="00BE53F0">
        <w:rPr>
          <w:rFonts w:ascii="Arial" w:hAnsi="Arial" w:cs="Arial"/>
        </w:rPr>
        <w:t xml:space="preserve">ve sloupcích o disponibilních přípojkách </w:t>
      </w:r>
      <w:r w:rsidR="00F10A51" w:rsidRPr="00BE53F0">
        <w:rPr>
          <w:rFonts w:ascii="Arial" w:hAnsi="Arial" w:cs="Arial"/>
        </w:rPr>
        <w:t xml:space="preserve">by </w:t>
      </w:r>
      <w:r w:rsidR="00CD4318" w:rsidRPr="00BE53F0">
        <w:rPr>
          <w:rFonts w:ascii="Arial" w:hAnsi="Arial" w:cs="Arial"/>
        </w:rPr>
        <w:t>povinná osoba</w:t>
      </w:r>
      <w:r w:rsidRPr="00BE53F0">
        <w:rPr>
          <w:rFonts w:ascii="Arial" w:hAnsi="Arial" w:cs="Arial"/>
        </w:rPr>
        <w:t xml:space="preserve"> vyplnil</w:t>
      </w:r>
      <w:r w:rsidR="00CD4318" w:rsidRPr="00BE53F0">
        <w:rPr>
          <w:rFonts w:ascii="Arial" w:hAnsi="Arial" w:cs="Arial"/>
        </w:rPr>
        <w:t>a</w:t>
      </w:r>
      <w:r w:rsidRPr="00BE53F0">
        <w:rPr>
          <w:rFonts w:ascii="Arial" w:hAnsi="Arial" w:cs="Arial"/>
        </w:rPr>
        <w:t xml:space="preserve"> pouze počet disponibilních přípojek na daném </w:t>
      </w:r>
      <w:r w:rsidR="000443B8" w:rsidRPr="00BE53F0">
        <w:rPr>
          <w:rFonts w:ascii="Arial" w:hAnsi="Arial" w:cs="Arial"/>
        </w:rPr>
        <w:t>adresním místě</w:t>
      </w:r>
      <w:r w:rsidRPr="00BE53F0">
        <w:rPr>
          <w:rFonts w:ascii="Arial" w:hAnsi="Arial" w:cs="Arial"/>
        </w:rPr>
        <w:t xml:space="preserve"> a</w:t>
      </w:r>
      <w:r w:rsidR="00CD4318" w:rsidRPr="00BE53F0">
        <w:rPr>
          <w:rFonts w:ascii="Arial" w:hAnsi="Arial" w:cs="Arial"/>
        </w:rPr>
        <w:t> </w:t>
      </w:r>
      <w:r w:rsidRPr="00BE53F0">
        <w:rPr>
          <w:rFonts w:ascii="Arial" w:hAnsi="Arial" w:cs="Arial"/>
        </w:rPr>
        <w:t xml:space="preserve">následně </w:t>
      </w:r>
      <w:r w:rsidR="001D2AD7" w:rsidRPr="00BE53F0">
        <w:rPr>
          <w:rFonts w:ascii="Arial" w:hAnsi="Arial" w:cs="Arial"/>
        </w:rPr>
        <w:t xml:space="preserve">by </w:t>
      </w:r>
      <w:r w:rsidR="00F10A51" w:rsidRPr="00BE53F0">
        <w:rPr>
          <w:rFonts w:ascii="Arial" w:hAnsi="Arial" w:cs="Arial"/>
        </w:rPr>
        <w:t xml:space="preserve">k němu </w:t>
      </w:r>
      <w:r w:rsidRPr="00BE53F0">
        <w:rPr>
          <w:rFonts w:ascii="Arial" w:hAnsi="Arial" w:cs="Arial"/>
        </w:rPr>
        <w:t>zvolil</w:t>
      </w:r>
      <w:r w:rsidR="00CD4318" w:rsidRPr="00BE53F0">
        <w:rPr>
          <w:rFonts w:ascii="Arial" w:hAnsi="Arial" w:cs="Arial"/>
        </w:rPr>
        <w:t>a</w:t>
      </w:r>
      <w:r w:rsidRPr="00BE53F0">
        <w:rPr>
          <w:rFonts w:ascii="Arial" w:hAnsi="Arial" w:cs="Arial"/>
        </w:rPr>
        <w:t xml:space="preserve"> </w:t>
      </w:r>
      <w:r w:rsidR="000443B8" w:rsidRPr="00BE53F0">
        <w:rPr>
          <w:rFonts w:ascii="Arial" w:hAnsi="Arial" w:cs="Arial"/>
        </w:rPr>
        <w:t xml:space="preserve">vždy </w:t>
      </w:r>
      <w:r w:rsidR="00311FA7" w:rsidRPr="00BE53F0">
        <w:rPr>
          <w:rFonts w:ascii="Arial" w:hAnsi="Arial" w:cs="Arial"/>
        </w:rPr>
        <w:t xml:space="preserve">jednu </w:t>
      </w:r>
      <w:r w:rsidRPr="00BE53F0">
        <w:rPr>
          <w:rFonts w:ascii="Arial" w:hAnsi="Arial" w:cs="Arial"/>
        </w:rPr>
        <w:t xml:space="preserve">rychlostní kategorii </w:t>
      </w:r>
      <w:r w:rsidR="000443B8" w:rsidRPr="00BE53F0">
        <w:rPr>
          <w:rFonts w:ascii="Arial" w:hAnsi="Arial" w:cs="Arial"/>
        </w:rPr>
        <w:t xml:space="preserve">pro jednotlivé typy rychlostí </w:t>
      </w:r>
      <w:r w:rsidRPr="00BE53F0">
        <w:rPr>
          <w:rFonts w:ascii="Arial" w:hAnsi="Arial" w:cs="Arial"/>
        </w:rPr>
        <w:t>(</w:t>
      </w:r>
      <w:r w:rsidR="000443B8" w:rsidRPr="00BE53F0">
        <w:rPr>
          <w:rFonts w:ascii="Arial" w:hAnsi="Arial" w:cs="Arial"/>
        </w:rPr>
        <w:t xml:space="preserve">zvlášť </w:t>
      </w:r>
      <w:r w:rsidRPr="00BE53F0">
        <w:rPr>
          <w:rFonts w:ascii="Arial" w:hAnsi="Arial" w:cs="Arial"/>
        </w:rPr>
        <w:t xml:space="preserve">pro </w:t>
      </w:r>
      <w:proofErr w:type="spellStart"/>
      <w:r w:rsidRPr="00BE53F0">
        <w:rPr>
          <w:rFonts w:ascii="Arial" w:hAnsi="Arial" w:cs="Arial"/>
        </w:rPr>
        <w:t>download</w:t>
      </w:r>
      <w:proofErr w:type="spellEnd"/>
      <w:r w:rsidRPr="00BE53F0">
        <w:rPr>
          <w:rFonts w:ascii="Arial" w:hAnsi="Arial" w:cs="Arial"/>
        </w:rPr>
        <w:t xml:space="preserve"> a upload,</w:t>
      </w:r>
      <w:r w:rsidR="00873F57" w:rsidRPr="00BE53F0">
        <w:rPr>
          <w:rFonts w:ascii="Arial" w:hAnsi="Arial" w:cs="Arial"/>
        </w:rPr>
        <w:t xml:space="preserve"> případně </w:t>
      </w:r>
      <w:r w:rsidRPr="00BE53F0">
        <w:rPr>
          <w:rFonts w:ascii="Arial" w:hAnsi="Arial" w:cs="Arial"/>
        </w:rPr>
        <w:t>zvlášť pro „efektivní“ a „maximální“ rychlost)</w:t>
      </w:r>
      <w:r w:rsidR="00402C2B" w:rsidRPr="00BE53F0">
        <w:rPr>
          <w:rFonts w:ascii="Arial" w:hAnsi="Arial" w:cs="Arial"/>
        </w:rPr>
        <w:t xml:space="preserve">. Povinná osoba by měla k dispozici výběr z „kódů“ </w:t>
      </w:r>
      <w:r w:rsidR="00BE53F0" w:rsidRPr="00BE53F0">
        <w:rPr>
          <w:rFonts w:ascii="Arial" w:hAnsi="Arial" w:cs="Arial"/>
        </w:rPr>
        <w:t xml:space="preserve">(viz výše uvedená tabulka) </w:t>
      </w:r>
      <w:r w:rsidR="00402C2B" w:rsidRPr="00BE53F0">
        <w:rPr>
          <w:rFonts w:ascii="Arial" w:hAnsi="Arial" w:cs="Arial"/>
        </w:rPr>
        <w:t>pro příslušný ukazatel.</w:t>
      </w:r>
      <w:r w:rsidR="00BE53F0">
        <w:rPr>
          <w:rFonts w:ascii="Arial" w:hAnsi="Arial" w:cs="Arial"/>
        </w:rPr>
        <w:t xml:space="preserve"> </w:t>
      </w:r>
      <w:r w:rsidR="0053528C" w:rsidRPr="00BE53F0">
        <w:rPr>
          <w:rFonts w:ascii="Arial" w:hAnsi="Arial" w:cs="Arial"/>
        </w:rPr>
        <w:t xml:space="preserve">Obdobnou redukci počtu sloupců by bylo možné provést i pro „třídy“ VHCN, kdy by </w:t>
      </w:r>
      <w:r w:rsidR="00CD4318" w:rsidRPr="00BE53F0">
        <w:rPr>
          <w:rFonts w:ascii="Arial" w:hAnsi="Arial" w:cs="Arial"/>
        </w:rPr>
        <w:t>povinná osoba</w:t>
      </w:r>
      <w:r w:rsidR="0053528C" w:rsidRPr="00BE53F0">
        <w:rPr>
          <w:rFonts w:ascii="Arial" w:hAnsi="Arial" w:cs="Arial"/>
        </w:rPr>
        <w:t xml:space="preserve"> v</w:t>
      </w:r>
      <w:r w:rsidR="009737E0" w:rsidRPr="00BE53F0">
        <w:rPr>
          <w:rFonts w:ascii="Arial" w:hAnsi="Arial" w:cs="Arial"/>
        </w:rPr>
        <w:t>e sloupci „Síť VHCN“</w:t>
      </w:r>
      <w:r w:rsidR="00AD70B3" w:rsidRPr="00BE53F0">
        <w:rPr>
          <w:rFonts w:ascii="Arial" w:hAnsi="Arial" w:cs="Arial"/>
        </w:rPr>
        <w:t xml:space="preserve"> vybíral</w:t>
      </w:r>
      <w:r w:rsidR="00CD4318" w:rsidRPr="00BE53F0">
        <w:rPr>
          <w:rFonts w:ascii="Arial" w:hAnsi="Arial" w:cs="Arial"/>
        </w:rPr>
        <w:t>a</w:t>
      </w:r>
      <w:r w:rsidR="009737E0" w:rsidRPr="00BE53F0">
        <w:rPr>
          <w:rFonts w:ascii="Arial" w:hAnsi="Arial" w:cs="Arial"/>
        </w:rPr>
        <w:t xml:space="preserve"> </w:t>
      </w:r>
      <w:r w:rsidR="00402C2B" w:rsidRPr="00BE53F0">
        <w:rPr>
          <w:rFonts w:ascii="Arial" w:hAnsi="Arial" w:cs="Arial"/>
        </w:rPr>
        <w:t xml:space="preserve">kód </w:t>
      </w:r>
      <w:r w:rsidR="009737E0" w:rsidRPr="00BE53F0">
        <w:rPr>
          <w:rFonts w:ascii="Arial" w:hAnsi="Arial" w:cs="Arial"/>
        </w:rPr>
        <w:t>příslušn</w:t>
      </w:r>
      <w:r w:rsidR="00402C2B" w:rsidRPr="00BE53F0">
        <w:rPr>
          <w:rFonts w:ascii="Arial" w:hAnsi="Arial" w:cs="Arial"/>
        </w:rPr>
        <w:t>é</w:t>
      </w:r>
      <w:r w:rsidR="009737E0" w:rsidRPr="00BE53F0">
        <w:rPr>
          <w:rFonts w:ascii="Arial" w:hAnsi="Arial" w:cs="Arial"/>
        </w:rPr>
        <w:t xml:space="preserve"> VHCN kategori</w:t>
      </w:r>
      <w:r w:rsidR="00402C2B" w:rsidRPr="00BE53F0">
        <w:rPr>
          <w:rFonts w:ascii="Arial" w:hAnsi="Arial" w:cs="Arial"/>
        </w:rPr>
        <w:t>e</w:t>
      </w:r>
      <w:r w:rsidR="009737E0" w:rsidRPr="00BE53F0">
        <w:rPr>
          <w:rFonts w:ascii="Arial" w:hAnsi="Arial" w:cs="Arial"/>
        </w:rPr>
        <w:t xml:space="preserve"> (dle Pokynů).</w:t>
      </w:r>
    </w:p>
    <w:p w14:paraId="2AD59B45" w14:textId="42696B05" w:rsidR="007E6278" w:rsidRDefault="00F10A51" w:rsidP="00BE53F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ilustraci ČTÚ uvádí i náhled struktury </w:t>
      </w:r>
      <w:r w:rsidRPr="00BE53F0">
        <w:rPr>
          <w:rFonts w:ascii="Arial" w:hAnsi="Arial" w:cs="Arial"/>
        </w:rPr>
        <w:t>přílohy</w:t>
      </w:r>
      <w:r w:rsidR="00BE53F0">
        <w:rPr>
          <w:rFonts w:ascii="Arial" w:hAnsi="Arial" w:cs="Arial"/>
        </w:rPr>
        <w:t xml:space="preserve"> pro vyplňování geografických údajů</w:t>
      </w:r>
      <w:r>
        <w:rPr>
          <w:rFonts w:ascii="Arial" w:hAnsi="Arial" w:cs="Arial"/>
        </w:rPr>
        <w:t xml:space="preserve"> v případě, že by byla aplikována logika sběru podle zde uvedeného bodu 2 a byla by sbírána pouze data o</w:t>
      </w:r>
      <w:r w:rsidR="00BE53F0">
        <w:rPr>
          <w:rFonts w:ascii="Arial" w:hAnsi="Arial" w:cs="Arial"/>
        </w:rPr>
        <w:t> </w:t>
      </w:r>
      <w:r>
        <w:rPr>
          <w:rFonts w:ascii="Arial" w:hAnsi="Arial" w:cs="Arial"/>
        </w:rPr>
        <w:t>efektivní rychlosti (maximální by byla dopočítávána)</w:t>
      </w:r>
      <w:r w:rsidR="007E6278">
        <w:rPr>
          <w:rFonts w:ascii="Arial" w:hAnsi="Arial" w:cs="Arial"/>
        </w:rPr>
        <w:t>:</w:t>
      </w:r>
    </w:p>
    <w:p w14:paraId="149D44B9" w14:textId="0012765B" w:rsidR="00956F65" w:rsidRDefault="00956F65" w:rsidP="00BE53F0">
      <w:pPr>
        <w:ind w:left="708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AC58198" wp14:editId="69C3806B">
            <wp:extent cx="5760720" cy="18884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0F59" w14:textId="2CAED655" w:rsidR="00A90F09" w:rsidRPr="00A90F09" w:rsidRDefault="00A90F09" w:rsidP="00EA1ECF">
      <w:pPr>
        <w:jc w:val="both"/>
        <w:rPr>
          <w:rFonts w:ascii="Arial" w:hAnsi="Arial" w:cs="Arial"/>
        </w:rPr>
      </w:pPr>
    </w:p>
    <w:sectPr w:rsidR="00A90F09" w:rsidRPr="00A90F0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632E" w14:textId="77777777" w:rsidR="00013A81" w:rsidRDefault="00013A81" w:rsidP="00867B08">
      <w:pPr>
        <w:spacing w:after="0" w:line="240" w:lineRule="auto"/>
      </w:pPr>
      <w:r>
        <w:separator/>
      </w:r>
    </w:p>
  </w:endnote>
  <w:endnote w:type="continuationSeparator" w:id="0">
    <w:p w14:paraId="23C2A75E" w14:textId="77777777" w:rsidR="00013A81" w:rsidRDefault="00013A81" w:rsidP="0086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795644"/>
      <w:docPartObj>
        <w:docPartGallery w:val="Page Numbers (Bottom of Page)"/>
        <w:docPartUnique/>
      </w:docPartObj>
    </w:sdtPr>
    <w:sdtEndPr/>
    <w:sdtContent>
      <w:p w14:paraId="2EB03BB1" w14:textId="19178F0E" w:rsidR="004036C3" w:rsidRDefault="00403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F1628" w14:textId="77777777" w:rsidR="004036C3" w:rsidRDefault="00403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F544" w14:textId="77777777" w:rsidR="00013A81" w:rsidRDefault="00013A81" w:rsidP="00867B08">
      <w:pPr>
        <w:spacing w:after="0" w:line="240" w:lineRule="auto"/>
      </w:pPr>
      <w:r>
        <w:separator/>
      </w:r>
    </w:p>
  </w:footnote>
  <w:footnote w:type="continuationSeparator" w:id="0">
    <w:p w14:paraId="3DC8EBA2" w14:textId="77777777" w:rsidR="00013A81" w:rsidRDefault="00013A81" w:rsidP="00867B08">
      <w:pPr>
        <w:spacing w:after="0" w:line="240" w:lineRule="auto"/>
      </w:pPr>
      <w:r>
        <w:continuationSeparator/>
      </w:r>
    </w:p>
  </w:footnote>
  <w:footnote w:id="1">
    <w:p w14:paraId="7578AC9B" w14:textId="77777777" w:rsidR="004036C3" w:rsidRPr="00CB1511" w:rsidRDefault="004036C3" w:rsidP="00A50246">
      <w:pPr>
        <w:pStyle w:val="Textpoznpodarou"/>
        <w:rPr>
          <w:rFonts w:ascii="Arial" w:hAnsi="Arial" w:cs="Arial"/>
        </w:rPr>
      </w:pPr>
      <w:r w:rsidRPr="00CB1511">
        <w:rPr>
          <w:rStyle w:val="Znakapoznpodarou"/>
          <w:rFonts w:ascii="Arial" w:hAnsi="Arial" w:cs="Arial"/>
        </w:rPr>
        <w:footnoteRef/>
      </w:r>
      <w:r w:rsidRPr="00CB1511">
        <w:rPr>
          <w:rFonts w:ascii="Arial" w:hAnsi="Arial" w:cs="Arial"/>
        </w:rPr>
        <w:t xml:space="preserve"> Pro účely tohoto dokumentu je využit neoficiální překlad Pokynů, uveřejněný na </w:t>
      </w:r>
      <w:hyperlink r:id="rId1" w:history="1">
        <w:r w:rsidRPr="00CB1511">
          <w:rPr>
            <w:rStyle w:val="Hypertextovodkaz"/>
            <w:rFonts w:ascii="Arial" w:hAnsi="Arial" w:cs="Arial"/>
          </w:rPr>
          <w:t>webu ČTÚ</w:t>
        </w:r>
      </w:hyperlink>
      <w:r w:rsidRPr="00CB1511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980"/>
    <w:multiLevelType w:val="hybridMultilevel"/>
    <w:tmpl w:val="7624E470"/>
    <w:lvl w:ilvl="0" w:tplc="169A52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4F37"/>
    <w:multiLevelType w:val="hybridMultilevel"/>
    <w:tmpl w:val="57084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9D"/>
    <w:rsid w:val="00013A81"/>
    <w:rsid w:val="000443B8"/>
    <w:rsid w:val="00054DAE"/>
    <w:rsid w:val="00061C69"/>
    <w:rsid w:val="00066DA7"/>
    <w:rsid w:val="00072D78"/>
    <w:rsid w:val="000E6BA4"/>
    <w:rsid w:val="000F00DF"/>
    <w:rsid w:val="000F535E"/>
    <w:rsid w:val="00101157"/>
    <w:rsid w:val="00114C94"/>
    <w:rsid w:val="00115BD6"/>
    <w:rsid w:val="00122132"/>
    <w:rsid w:val="001264FF"/>
    <w:rsid w:val="0014537C"/>
    <w:rsid w:val="00175441"/>
    <w:rsid w:val="001C6DA4"/>
    <w:rsid w:val="001D2AD7"/>
    <w:rsid w:val="002037FE"/>
    <w:rsid w:val="00223C22"/>
    <w:rsid w:val="00226FD9"/>
    <w:rsid w:val="002463E1"/>
    <w:rsid w:val="0024767D"/>
    <w:rsid w:val="002855D4"/>
    <w:rsid w:val="002A38BD"/>
    <w:rsid w:val="002C74D4"/>
    <w:rsid w:val="002F2EF9"/>
    <w:rsid w:val="002F43E4"/>
    <w:rsid w:val="00311FA7"/>
    <w:rsid w:val="00312B36"/>
    <w:rsid w:val="003500B0"/>
    <w:rsid w:val="00370E2C"/>
    <w:rsid w:val="003B0B64"/>
    <w:rsid w:val="003B14FA"/>
    <w:rsid w:val="003C5752"/>
    <w:rsid w:val="003C60C4"/>
    <w:rsid w:val="003C76A6"/>
    <w:rsid w:val="003D693E"/>
    <w:rsid w:val="003D7E52"/>
    <w:rsid w:val="003E2762"/>
    <w:rsid w:val="003F1DC5"/>
    <w:rsid w:val="00402C2B"/>
    <w:rsid w:val="004036C3"/>
    <w:rsid w:val="00406262"/>
    <w:rsid w:val="004206D3"/>
    <w:rsid w:val="00441750"/>
    <w:rsid w:val="00463AB6"/>
    <w:rsid w:val="00471BE8"/>
    <w:rsid w:val="00472123"/>
    <w:rsid w:val="00494C8A"/>
    <w:rsid w:val="004A1201"/>
    <w:rsid w:val="004A6702"/>
    <w:rsid w:val="004B23BD"/>
    <w:rsid w:val="004D2447"/>
    <w:rsid w:val="004D497D"/>
    <w:rsid w:val="00532587"/>
    <w:rsid w:val="0053528C"/>
    <w:rsid w:val="00550ACF"/>
    <w:rsid w:val="00557112"/>
    <w:rsid w:val="0057568F"/>
    <w:rsid w:val="0059796E"/>
    <w:rsid w:val="005A03C2"/>
    <w:rsid w:val="005B3FC8"/>
    <w:rsid w:val="005C6DF3"/>
    <w:rsid w:val="005C75E3"/>
    <w:rsid w:val="005E0844"/>
    <w:rsid w:val="006239A7"/>
    <w:rsid w:val="006308F6"/>
    <w:rsid w:val="0063330D"/>
    <w:rsid w:val="00637186"/>
    <w:rsid w:val="00664C36"/>
    <w:rsid w:val="00665CA9"/>
    <w:rsid w:val="00683E0F"/>
    <w:rsid w:val="006926EF"/>
    <w:rsid w:val="00695F6D"/>
    <w:rsid w:val="006B14E9"/>
    <w:rsid w:val="006C5823"/>
    <w:rsid w:val="00717AF3"/>
    <w:rsid w:val="00737A79"/>
    <w:rsid w:val="00742426"/>
    <w:rsid w:val="00744D3E"/>
    <w:rsid w:val="007633FA"/>
    <w:rsid w:val="0076344A"/>
    <w:rsid w:val="007A4122"/>
    <w:rsid w:val="007A6712"/>
    <w:rsid w:val="007C23FA"/>
    <w:rsid w:val="007C4C07"/>
    <w:rsid w:val="007E1D2C"/>
    <w:rsid w:val="007E6278"/>
    <w:rsid w:val="008037DE"/>
    <w:rsid w:val="00805795"/>
    <w:rsid w:val="008074D0"/>
    <w:rsid w:val="00835705"/>
    <w:rsid w:val="008541F4"/>
    <w:rsid w:val="008542A1"/>
    <w:rsid w:val="008610DF"/>
    <w:rsid w:val="00864552"/>
    <w:rsid w:val="0086688D"/>
    <w:rsid w:val="00867B08"/>
    <w:rsid w:val="00871288"/>
    <w:rsid w:val="00873F57"/>
    <w:rsid w:val="00880875"/>
    <w:rsid w:val="008B379B"/>
    <w:rsid w:val="008C5332"/>
    <w:rsid w:val="008D1BA5"/>
    <w:rsid w:val="008D66C0"/>
    <w:rsid w:val="008D7AFD"/>
    <w:rsid w:val="008E5C7C"/>
    <w:rsid w:val="009126DB"/>
    <w:rsid w:val="00956F65"/>
    <w:rsid w:val="00962A2C"/>
    <w:rsid w:val="00967EB4"/>
    <w:rsid w:val="009737E0"/>
    <w:rsid w:val="00986B2F"/>
    <w:rsid w:val="00991D2B"/>
    <w:rsid w:val="009D3C34"/>
    <w:rsid w:val="009F29DF"/>
    <w:rsid w:val="00A070D6"/>
    <w:rsid w:val="00A16F33"/>
    <w:rsid w:val="00A27C14"/>
    <w:rsid w:val="00A41D3C"/>
    <w:rsid w:val="00A454CE"/>
    <w:rsid w:val="00A46025"/>
    <w:rsid w:val="00A50246"/>
    <w:rsid w:val="00A5432D"/>
    <w:rsid w:val="00A7637D"/>
    <w:rsid w:val="00A90F09"/>
    <w:rsid w:val="00A9606F"/>
    <w:rsid w:val="00A97C1E"/>
    <w:rsid w:val="00AA61B8"/>
    <w:rsid w:val="00AD70B3"/>
    <w:rsid w:val="00AE5E86"/>
    <w:rsid w:val="00B13064"/>
    <w:rsid w:val="00B13C99"/>
    <w:rsid w:val="00B4229D"/>
    <w:rsid w:val="00B5170A"/>
    <w:rsid w:val="00B67517"/>
    <w:rsid w:val="00B76BE3"/>
    <w:rsid w:val="00BA19AD"/>
    <w:rsid w:val="00BE53F0"/>
    <w:rsid w:val="00BE564F"/>
    <w:rsid w:val="00C06B5E"/>
    <w:rsid w:val="00C07292"/>
    <w:rsid w:val="00C274C9"/>
    <w:rsid w:val="00C40731"/>
    <w:rsid w:val="00C41512"/>
    <w:rsid w:val="00C973A5"/>
    <w:rsid w:val="00CB1511"/>
    <w:rsid w:val="00CB2169"/>
    <w:rsid w:val="00CC1676"/>
    <w:rsid w:val="00CD4318"/>
    <w:rsid w:val="00D1786C"/>
    <w:rsid w:val="00D3616F"/>
    <w:rsid w:val="00D43A92"/>
    <w:rsid w:val="00D62106"/>
    <w:rsid w:val="00D73A1D"/>
    <w:rsid w:val="00DA7A9D"/>
    <w:rsid w:val="00DB127A"/>
    <w:rsid w:val="00DD452F"/>
    <w:rsid w:val="00E83301"/>
    <w:rsid w:val="00E834AA"/>
    <w:rsid w:val="00E851DE"/>
    <w:rsid w:val="00EA1ECF"/>
    <w:rsid w:val="00ED1094"/>
    <w:rsid w:val="00F10A51"/>
    <w:rsid w:val="00F76B48"/>
    <w:rsid w:val="00F8015D"/>
    <w:rsid w:val="00F92632"/>
    <w:rsid w:val="00FA3EA8"/>
    <w:rsid w:val="00FB3440"/>
    <w:rsid w:val="00FB3BA5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5C36"/>
  <w15:chartTrackingRefBased/>
  <w15:docId w15:val="{EB0B4B5F-10FF-4F43-8E49-C138D38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7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3E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F43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B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B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7B0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67B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B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0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262"/>
  </w:style>
  <w:style w:type="paragraph" w:styleId="Zpat">
    <w:name w:val="footer"/>
    <w:basedOn w:val="Normln"/>
    <w:link w:val="ZpatChar"/>
    <w:uiPriority w:val="99"/>
    <w:unhideWhenUsed/>
    <w:rsid w:val="0040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262"/>
  </w:style>
  <w:style w:type="character" w:styleId="Odkaznakoment">
    <w:name w:val="annotation reference"/>
    <w:basedOn w:val="Standardnpsmoodstavce"/>
    <w:uiPriority w:val="99"/>
    <w:semiHidden/>
    <w:unhideWhenUsed/>
    <w:rsid w:val="008D66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6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6C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6B5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B1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c.europa.eu/eng/document_register/subject_matter/berec/download/0/9027-berec-guidelines-to-assist-nras-on-the-c_0.pdf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tu.cz/sites/default/files/obsah/stranky/36864/soubory/vo1uplneznen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tu.cz/sites/default/files/obsah/ctu-new/mezinarodni-organizace/pokyny-k-mapovani-sit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F7BE-C646-4A1F-979E-4AA1131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</dc:creator>
  <cp:keywords/>
  <dc:description/>
  <cp:lastModifiedBy>ČTÚ</cp:lastModifiedBy>
  <cp:revision>2</cp:revision>
  <dcterms:created xsi:type="dcterms:W3CDTF">2021-10-12T09:05:00Z</dcterms:created>
  <dcterms:modified xsi:type="dcterms:W3CDTF">2021-10-12T09:05:00Z</dcterms:modified>
</cp:coreProperties>
</file>