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F5" w:rsidRPr="00510362" w:rsidRDefault="00DE68E4" w:rsidP="004C16D2">
      <w:pPr>
        <w:pStyle w:val="Bezmezer"/>
        <w:jc w:val="center"/>
        <w:rPr>
          <w:rFonts w:ascii="Arial" w:eastAsia="Arial" w:hAnsi="Arial" w:cs="Arial"/>
        </w:rPr>
      </w:pPr>
      <w:bookmarkStart w:id="0" w:name="_GoBack"/>
      <w:bookmarkEnd w:id="0"/>
      <w:r w:rsidRPr="00510362">
        <w:rPr>
          <w:rFonts w:ascii="Arial" w:hAnsi="Arial"/>
        </w:rPr>
        <w:t>II.</w:t>
      </w:r>
    </w:p>
    <w:p w:rsidR="001065F5" w:rsidRPr="00510362" w:rsidRDefault="00DE68E4" w:rsidP="004C16D2">
      <w:pPr>
        <w:spacing w:after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362">
        <w:rPr>
          <w:rFonts w:ascii="Arial" w:hAnsi="Arial"/>
          <w:b/>
          <w:bCs/>
          <w:sz w:val="22"/>
          <w:szCs w:val="22"/>
        </w:rPr>
        <w:t>PŘEDKLÁDACÍ ZPRÁVA</w:t>
      </w:r>
    </w:p>
    <w:p w:rsidR="001065F5" w:rsidRPr="00510362" w:rsidRDefault="00DE68E4" w:rsidP="004C16D2">
      <w:pPr>
        <w:spacing w:after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362">
        <w:rPr>
          <w:rFonts w:ascii="Arial" w:hAnsi="Arial"/>
          <w:b/>
          <w:bCs/>
          <w:sz w:val="22"/>
          <w:szCs w:val="22"/>
        </w:rPr>
        <w:t>k materiálu „Národní plán obnovy</w:t>
      </w:r>
      <w:r w:rsidRPr="00510362">
        <w:rPr>
          <w:rFonts w:ascii="Arial" w:hAnsi="Arial"/>
          <w:b/>
          <w:bCs/>
          <w:sz w:val="22"/>
          <w:szCs w:val="22"/>
          <w:rtl/>
        </w:rPr>
        <w:t>“</w:t>
      </w:r>
    </w:p>
    <w:p w:rsidR="009E1BFA" w:rsidRPr="00510362" w:rsidRDefault="009E1BFA" w:rsidP="009E1BFA">
      <w:pPr>
        <w:spacing w:after="240"/>
        <w:jc w:val="center"/>
        <w:rPr>
          <w:rFonts w:ascii="Arial" w:hAnsi="Arial"/>
          <w:b/>
          <w:bCs/>
          <w:sz w:val="22"/>
          <w:szCs w:val="22"/>
        </w:rPr>
      </w:pPr>
      <w:r w:rsidRPr="00510362">
        <w:rPr>
          <w:rFonts w:ascii="Arial" w:hAnsi="Arial"/>
          <w:b/>
          <w:bCs/>
          <w:sz w:val="22"/>
          <w:szCs w:val="22"/>
        </w:rPr>
        <w:t>Část I.</w:t>
      </w:r>
    </w:p>
    <w:p w:rsidR="001065F5" w:rsidRPr="00510362" w:rsidRDefault="00562F30" w:rsidP="004C16D2">
      <w:pPr>
        <w:spacing w:after="240"/>
        <w:jc w:val="both"/>
        <w:rPr>
          <w:rFonts w:ascii="Arial" w:eastAsia="Arial" w:hAnsi="Arial" w:cs="Arial"/>
          <w:bCs/>
          <w:sz w:val="22"/>
          <w:szCs w:val="22"/>
        </w:rPr>
      </w:pPr>
      <w:r w:rsidRPr="00510362">
        <w:rPr>
          <w:rFonts w:ascii="Arial" w:hAnsi="Arial"/>
          <w:bCs/>
          <w:sz w:val="22"/>
          <w:szCs w:val="22"/>
        </w:rPr>
        <w:t xml:space="preserve">Národní plán obnovy představuje plán pro oživení a odolnost ve smyslu nařízení Evropského parlamentu a Rady (EU) 2021/241, ze dne 12. února 2021, kterým se zřizuje Nástroj pro oživení a odolnost. Představuje plán, kterým Česká republika požádá o finanční příspěvek z Nástroje pro oživení a odolnost ve výši </w:t>
      </w:r>
      <w:r w:rsidR="00471B24" w:rsidRPr="00510362">
        <w:rPr>
          <w:rFonts w:ascii="Arial" w:hAnsi="Arial"/>
          <w:bCs/>
          <w:sz w:val="22"/>
          <w:szCs w:val="22"/>
        </w:rPr>
        <w:t xml:space="preserve">přibližně 172 mld. Kč ve formě grantů a </w:t>
      </w:r>
      <w:bookmarkStart w:id="1" w:name="_Hlk68264850"/>
      <w:r w:rsidR="00510362" w:rsidRPr="00510362">
        <w:rPr>
          <w:rFonts w:ascii="Arial" w:hAnsi="Arial"/>
          <w:bCs/>
          <w:sz w:val="22"/>
          <w:szCs w:val="22"/>
        </w:rPr>
        <w:t xml:space="preserve">20 </w:t>
      </w:r>
      <w:r w:rsidR="00471B24" w:rsidRPr="00510362">
        <w:rPr>
          <w:rFonts w:ascii="Arial" w:hAnsi="Arial"/>
          <w:bCs/>
          <w:sz w:val="22"/>
          <w:szCs w:val="22"/>
        </w:rPr>
        <w:t>m</w:t>
      </w:r>
      <w:r w:rsidR="00510362" w:rsidRPr="00510362">
        <w:rPr>
          <w:rFonts w:ascii="Arial" w:hAnsi="Arial"/>
          <w:bCs/>
          <w:sz w:val="22"/>
          <w:szCs w:val="22"/>
        </w:rPr>
        <w:t>ld</w:t>
      </w:r>
      <w:r w:rsidR="00471B24" w:rsidRPr="00510362">
        <w:rPr>
          <w:rFonts w:ascii="Arial" w:hAnsi="Arial"/>
          <w:bCs/>
          <w:sz w:val="22"/>
          <w:szCs w:val="22"/>
        </w:rPr>
        <w:t>. Kč ve formě půjček.</w:t>
      </w:r>
      <w:bookmarkEnd w:id="1"/>
      <w:r w:rsidR="00471B24" w:rsidRPr="00510362">
        <w:rPr>
          <w:rFonts w:ascii="Arial" w:hAnsi="Arial"/>
          <w:bCs/>
          <w:sz w:val="22"/>
          <w:szCs w:val="22"/>
        </w:rPr>
        <w:t xml:space="preserve"> </w:t>
      </w:r>
      <w:r w:rsidR="00DE68E4" w:rsidRPr="00510362">
        <w:rPr>
          <w:rFonts w:ascii="Arial" w:hAnsi="Arial"/>
          <w:bCs/>
          <w:sz w:val="22"/>
          <w:szCs w:val="22"/>
        </w:rPr>
        <w:t>Materiál bude po schválení vládou</w:t>
      </w:r>
      <w:r w:rsidR="00F10A22" w:rsidRPr="00510362">
        <w:rPr>
          <w:rFonts w:ascii="Arial" w:hAnsi="Arial"/>
          <w:bCs/>
          <w:sz w:val="22"/>
          <w:szCs w:val="22"/>
        </w:rPr>
        <w:t xml:space="preserve"> </w:t>
      </w:r>
      <w:r w:rsidR="00773D48" w:rsidRPr="00510362">
        <w:rPr>
          <w:rFonts w:ascii="Arial" w:hAnsi="Arial"/>
          <w:bCs/>
          <w:sz w:val="22"/>
          <w:szCs w:val="22"/>
        </w:rPr>
        <w:t xml:space="preserve">předložen </w:t>
      </w:r>
      <w:r w:rsidR="00DE68E4" w:rsidRPr="00510362">
        <w:rPr>
          <w:rFonts w:ascii="Arial" w:hAnsi="Arial"/>
          <w:bCs/>
          <w:sz w:val="22"/>
          <w:szCs w:val="22"/>
        </w:rPr>
        <w:t xml:space="preserve">Evropské komisi k </w:t>
      </w:r>
      <w:r w:rsidRPr="00510362">
        <w:rPr>
          <w:rFonts w:ascii="Arial" w:hAnsi="Arial"/>
          <w:bCs/>
          <w:sz w:val="22"/>
          <w:szCs w:val="22"/>
        </w:rPr>
        <w:t>posouzení</w:t>
      </w:r>
      <w:r w:rsidR="00DE68E4" w:rsidRPr="00510362">
        <w:rPr>
          <w:rFonts w:ascii="Arial" w:hAnsi="Arial"/>
          <w:bCs/>
          <w:sz w:val="22"/>
          <w:szCs w:val="22"/>
        </w:rPr>
        <w:t>.</w:t>
      </w:r>
      <w:r w:rsidRPr="00510362">
        <w:rPr>
          <w:rFonts w:ascii="Arial" w:hAnsi="Arial"/>
          <w:bCs/>
          <w:sz w:val="22"/>
          <w:szCs w:val="22"/>
        </w:rPr>
        <w:t xml:space="preserve"> Po schválení Evropskou komisí, následného přijetí prováděcího rozhodnutí Radou EU a dokončení posouzení vlivu plánu na životní prostředí, podle zákona </w:t>
      </w:r>
      <w:hyperlink r:id="rId10" w:tgtFrame="_blank" w:history="1">
        <w:r w:rsidRPr="00510362">
          <w:rPr>
            <w:rFonts w:ascii="Arial" w:hAnsi="Arial"/>
            <w:bCs/>
            <w:sz w:val="22"/>
            <w:szCs w:val="22"/>
          </w:rPr>
          <w:t>č. 100/2001 Sb.</w:t>
        </w:r>
      </w:hyperlink>
      <w:r w:rsidRPr="00510362">
        <w:rPr>
          <w:rFonts w:ascii="Arial" w:hAnsi="Arial"/>
          <w:bCs/>
          <w:sz w:val="22"/>
          <w:szCs w:val="22"/>
        </w:rPr>
        <w:t xml:space="preserve">, o posuzování vlivů na životní prostředí, bude plán předložen ke schválení vládě. </w:t>
      </w:r>
    </w:p>
    <w:p w:rsidR="001065F5" w:rsidRPr="00510362" w:rsidRDefault="00A550B5" w:rsidP="004C16D2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bookmarkStart w:id="2" w:name="_Hlk68265609"/>
      <w:r w:rsidRPr="00510362">
        <w:rPr>
          <w:rFonts w:ascii="Arial" w:hAnsi="Arial"/>
          <w:sz w:val="22"/>
          <w:szCs w:val="22"/>
        </w:rPr>
        <w:t xml:space="preserve">Nástroj </w:t>
      </w:r>
      <w:r w:rsidR="009E1BFA" w:rsidRPr="00510362">
        <w:rPr>
          <w:rFonts w:ascii="Arial" w:hAnsi="Arial"/>
          <w:sz w:val="22"/>
          <w:szCs w:val="22"/>
        </w:rPr>
        <w:t xml:space="preserve">pro </w:t>
      </w:r>
      <w:r w:rsidRPr="00510362">
        <w:rPr>
          <w:rFonts w:ascii="Arial" w:hAnsi="Arial"/>
          <w:sz w:val="22"/>
          <w:szCs w:val="22"/>
        </w:rPr>
        <w:t>oživení a odolnost</w:t>
      </w:r>
      <w:r w:rsidR="00DE68E4" w:rsidRPr="00510362">
        <w:rPr>
          <w:rFonts w:ascii="Arial" w:hAnsi="Arial"/>
          <w:sz w:val="22"/>
          <w:szCs w:val="22"/>
        </w:rPr>
        <w:t xml:space="preserve"> je jedním z výsledků dohody, které dosáhli členové Evropské rady na svém zasedání </w:t>
      </w:r>
      <w:r w:rsidR="00884C4E" w:rsidRPr="00510362">
        <w:rPr>
          <w:rFonts w:ascii="Arial" w:hAnsi="Arial"/>
          <w:sz w:val="22"/>
          <w:szCs w:val="22"/>
        </w:rPr>
        <w:t>ve dnech</w:t>
      </w:r>
      <w:r w:rsidR="00DE68E4" w:rsidRPr="00510362">
        <w:rPr>
          <w:rFonts w:ascii="Arial" w:hAnsi="Arial"/>
          <w:sz w:val="22"/>
          <w:szCs w:val="22"/>
        </w:rPr>
        <w:t xml:space="preserve"> 17. </w:t>
      </w:r>
      <w:r w:rsidR="004C4350" w:rsidRPr="00510362">
        <w:rPr>
          <w:rFonts w:ascii="Arial" w:hAnsi="Arial"/>
          <w:sz w:val="22"/>
          <w:szCs w:val="22"/>
        </w:rPr>
        <w:t>až</w:t>
      </w:r>
      <w:r w:rsidR="00DE68E4" w:rsidRPr="00510362">
        <w:rPr>
          <w:rFonts w:ascii="Arial" w:hAnsi="Arial"/>
          <w:sz w:val="22"/>
          <w:szCs w:val="22"/>
        </w:rPr>
        <w:t xml:space="preserve"> 21. července 2020 o víceletém finančním rámci EU a </w:t>
      </w:r>
      <w:r w:rsidR="008C56C4" w:rsidRPr="00510362">
        <w:rPr>
          <w:rFonts w:ascii="Arial" w:hAnsi="Arial"/>
          <w:sz w:val="22"/>
          <w:szCs w:val="22"/>
        </w:rPr>
        <w:t>Next Generation EU</w:t>
      </w:r>
      <w:r w:rsidR="008C56C4" w:rsidRPr="00510362" w:rsidDel="008C56C4">
        <w:rPr>
          <w:rFonts w:ascii="Arial" w:hAnsi="Arial"/>
          <w:sz w:val="22"/>
          <w:szCs w:val="22"/>
        </w:rPr>
        <w:t xml:space="preserve"> </w:t>
      </w:r>
      <w:r w:rsidR="00DE68E4" w:rsidRPr="00510362">
        <w:rPr>
          <w:rFonts w:ascii="Arial" w:hAnsi="Arial"/>
          <w:sz w:val="22"/>
          <w:szCs w:val="22"/>
        </w:rPr>
        <w:t xml:space="preserve">na období </w:t>
      </w:r>
      <w:r w:rsidR="008C56C4" w:rsidRPr="00510362">
        <w:rPr>
          <w:rFonts w:ascii="Arial" w:hAnsi="Arial"/>
          <w:sz w:val="22"/>
          <w:szCs w:val="22"/>
        </w:rPr>
        <w:t xml:space="preserve">let </w:t>
      </w:r>
      <w:r w:rsidR="00DE68E4" w:rsidRPr="00510362">
        <w:rPr>
          <w:rFonts w:ascii="Arial" w:hAnsi="Arial"/>
          <w:sz w:val="22"/>
          <w:szCs w:val="22"/>
        </w:rPr>
        <w:t xml:space="preserve">2021–2027. </w:t>
      </w:r>
      <w:r w:rsidR="00546510" w:rsidRPr="00510362">
        <w:rPr>
          <w:rFonts w:ascii="Arial" w:hAnsi="Arial"/>
          <w:sz w:val="22"/>
          <w:szCs w:val="22"/>
        </w:rPr>
        <w:t>Tento nástroj</w:t>
      </w:r>
      <w:r w:rsidR="00DE68E4" w:rsidRPr="00510362">
        <w:rPr>
          <w:rFonts w:ascii="Arial" w:hAnsi="Arial"/>
          <w:sz w:val="22"/>
          <w:szCs w:val="22"/>
        </w:rPr>
        <w:t xml:space="preserve"> má pomoci </w:t>
      </w:r>
      <w:r w:rsidR="00743A78" w:rsidRPr="00510362">
        <w:rPr>
          <w:rFonts w:ascii="Arial" w:hAnsi="Arial"/>
          <w:sz w:val="22"/>
          <w:szCs w:val="22"/>
        </w:rPr>
        <w:t>zemím Evropské unie</w:t>
      </w:r>
      <w:r w:rsidR="00DE68E4" w:rsidRPr="00510362">
        <w:rPr>
          <w:rFonts w:ascii="Arial" w:hAnsi="Arial"/>
          <w:sz w:val="22"/>
          <w:szCs w:val="22"/>
        </w:rPr>
        <w:t xml:space="preserve"> zotavit se z následků pandemie a podpořit investice do ekologické a</w:t>
      </w:r>
      <w:r w:rsidR="008C56C4" w:rsidRPr="00510362">
        <w:rPr>
          <w:rFonts w:ascii="Arial" w:hAnsi="Arial"/>
          <w:sz w:val="22"/>
          <w:szCs w:val="22"/>
        </w:rPr>
        <w:t> </w:t>
      </w:r>
      <w:r w:rsidR="00DE68E4" w:rsidRPr="00510362">
        <w:rPr>
          <w:rFonts w:ascii="Arial" w:hAnsi="Arial"/>
          <w:sz w:val="22"/>
          <w:szCs w:val="22"/>
        </w:rPr>
        <w:t xml:space="preserve">digitální transformace evropské ekonomiky. </w:t>
      </w:r>
    </w:p>
    <w:p w:rsidR="001065F5" w:rsidRPr="00510362" w:rsidRDefault="00DE68E4" w:rsidP="004C16D2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Členské státy mohou o podporu žádat formou předložení národních plánů na podporu oživení a odolnosti jako součásti</w:t>
      </w:r>
      <w:r w:rsidR="008A63D6" w:rsidRPr="00510362">
        <w:rPr>
          <w:rFonts w:ascii="Arial" w:hAnsi="Arial"/>
          <w:sz w:val="22"/>
          <w:szCs w:val="22"/>
        </w:rPr>
        <w:t xml:space="preserve"> </w:t>
      </w:r>
      <w:r w:rsidRPr="00510362">
        <w:rPr>
          <w:rFonts w:ascii="Arial" w:hAnsi="Arial"/>
          <w:sz w:val="22"/>
          <w:szCs w:val="22"/>
        </w:rPr>
        <w:t>evropského semestru</w:t>
      </w:r>
      <w:r w:rsidR="00C23B8D" w:rsidRPr="00510362">
        <w:rPr>
          <w:rFonts w:ascii="Arial" w:hAnsi="Arial"/>
          <w:sz w:val="22"/>
          <w:szCs w:val="22"/>
        </w:rPr>
        <w:t>, tedy</w:t>
      </w:r>
      <w:r w:rsidR="008A63D6" w:rsidRPr="00510362">
        <w:rPr>
          <w:rFonts w:ascii="Arial" w:hAnsi="Arial"/>
          <w:sz w:val="22"/>
          <w:szCs w:val="22"/>
        </w:rPr>
        <w:t xml:space="preserve"> </w:t>
      </w:r>
      <w:r w:rsidRPr="00510362">
        <w:rPr>
          <w:rFonts w:ascii="Arial" w:hAnsi="Arial"/>
          <w:sz w:val="22"/>
          <w:szCs w:val="22"/>
        </w:rPr>
        <w:t>každoročního cyklu koordinace hospodářských a sociálních politik. Dle aktuální</w:t>
      </w:r>
      <w:r w:rsidR="00CD644B" w:rsidRPr="00510362">
        <w:rPr>
          <w:rFonts w:ascii="Arial" w:hAnsi="Arial"/>
          <w:sz w:val="22"/>
          <w:szCs w:val="22"/>
        </w:rPr>
        <w:t>ho</w:t>
      </w:r>
      <w:r w:rsidR="00F56910" w:rsidRPr="00510362">
        <w:rPr>
          <w:rFonts w:ascii="Arial" w:hAnsi="Arial"/>
          <w:sz w:val="22"/>
          <w:szCs w:val="22"/>
        </w:rPr>
        <w:t xml:space="preserve"> </w:t>
      </w:r>
      <w:r w:rsidRPr="00510362">
        <w:rPr>
          <w:rFonts w:ascii="Arial" w:hAnsi="Arial"/>
          <w:sz w:val="22"/>
          <w:szCs w:val="22"/>
        </w:rPr>
        <w:t>návrhu nařízení bude plán připraven na roky</w:t>
      </w:r>
      <w:r w:rsidR="00207723" w:rsidRPr="00510362">
        <w:rPr>
          <w:rFonts w:ascii="Arial" w:hAnsi="Arial"/>
          <w:sz w:val="22"/>
          <w:szCs w:val="22"/>
        </w:rPr>
        <w:t xml:space="preserve"> </w:t>
      </w:r>
      <w:r w:rsidRPr="00510362">
        <w:rPr>
          <w:rFonts w:ascii="Arial" w:hAnsi="Arial"/>
          <w:sz w:val="22"/>
          <w:szCs w:val="22"/>
        </w:rPr>
        <w:t xml:space="preserve">2021–2023, </w:t>
      </w:r>
      <w:r w:rsidR="001D167B" w:rsidRPr="00510362">
        <w:rPr>
          <w:rFonts w:ascii="Arial" w:hAnsi="Arial"/>
          <w:sz w:val="22"/>
          <w:szCs w:val="22"/>
        </w:rPr>
        <w:t xml:space="preserve">s možností </w:t>
      </w:r>
      <w:r w:rsidRPr="00510362">
        <w:rPr>
          <w:rFonts w:ascii="Arial" w:hAnsi="Arial"/>
          <w:sz w:val="22"/>
          <w:szCs w:val="22"/>
        </w:rPr>
        <w:t>revi</w:t>
      </w:r>
      <w:r w:rsidR="001D167B" w:rsidRPr="00510362">
        <w:rPr>
          <w:rFonts w:ascii="Arial" w:hAnsi="Arial"/>
          <w:sz w:val="22"/>
          <w:szCs w:val="22"/>
        </w:rPr>
        <w:t>ze</w:t>
      </w:r>
      <w:r w:rsidRPr="00510362">
        <w:rPr>
          <w:rFonts w:ascii="Arial" w:hAnsi="Arial"/>
          <w:sz w:val="22"/>
          <w:szCs w:val="22"/>
        </w:rPr>
        <w:t xml:space="preserve"> v roce 2022, kdy bude známa </w:t>
      </w:r>
      <w:r w:rsidR="00751758" w:rsidRPr="00510362">
        <w:rPr>
          <w:rFonts w:ascii="Arial" w:hAnsi="Arial"/>
          <w:sz w:val="22"/>
          <w:szCs w:val="22"/>
        </w:rPr>
        <w:t xml:space="preserve">přesná </w:t>
      </w:r>
      <w:r w:rsidRPr="00510362">
        <w:rPr>
          <w:rFonts w:ascii="Arial" w:hAnsi="Arial"/>
          <w:sz w:val="22"/>
          <w:szCs w:val="22"/>
        </w:rPr>
        <w:t>alokace na rok</w:t>
      </w:r>
      <w:r w:rsidR="00751758" w:rsidRPr="00510362">
        <w:rPr>
          <w:rFonts w:ascii="Arial" w:hAnsi="Arial"/>
          <w:sz w:val="22"/>
          <w:szCs w:val="22"/>
        </w:rPr>
        <w:t xml:space="preserve"> 2023</w:t>
      </w:r>
      <w:r w:rsidR="00A32B56" w:rsidRPr="00510362">
        <w:rPr>
          <w:rFonts w:ascii="Arial" w:hAnsi="Arial"/>
          <w:sz w:val="22"/>
          <w:szCs w:val="22"/>
        </w:rPr>
        <w:t>.</w:t>
      </w:r>
    </w:p>
    <w:p w:rsidR="00D14DD0" w:rsidRPr="00510362" w:rsidRDefault="00562F30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lastRenderedPageBreak/>
        <w:t>Plán pro oživení a odolnost</w:t>
      </w:r>
      <w:r w:rsidR="00FF61CF" w:rsidRPr="00510362">
        <w:rPr>
          <w:rFonts w:ascii="Arial" w:hAnsi="Arial"/>
          <w:sz w:val="22"/>
          <w:szCs w:val="22"/>
        </w:rPr>
        <w:t xml:space="preserve">, resp. Národní plán obnovy </w:t>
      </w:r>
      <w:r w:rsidRPr="00510362">
        <w:rPr>
          <w:rFonts w:ascii="Arial" w:hAnsi="Arial"/>
          <w:sz w:val="22"/>
          <w:szCs w:val="22"/>
        </w:rPr>
        <w:t>představ</w:t>
      </w:r>
      <w:r w:rsidR="00FF61CF" w:rsidRPr="00510362">
        <w:rPr>
          <w:rFonts w:ascii="Arial" w:hAnsi="Arial"/>
          <w:sz w:val="22"/>
          <w:szCs w:val="22"/>
        </w:rPr>
        <w:t xml:space="preserve">uje </w:t>
      </w:r>
      <w:r w:rsidRPr="00510362">
        <w:rPr>
          <w:rFonts w:ascii="Arial" w:hAnsi="Arial"/>
          <w:sz w:val="22"/>
          <w:szCs w:val="22"/>
        </w:rPr>
        <w:t xml:space="preserve">komplexní a přiměřeně vyváženou reakci na hospodářskou a sociální situaci </w:t>
      </w:r>
      <w:r w:rsidR="00FF61CF" w:rsidRPr="00510362">
        <w:rPr>
          <w:rFonts w:ascii="Arial" w:hAnsi="Arial"/>
          <w:sz w:val="22"/>
          <w:szCs w:val="22"/>
        </w:rPr>
        <w:t>České republiky a přispívá</w:t>
      </w:r>
      <w:r w:rsidR="00D14DD0" w:rsidRPr="00510362">
        <w:rPr>
          <w:rFonts w:ascii="Arial" w:hAnsi="Arial"/>
          <w:sz w:val="22"/>
          <w:szCs w:val="22"/>
        </w:rPr>
        <w:t>:</w:t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zelené transformaci; </w:t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digitální transformaci; </w:t>
      </w:r>
      <w:r w:rsidRPr="00510362">
        <w:rPr>
          <w:rFonts w:ascii="Arial" w:hAnsi="Arial"/>
          <w:sz w:val="22"/>
          <w:szCs w:val="22"/>
        </w:rPr>
        <w:tab/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inteligentnímu a udržitelnému růstu podporující</w:t>
      </w:r>
      <w:r w:rsidR="00AB7FE5" w:rsidRPr="00510362">
        <w:rPr>
          <w:rFonts w:ascii="Arial" w:hAnsi="Arial"/>
          <w:sz w:val="22"/>
          <w:szCs w:val="22"/>
        </w:rPr>
        <w:t>mu</w:t>
      </w:r>
      <w:r w:rsidRPr="00510362">
        <w:rPr>
          <w:rFonts w:ascii="Arial" w:hAnsi="Arial"/>
          <w:sz w:val="22"/>
          <w:szCs w:val="22"/>
        </w:rPr>
        <w:t xml:space="preserve"> začleňování, včetně hospodářské soudržnosti, pracovních míst, produktivity, konkurenceschopnosti, výzkumu, vývoj</w:t>
      </w:r>
      <w:r w:rsidR="009E0CAB" w:rsidRPr="00510362">
        <w:rPr>
          <w:rFonts w:ascii="Arial" w:hAnsi="Arial"/>
          <w:sz w:val="22"/>
          <w:szCs w:val="22"/>
        </w:rPr>
        <w:t>e</w:t>
      </w:r>
      <w:r w:rsidRPr="00510362">
        <w:rPr>
          <w:rFonts w:ascii="Arial" w:hAnsi="Arial"/>
          <w:sz w:val="22"/>
          <w:szCs w:val="22"/>
        </w:rPr>
        <w:t xml:space="preserve"> a inovací a dobře fungujícího vnitřního trhu se silnými malými a středními podniky; </w:t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sociální a územní soudržnosti;</w:t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zdravotnictví a hospodářské, sociální a institucionální odolnosti, s cílem mimo jiné zvyšovat připravenost a schopnost reakce na krize, a</w:t>
      </w:r>
    </w:p>
    <w:p w:rsidR="00D14DD0" w:rsidRPr="00510362" w:rsidRDefault="00D14DD0" w:rsidP="004C16D2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politikám pro příští generaci, děti a mládež, jako je vzdělávání a rozvoj dovedností.</w:t>
      </w:r>
    </w:p>
    <w:p w:rsidR="00D14DD0" w:rsidRPr="00510362" w:rsidRDefault="00D14DD0" w:rsidP="004C16D2">
      <w:pPr>
        <w:jc w:val="both"/>
        <w:rPr>
          <w:rFonts w:ascii="Arial" w:hAnsi="Arial"/>
          <w:sz w:val="22"/>
          <w:szCs w:val="22"/>
        </w:rPr>
      </w:pPr>
    </w:p>
    <w:p w:rsidR="00FF61CF" w:rsidRPr="00510362" w:rsidRDefault="00FF61CF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Národní plán dále vysvětluje, jak </w:t>
      </w:r>
      <w:r w:rsidR="00562F30" w:rsidRPr="00510362">
        <w:rPr>
          <w:rFonts w:ascii="Arial" w:hAnsi="Arial"/>
          <w:sz w:val="22"/>
          <w:szCs w:val="22"/>
        </w:rPr>
        <w:t>přis</w:t>
      </w:r>
      <w:r w:rsidRPr="00510362">
        <w:rPr>
          <w:rFonts w:ascii="Arial" w:hAnsi="Arial"/>
          <w:sz w:val="22"/>
          <w:szCs w:val="22"/>
        </w:rPr>
        <w:t xml:space="preserve">pívá </w:t>
      </w:r>
      <w:r w:rsidR="00562F30" w:rsidRPr="00510362">
        <w:rPr>
          <w:rFonts w:ascii="Arial" w:hAnsi="Arial"/>
          <w:sz w:val="22"/>
          <w:szCs w:val="22"/>
        </w:rPr>
        <w:t xml:space="preserve">k účinnému řešení výzev identifikovaných v doporučeních </w:t>
      </w:r>
      <w:r w:rsidRPr="00510362">
        <w:rPr>
          <w:rFonts w:ascii="Arial" w:hAnsi="Arial"/>
          <w:sz w:val="22"/>
          <w:szCs w:val="22"/>
        </w:rPr>
        <w:t>Rady EU pro Českou republiku z let 2019 a 2020 v rámci tzv. evropského semestru</w:t>
      </w:r>
      <w:r w:rsidR="009E0CAB" w:rsidRPr="00510362">
        <w:rPr>
          <w:rFonts w:ascii="Arial" w:hAnsi="Arial"/>
          <w:sz w:val="22"/>
          <w:szCs w:val="22"/>
        </w:rPr>
        <w:t>, což je jedním ze základních požadavků na přípravu Plánu ze strany EK</w:t>
      </w:r>
      <w:r w:rsidRPr="00510362">
        <w:rPr>
          <w:rFonts w:ascii="Arial" w:hAnsi="Arial"/>
          <w:sz w:val="22"/>
          <w:szCs w:val="22"/>
        </w:rPr>
        <w:t xml:space="preserve"> P</w:t>
      </w:r>
      <w:r w:rsidR="009E0CAB" w:rsidRPr="00510362">
        <w:rPr>
          <w:rFonts w:ascii="Arial" w:hAnsi="Arial"/>
          <w:sz w:val="22"/>
          <w:szCs w:val="22"/>
        </w:rPr>
        <w:t>l</w:t>
      </w:r>
      <w:r w:rsidR="00562F30" w:rsidRPr="00510362">
        <w:rPr>
          <w:rFonts w:ascii="Arial" w:hAnsi="Arial"/>
          <w:sz w:val="22"/>
          <w:szCs w:val="22"/>
        </w:rPr>
        <w:t xml:space="preserve">án posiluje potenciál růstu, tvorbu pracovních míst a hospodářskou, sociální a institucionální odolnost </w:t>
      </w:r>
      <w:r w:rsidR="00510362" w:rsidRPr="00510362">
        <w:rPr>
          <w:rFonts w:ascii="Arial" w:hAnsi="Arial"/>
          <w:sz w:val="22"/>
          <w:szCs w:val="22"/>
        </w:rPr>
        <w:t>České republiky</w:t>
      </w:r>
      <w:r w:rsidR="00562F30" w:rsidRPr="00510362">
        <w:rPr>
          <w:rFonts w:ascii="Arial" w:hAnsi="Arial"/>
          <w:sz w:val="22"/>
          <w:szCs w:val="22"/>
        </w:rPr>
        <w:t>, mimo jiné podporou politik ve prospěch dětí a mládeže, a zmírňuje hospodářský a sociální dopad krize způsobené onemocněním COVID-19, čímž přispívá k provádění evropského pilíře sociálních práv a k posilování hospodářské, sociální a územní soudržnosti a konvergence v</w:t>
      </w:r>
      <w:r w:rsidRPr="00510362">
        <w:rPr>
          <w:rFonts w:ascii="Arial" w:hAnsi="Arial"/>
          <w:sz w:val="22"/>
          <w:szCs w:val="22"/>
        </w:rPr>
        <w:t xml:space="preserve"> Evropské unii. </w:t>
      </w:r>
    </w:p>
    <w:p w:rsidR="00FF61CF" w:rsidRPr="00510362" w:rsidRDefault="00FF61CF" w:rsidP="004C16D2">
      <w:pPr>
        <w:jc w:val="both"/>
        <w:rPr>
          <w:rFonts w:ascii="Arial" w:hAnsi="Arial"/>
          <w:sz w:val="22"/>
          <w:szCs w:val="22"/>
        </w:rPr>
      </w:pPr>
    </w:p>
    <w:p w:rsidR="00562F30" w:rsidRPr="00510362" w:rsidRDefault="00FF61CF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Plán </w:t>
      </w:r>
      <w:r w:rsidR="00562F30" w:rsidRPr="00510362">
        <w:rPr>
          <w:rFonts w:ascii="Arial" w:hAnsi="Arial"/>
          <w:sz w:val="22"/>
          <w:szCs w:val="22"/>
        </w:rPr>
        <w:t>zajišťuje, aby žádné opatření k provádění reforem a investic, které je v něm zahrnuto, významně nepoškozovalo environmentální cíle ve smyslu článku 17 nařízení (EU) 2020/852 (zásada „významně nepoškozovat“)</w:t>
      </w:r>
      <w:r w:rsidRPr="00510362">
        <w:rPr>
          <w:rFonts w:ascii="Arial" w:hAnsi="Arial"/>
          <w:sz w:val="22"/>
          <w:szCs w:val="22"/>
        </w:rPr>
        <w:t xml:space="preserve">. Dále plán uvádí výši a vysvětlení </w:t>
      </w:r>
      <w:r w:rsidR="00562F30" w:rsidRPr="00510362">
        <w:rPr>
          <w:rFonts w:ascii="Arial" w:hAnsi="Arial"/>
          <w:sz w:val="22"/>
          <w:szCs w:val="22"/>
        </w:rPr>
        <w:t>očekávaného příspěvku opatření uvedených v tomto plánu k</w:t>
      </w:r>
      <w:r w:rsidR="005C0855" w:rsidRPr="00510362">
        <w:rPr>
          <w:rFonts w:ascii="Arial" w:hAnsi="Arial"/>
          <w:sz w:val="22"/>
          <w:szCs w:val="22"/>
        </w:rPr>
        <w:t xml:space="preserve"> digitální a </w:t>
      </w:r>
      <w:r w:rsidR="00562F30" w:rsidRPr="00510362">
        <w:rPr>
          <w:rFonts w:ascii="Arial" w:hAnsi="Arial"/>
          <w:sz w:val="22"/>
          <w:szCs w:val="22"/>
        </w:rPr>
        <w:t>zelené transformaci, včetně biologické rozmanitosti</w:t>
      </w:r>
      <w:r w:rsidR="005C0855" w:rsidRPr="00510362">
        <w:rPr>
          <w:rFonts w:ascii="Arial" w:hAnsi="Arial"/>
          <w:sz w:val="22"/>
          <w:szCs w:val="22"/>
        </w:rPr>
        <w:t xml:space="preserve">. </w:t>
      </w:r>
    </w:p>
    <w:p w:rsidR="00562F30" w:rsidRPr="00510362" w:rsidRDefault="00562F30" w:rsidP="004C16D2">
      <w:pPr>
        <w:jc w:val="both"/>
        <w:rPr>
          <w:rFonts w:ascii="Arial" w:hAnsi="Arial"/>
          <w:sz w:val="22"/>
          <w:szCs w:val="22"/>
        </w:rPr>
      </w:pPr>
    </w:p>
    <w:p w:rsidR="00562F30" w:rsidRPr="00510362" w:rsidRDefault="005C0855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Pro</w:t>
      </w:r>
      <w:r w:rsidR="00562F30" w:rsidRPr="00510362">
        <w:rPr>
          <w:rFonts w:ascii="Arial" w:hAnsi="Arial"/>
          <w:sz w:val="22"/>
          <w:szCs w:val="22"/>
        </w:rPr>
        <w:t xml:space="preserve"> investice do digitálních kapacit a konektivity</w:t>
      </w:r>
      <w:r w:rsidRPr="00510362">
        <w:rPr>
          <w:rFonts w:ascii="Arial" w:hAnsi="Arial"/>
          <w:sz w:val="22"/>
          <w:szCs w:val="22"/>
        </w:rPr>
        <w:t xml:space="preserve">, shrnuje plán vlastní bezpečností hodnocení. Plán rovněž uvádí, které přeshraniční projekty Česká republika hodlá financovat prostřednictvím Nástroje pro oživení a odolnost. </w:t>
      </w:r>
    </w:p>
    <w:p w:rsidR="00562F30" w:rsidRPr="00510362" w:rsidRDefault="00562F30" w:rsidP="004C16D2">
      <w:pPr>
        <w:jc w:val="both"/>
        <w:rPr>
          <w:rFonts w:ascii="Arial" w:hAnsi="Arial"/>
          <w:sz w:val="22"/>
          <w:szCs w:val="22"/>
        </w:rPr>
      </w:pPr>
    </w:p>
    <w:p w:rsidR="00562F30" w:rsidRPr="00510362" w:rsidRDefault="005C0855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Národní plán obnovy obsahuje</w:t>
      </w:r>
      <w:r w:rsidR="00562F30" w:rsidRPr="00510362">
        <w:rPr>
          <w:rFonts w:ascii="Arial" w:hAnsi="Arial"/>
          <w:sz w:val="22"/>
          <w:szCs w:val="22"/>
        </w:rPr>
        <w:t xml:space="preserve"> milníky, cíle a orientační harmonogram pro provádění reforem a investic</w:t>
      </w:r>
      <w:r w:rsidRPr="00510362">
        <w:rPr>
          <w:rFonts w:ascii="Arial" w:hAnsi="Arial"/>
          <w:sz w:val="22"/>
          <w:szCs w:val="22"/>
        </w:rPr>
        <w:t>;</w:t>
      </w:r>
      <w:r w:rsidR="00562F30" w:rsidRPr="00510362">
        <w:rPr>
          <w:rFonts w:ascii="Arial" w:hAnsi="Arial"/>
          <w:sz w:val="22"/>
          <w:szCs w:val="22"/>
        </w:rPr>
        <w:t xml:space="preserve"> předpokládané investiční projekty a související dob</w:t>
      </w:r>
      <w:r w:rsidRPr="00510362">
        <w:rPr>
          <w:rFonts w:ascii="Arial" w:hAnsi="Arial"/>
          <w:sz w:val="22"/>
          <w:szCs w:val="22"/>
        </w:rPr>
        <w:t>u</w:t>
      </w:r>
      <w:r w:rsidR="00562F30" w:rsidRPr="00510362">
        <w:rPr>
          <w:rFonts w:ascii="Arial" w:hAnsi="Arial"/>
          <w:sz w:val="22"/>
          <w:szCs w:val="22"/>
        </w:rPr>
        <w:t xml:space="preserve"> investic</w:t>
      </w:r>
      <w:r w:rsidRPr="00510362">
        <w:rPr>
          <w:rFonts w:ascii="Arial" w:hAnsi="Arial"/>
          <w:sz w:val="22"/>
          <w:szCs w:val="22"/>
        </w:rPr>
        <w:t xml:space="preserve">; </w:t>
      </w:r>
      <w:r w:rsidR="00562F30" w:rsidRPr="00510362">
        <w:rPr>
          <w:rFonts w:ascii="Arial" w:hAnsi="Arial"/>
          <w:sz w:val="22"/>
          <w:szCs w:val="22"/>
        </w:rPr>
        <w:t xml:space="preserve">odhadované celkové náklady reforem a investic, </w:t>
      </w:r>
      <w:r w:rsidRPr="00510362">
        <w:rPr>
          <w:rFonts w:ascii="Arial" w:hAnsi="Arial"/>
          <w:sz w:val="22"/>
          <w:szCs w:val="22"/>
        </w:rPr>
        <w:t xml:space="preserve">včetně </w:t>
      </w:r>
      <w:r w:rsidR="00562F30" w:rsidRPr="00510362">
        <w:rPr>
          <w:rFonts w:ascii="Arial" w:hAnsi="Arial"/>
          <w:sz w:val="22"/>
          <w:szCs w:val="22"/>
        </w:rPr>
        <w:t>náležit</w:t>
      </w:r>
      <w:r w:rsidRPr="00510362">
        <w:rPr>
          <w:rFonts w:ascii="Arial" w:hAnsi="Arial"/>
          <w:sz w:val="22"/>
          <w:szCs w:val="22"/>
        </w:rPr>
        <w:t>ého</w:t>
      </w:r>
      <w:r w:rsidR="00562F30" w:rsidRPr="00510362">
        <w:rPr>
          <w:rFonts w:ascii="Arial" w:hAnsi="Arial"/>
          <w:sz w:val="22"/>
          <w:szCs w:val="22"/>
        </w:rPr>
        <w:t xml:space="preserve"> odůvodnění a vysvětlení jejich souladu se zásadou nákladové efektivnosti a úměrnosti očekávanému účinku na hospodářství a společnost</w:t>
      </w:r>
      <w:r w:rsidRPr="00510362">
        <w:rPr>
          <w:rFonts w:ascii="Arial" w:hAnsi="Arial"/>
          <w:sz w:val="22"/>
          <w:szCs w:val="22"/>
        </w:rPr>
        <w:t xml:space="preserve">. </w:t>
      </w:r>
    </w:p>
    <w:p w:rsidR="00562F30" w:rsidRPr="00510362" w:rsidRDefault="00562F30" w:rsidP="004C16D2">
      <w:pPr>
        <w:jc w:val="both"/>
        <w:rPr>
          <w:rFonts w:ascii="Arial" w:hAnsi="Arial"/>
          <w:sz w:val="22"/>
          <w:szCs w:val="22"/>
        </w:rPr>
      </w:pPr>
    </w:p>
    <w:p w:rsidR="00562F30" w:rsidRPr="00510362" w:rsidRDefault="005C0855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Plán rovněž vysvětluje </w:t>
      </w:r>
      <w:r w:rsidR="00562F30" w:rsidRPr="00510362">
        <w:rPr>
          <w:rFonts w:ascii="Arial" w:hAnsi="Arial"/>
          <w:sz w:val="22"/>
          <w:szCs w:val="22"/>
        </w:rPr>
        <w:t>očekávan</w:t>
      </w:r>
      <w:r w:rsidRPr="00510362">
        <w:rPr>
          <w:rFonts w:ascii="Arial" w:hAnsi="Arial"/>
          <w:sz w:val="22"/>
          <w:szCs w:val="22"/>
        </w:rPr>
        <w:t>ý</w:t>
      </w:r>
      <w:r w:rsidR="00562F30" w:rsidRPr="00510362">
        <w:rPr>
          <w:rFonts w:ascii="Arial" w:hAnsi="Arial"/>
          <w:sz w:val="22"/>
          <w:szCs w:val="22"/>
        </w:rPr>
        <w:t xml:space="preserve"> příspěv</w:t>
      </w:r>
      <w:r w:rsidRPr="00510362">
        <w:rPr>
          <w:rFonts w:ascii="Arial" w:hAnsi="Arial"/>
          <w:sz w:val="22"/>
          <w:szCs w:val="22"/>
        </w:rPr>
        <w:t>e</w:t>
      </w:r>
      <w:r w:rsidR="00562F30" w:rsidRPr="00510362">
        <w:rPr>
          <w:rFonts w:ascii="Arial" w:hAnsi="Arial"/>
          <w:sz w:val="22"/>
          <w:szCs w:val="22"/>
        </w:rPr>
        <w:t>k opatření uvedených v tomto plánu k rovnosti žen a mužů, k rovným příležitostem pro všechny a k začleňování těchto cílů v souladu se zásadami č. 2 a 3 evropského pilíře sociálních práv, s cílem udržitelného rozvoje OSN č. 5 a s případnou vnitrostátní strategií pro rovnost žen a mužů</w:t>
      </w:r>
      <w:r w:rsidRPr="00510362">
        <w:rPr>
          <w:rFonts w:ascii="Arial" w:hAnsi="Arial"/>
          <w:sz w:val="22"/>
          <w:szCs w:val="22"/>
        </w:rPr>
        <w:t xml:space="preserve">. </w:t>
      </w:r>
    </w:p>
    <w:p w:rsidR="00562F30" w:rsidRPr="00510362" w:rsidRDefault="00562F30" w:rsidP="004C16D2">
      <w:pPr>
        <w:jc w:val="both"/>
        <w:rPr>
          <w:rFonts w:ascii="Arial" w:hAnsi="Arial"/>
          <w:sz w:val="22"/>
          <w:szCs w:val="22"/>
        </w:rPr>
      </w:pPr>
    </w:p>
    <w:p w:rsidR="00562F30" w:rsidRPr="00510362" w:rsidRDefault="005C0855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Významnou součástí plánu je přehled </w:t>
      </w:r>
      <w:r w:rsidR="00562F30" w:rsidRPr="00510362">
        <w:rPr>
          <w:rFonts w:ascii="Arial" w:hAnsi="Arial"/>
          <w:sz w:val="22"/>
          <w:szCs w:val="22"/>
        </w:rPr>
        <w:t>opatření pro účinné sledování a provádění tohoto plánu, včetně navržených milníků a cílů a souvisejících ukazatelů;</w:t>
      </w:r>
      <w:r w:rsidRPr="00510362">
        <w:rPr>
          <w:rFonts w:ascii="Arial" w:hAnsi="Arial"/>
          <w:sz w:val="22"/>
          <w:szCs w:val="22"/>
        </w:rPr>
        <w:t xml:space="preserve"> systému České republiky k prevenci, odhalování a nápravě korupce, podvodů a střetu zájmů při využívání finančních prostředků získaných v rámci tohoto nástroje a opatření, jejichž cílem je zabránit dvojímu financování z tohoto nástroje a jiných programů Evropské unie. </w:t>
      </w:r>
    </w:p>
    <w:p w:rsidR="00562F30" w:rsidRPr="00510362" w:rsidRDefault="00562F30" w:rsidP="004C16D2">
      <w:pPr>
        <w:jc w:val="both"/>
        <w:rPr>
          <w:rFonts w:ascii="Arial" w:hAnsi="Arial"/>
          <w:sz w:val="22"/>
          <w:szCs w:val="22"/>
        </w:rPr>
      </w:pPr>
    </w:p>
    <w:p w:rsidR="001065F5" w:rsidRPr="00510362" w:rsidRDefault="00DE68E4" w:rsidP="004C16D2">
      <w:pPr>
        <w:spacing w:after="240"/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V ČR se na plánování využití finančních prostředků</w:t>
      </w:r>
      <w:r w:rsidR="004978EB" w:rsidRPr="00510362">
        <w:rPr>
          <w:rFonts w:ascii="Arial" w:hAnsi="Arial"/>
          <w:sz w:val="22"/>
          <w:szCs w:val="22"/>
        </w:rPr>
        <w:t xml:space="preserve"> z Nástroje pro oživení a o</w:t>
      </w:r>
      <w:r w:rsidR="00F079A4" w:rsidRPr="00510362">
        <w:rPr>
          <w:rFonts w:ascii="Arial" w:hAnsi="Arial"/>
          <w:sz w:val="22"/>
          <w:szCs w:val="22"/>
        </w:rPr>
        <w:t>d</w:t>
      </w:r>
      <w:r w:rsidR="004978EB" w:rsidRPr="00510362">
        <w:rPr>
          <w:rFonts w:ascii="Arial" w:hAnsi="Arial"/>
          <w:sz w:val="22"/>
          <w:szCs w:val="22"/>
        </w:rPr>
        <w:t>olnost</w:t>
      </w:r>
      <w:r w:rsidRPr="00510362">
        <w:rPr>
          <w:rFonts w:ascii="Arial" w:hAnsi="Arial"/>
          <w:sz w:val="22"/>
          <w:szCs w:val="22"/>
        </w:rPr>
        <w:t xml:space="preserve"> začalo pracovat již na počátku srpna</w:t>
      </w:r>
      <w:r w:rsidR="004978EB" w:rsidRPr="00510362">
        <w:rPr>
          <w:rFonts w:ascii="Arial" w:hAnsi="Arial"/>
          <w:sz w:val="22"/>
          <w:szCs w:val="22"/>
        </w:rPr>
        <w:t xml:space="preserve"> roku 2020</w:t>
      </w:r>
      <w:r w:rsidRPr="00510362">
        <w:rPr>
          <w:rFonts w:ascii="Arial" w:hAnsi="Arial"/>
          <w:sz w:val="22"/>
          <w:szCs w:val="22"/>
        </w:rPr>
        <w:t xml:space="preserve">. </w:t>
      </w:r>
      <w:r w:rsidR="009E0CAB" w:rsidRPr="00510362">
        <w:rPr>
          <w:rFonts w:ascii="Arial" w:hAnsi="Arial"/>
          <w:sz w:val="22"/>
          <w:szCs w:val="22"/>
        </w:rPr>
        <w:t>Příprava plánu navázala na již řadu měsíců připravovanou Hospodářskou strategii ČR</w:t>
      </w:r>
      <w:r w:rsidR="00510362" w:rsidRPr="00510362">
        <w:rPr>
          <w:rFonts w:ascii="Arial" w:hAnsi="Arial"/>
          <w:sz w:val="22"/>
          <w:szCs w:val="22"/>
        </w:rPr>
        <w:t xml:space="preserve">. </w:t>
      </w:r>
      <w:r w:rsidRPr="00510362">
        <w:rPr>
          <w:rFonts w:ascii="Arial" w:hAnsi="Arial"/>
          <w:sz w:val="22"/>
          <w:szCs w:val="22"/>
        </w:rPr>
        <w:t>Do projektu se zapojilo víc než 50 osob nejen z jednotlivých resortů, ale také z</w:t>
      </w:r>
      <w:r w:rsidR="004978EB" w:rsidRPr="00510362">
        <w:rPr>
          <w:rFonts w:ascii="Arial" w:hAnsi="Arial"/>
          <w:sz w:val="22"/>
          <w:szCs w:val="22"/>
        </w:rPr>
        <w:t> </w:t>
      </w:r>
      <w:r w:rsidRPr="00510362">
        <w:rPr>
          <w:rFonts w:ascii="Arial" w:hAnsi="Arial"/>
          <w:sz w:val="22"/>
          <w:szCs w:val="22"/>
        </w:rPr>
        <w:t>N</w:t>
      </w:r>
      <w:r w:rsidR="004978EB" w:rsidRPr="00510362">
        <w:rPr>
          <w:rFonts w:ascii="Arial" w:hAnsi="Arial"/>
          <w:sz w:val="22"/>
          <w:szCs w:val="22"/>
        </w:rPr>
        <w:t>árodní ekonomické rady vlády</w:t>
      </w:r>
      <w:r w:rsidRPr="00510362">
        <w:rPr>
          <w:rFonts w:ascii="Arial" w:hAnsi="Arial"/>
          <w:sz w:val="22"/>
          <w:szCs w:val="22"/>
        </w:rPr>
        <w:t xml:space="preserve"> a dalších organizací. Od začátku srpna bylo napříč </w:t>
      </w:r>
      <w:r w:rsidR="009E0CAB" w:rsidRPr="00510362">
        <w:rPr>
          <w:rFonts w:ascii="Arial" w:hAnsi="Arial"/>
          <w:sz w:val="22"/>
          <w:szCs w:val="22"/>
        </w:rPr>
        <w:t xml:space="preserve">gescemi jednotlivých </w:t>
      </w:r>
      <w:r w:rsidRPr="00510362">
        <w:rPr>
          <w:rFonts w:ascii="Arial" w:hAnsi="Arial"/>
          <w:sz w:val="22"/>
          <w:szCs w:val="22"/>
        </w:rPr>
        <w:t>ministerst</w:t>
      </w:r>
      <w:r w:rsidR="009E0CAB" w:rsidRPr="00510362">
        <w:rPr>
          <w:rFonts w:ascii="Arial" w:hAnsi="Arial"/>
          <w:sz w:val="22"/>
          <w:szCs w:val="22"/>
        </w:rPr>
        <w:t>ev</w:t>
      </w:r>
      <w:r w:rsidRPr="00510362">
        <w:rPr>
          <w:rFonts w:ascii="Arial" w:hAnsi="Arial"/>
          <w:sz w:val="22"/>
          <w:szCs w:val="22"/>
        </w:rPr>
        <w:t xml:space="preserve"> poskytnuto víc než 400 iniciativ, ze kterých byl</w:t>
      </w:r>
      <w:r w:rsidR="00F079A4" w:rsidRPr="00510362">
        <w:rPr>
          <w:rFonts w:ascii="Arial" w:hAnsi="Arial"/>
          <w:sz w:val="22"/>
          <w:szCs w:val="22"/>
        </w:rPr>
        <w:t>y</w:t>
      </w:r>
      <w:r w:rsidRPr="00510362">
        <w:rPr>
          <w:rFonts w:ascii="Arial" w:hAnsi="Arial"/>
          <w:sz w:val="22"/>
          <w:szCs w:val="22"/>
        </w:rPr>
        <w:t xml:space="preserve"> vypracován</w:t>
      </w:r>
      <w:r w:rsidR="00F079A4" w:rsidRPr="00510362">
        <w:rPr>
          <w:rFonts w:ascii="Arial" w:hAnsi="Arial"/>
          <w:sz w:val="22"/>
          <w:szCs w:val="22"/>
        </w:rPr>
        <w:t>y</w:t>
      </w:r>
      <w:r w:rsidRPr="00510362">
        <w:rPr>
          <w:rFonts w:ascii="Arial" w:hAnsi="Arial"/>
          <w:sz w:val="22"/>
          <w:szCs w:val="22"/>
        </w:rPr>
        <w:t xml:space="preserve"> víc</w:t>
      </w:r>
      <w:r w:rsidR="004978EB" w:rsidRPr="00510362">
        <w:rPr>
          <w:rFonts w:ascii="Arial" w:hAnsi="Arial"/>
          <w:sz w:val="22"/>
          <w:szCs w:val="22"/>
        </w:rPr>
        <w:t>e</w:t>
      </w:r>
      <w:r w:rsidRPr="00510362">
        <w:rPr>
          <w:rFonts w:ascii="Arial" w:hAnsi="Arial"/>
          <w:sz w:val="22"/>
          <w:szCs w:val="22"/>
        </w:rPr>
        <w:t xml:space="preserve"> než dvě desítky komponent, které vytvářejí šest tematických okruhů, tzv.</w:t>
      </w:r>
      <w:r w:rsidR="004978EB" w:rsidRPr="00510362">
        <w:rPr>
          <w:rFonts w:ascii="Arial" w:hAnsi="Arial"/>
          <w:sz w:val="22"/>
          <w:szCs w:val="22"/>
        </w:rPr>
        <w:t> </w:t>
      </w:r>
      <w:r w:rsidRPr="00510362">
        <w:rPr>
          <w:rFonts w:ascii="Arial" w:hAnsi="Arial"/>
          <w:sz w:val="22"/>
          <w:szCs w:val="22"/>
        </w:rPr>
        <w:t xml:space="preserve">pilířů (Digitální transformace; Fyzická infrastruktura a </w:t>
      </w:r>
      <w:r w:rsidRPr="00510362">
        <w:rPr>
          <w:rFonts w:ascii="Arial" w:hAnsi="Arial"/>
          <w:sz w:val="22"/>
          <w:szCs w:val="22"/>
        </w:rPr>
        <w:lastRenderedPageBreak/>
        <w:t>zelená tranzice; Vzdělávání a trh práce; Instituce a regulace</w:t>
      </w:r>
      <w:r w:rsidR="004978EB" w:rsidRPr="00510362">
        <w:rPr>
          <w:rFonts w:ascii="Arial" w:hAnsi="Arial"/>
          <w:sz w:val="22"/>
          <w:szCs w:val="22"/>
        </w:rPr>
        <w:t xml:space="preserve"> a podpora podnikání v reakci na COVID-19</w:t>
      </w:r>
      <w:r w:rsidRPr="00510362">
        <w:rPr>
          <w:rFonts w:ascii="Arial" w:hAnsi="Arial"/>
          <w:sz w:val="22"/>
          <w:szCs w:val="22"/>
        </w:rPr>
        <w:t xml:space="preserve">; Výzkum, vývoj a inovace a Zdraví a odolnost obyvatel). </w:t>
      </w:r>
      <w:r w:rsidR="004978EB" w:rsidRPr="00510362">
        <w:rPr>
          <w:rFonts w:ascii="Arial" w:hAnsi="Arial"/>
          <w:sz w:val="22"/>
          <w:szCs w:val="22"/>
        </w:rPr>
        <w:t xml:space="preserve">V říjnu roku 2020 pak předseda vlády předal úvodní materiál </w:t>
      </w:r>
      <w:r w:rsidR="00056814" w:rsidRPr="00510362">
        <w:rPr>
          <w:rFonts w:ascii="Arial" w:hAnsi="Arial"/>
          <w:sz w:val="22"/>
          <w:szCs w:val="22"/>
        </w:rPr>
        <w:t xml:space="preserve">Východiska Národního plánu obnovy předsedkyni Evropské komise k zahájení konzultací. </w:t>
      </w:r>
    </w:p>
    <w:p w:rsidR="00056814" w:rsidRPr="00510362" w:rsidRDefault="00056814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V rámci přípravy plánu uspořádalo Ministerstvo průmyslu a obchodu v listopadu a prosinci 2020 sadu kulatých stolů formou videokonference k jednotlivým pilířům NPO. Vedle zástupců státní správy se videokonferencí zúčastnili také např. zástupci samospráv, hospodářských a sociálních partnerů, neziskových organizací a dalších organizací.</w:t>
      </w:r>
    </w:p>
    <w:p w:rsidR="00056814" w:rsidRPr="00510362" w:rsidRDefault="00056814" w:rsidP="004C16D2">
      <w:pPr>
        <w:jc w:val="both"/>
        <w:rPr>
          <w:rFonts w:ascii="Arial" w:hAnsi="Arial"/>
          <w:sz w:val="22"/>
          <w:szCs w:val="22"/>
        </w:rPr>
      </w:pPr>
    </w:p>
    <w:p w:rsidR="00056814" w:rsidRPr="00510362" w:rsidRDefault="00056814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 xml:space="preserve">Plán byl v průběhu přípravy projednáván v rámci kulatého stolu Rady vlády pro udržitelný rozvoj. Opakovaně pak byl plán projednáván Radou hospodářské a sociální dohody, Radou pro výzkum, vývoj a inovace, Národní ekonomickou radou vlády, Radou vlády pro informační společnost a informace byly podány rovněž </w:t>
      </w:r>
      <w:r w:rsidR="005F613E" w:rsidRPr="00510362">
        <w:rPr>
          <w:rFonts w:ascii="Arial" w:hAnsi="Arial"/>
          <w:sz w:val="22"/>
          <w:szCs w:val="22"/>
        </w:rPr>
        <w:t xml:space="preserve">Radě vlády pro problematiku romské menšiny a </w:t>
      </w:r>
      <w:r w:rsidRPr="00510362">
        <w:rPr>
          <w:rFonts w:ascii="Arial" w:hAnsi="Arial"/>
          <w:sz w:val="22"/>
          <w:szCs w:val="22"/>
        </w:rPr>
        <w:t xml:space="preserve">Radě vlády pro rovnost žen a mužů. Obsah plánu by rovněž předmětem jednání výborů </w:t>
      </w:r>
      <w:r w:rsidR="005F613E" w:rsidRPr="00510362">
        <w:rPr>
          <w:rFonts w:ascii="Arial" w:hAnsi="Arial"/>
          <w:sz w:val="22"/>
          <w:szCs w:val="22"/>
        </w:rPr>
        <w:t xml:space="preserve">i pléna </w:t>
      </w:r>
      <w:r w:rsidRPr="00510362">
        <w:rPr>
          <w:rFonts w:ascii="Arial" w:hAnsi="Arial"/>
          <w:sz w:val="22"/>
          <w:szCs w:val="22"/>
        </w:rPr>
        <w:t xml:space="preserve">Poslanecké sněmovny a Senátu Parlamentu ČR. </w:t>
      </w:r>
    </w:p>
    <w:p w:rsidR="00056814" w:rsidRPr="00510362" w:rsidRDefault="00056814" w:rsidP="004C16D2">
      <w:pPr>
        <w:jc w:val="both"/>
        <w:rPr>
          <w:rFonts w:ascii="Arial" w:hAnsi="Arial"/>
          <w:sz w:val="22"/>
          <w:szCs w:val="22"/>
        </w:rPr>
      </w:pPr>
    </w:p>
    <w:p w:rsidR="00DA74FE" w:rsidRPr="00510362" w:rsidRDefault="00DA74FE" w:rsidP="004C16D2">
      <w:pPr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Z hlediska zhodnocení současného stavu a dopadů navrhovaného řešení ve vztahu k zákazu diskriminace a ve vztahu k rovnosti mužů a žen, lze konstatovat, že navrhované komponenty jsou z tohoto pohledu neutrální</w:t>
      </w:r>
      <w:r w:rsidR="004C16D2" w:rsidRPr="00510362">
        <w:rPr>
          <w:rFonts w:ascii="Arial" w:hAnsi="Arial"/>
          <w:sz w:val="22"/>
          <w:szCs w:val="22"/>
        </w:rPr>
        <w:t xml:space="preserve"> a tam, kde </w:t>
      </w:r>
      <w:r w:rsidR="005F613E" w:rsidRPr="00510362">
        <w:rPr>
          <w:rFonts w:ascii="Arial" w:hAnsi="Arial"/>
          <w:sz w:val="22"/>
          <w:szCs w:val="22"/>
        </w:rPr>
        <w:t xml:space="preserve">to </w:t>
      </w:r>
      <w:r w:rsidR="004C16D2" w:rsidRPr="00510362">
        <w:rPr>
          <w:rFonts w:ascii="Arial" w:hAnsi="Arial"/>
          <w:sz w:val="22"/>
          <w:szCs w:val="22"/>
        </w:rPr>
        <w:t>bylo relevantní, byly zapracovány prvky pro uplatnění podmínky genderové rovnosti a rovných příležitostí pro všechny</w:t>
      </w:r>
      <w:r w:rsidRPr="00510362">
        <w:rPr>
          <w:rFonts w:ascii="Arial" w:hAnsi="Arial"/>
          <w:sz w:val="22"/>
          <w:szCs w:val="22"/>
        </w:rPr>
        <w:t>.</w:t>
      </w:r>
      <w:bookmarkEnd w:id="2"/>
      <w:r w:rsidRPr="00510362">
        <w:rPr>
          <w:rFonts w:ascii="Arial" w:hAnsi="Arial"/>
          <w:sz w:val="22"/>
          <w:szCs w:val="22"/>
        </w:rPr>
        <w:t xml:space="preserve"> </w:t>
      </w:r>
    </w:p>
    <w:p w:rsidR="00056814" w:rsidRPr="00510362" w:rsidRDefault="00056814" w:rsidP="004C16D2">
      <w:pPr>
        <w:jc w:val="both"/>
        <w:rPr>
          <w:rFonts w:ascii="Arial" w:hAnsi="Arial"/>
          <w:sz w:val="22"/>
          <w:szCs w:val="22"/>
        </w:rPr>
      </w:pPr>
    </w:p>
    <w:p w:rsidR="00510362" w:rsidRPr="00510362" w:rsidRDefault="00510362">
      <w:pPr>
        <w:rPr>
          <w:rFonts w:ascii="Arial" w:hAnsi="Arial"/>
          <w:b/>
          <w:sz w:val="22"/>
          <w:szCs w:val="22"/>
        </w:rPr>
      </w:pPr>
      <w:r w:rsidRPr="00510362">
        <w:rPr>
          <w:rFonts w:ascii="Arial" w:hAnsi="Arial"/>
          <w:b/>
          <w:sz w:val="22"/>
          <w:szCs w:val="22"/>
        </w:rPr>
        <w:br w:type="page"/>
      </w:r>
    </w:p>
    <w:p w:rsidR="002F21C7" w:rsidRPr="00510362" w:rsidRDefault="009E1BFA" w:rsidP="009E1BFA">
      <w:pPr>
        <w:spacing w:after="240"/>
        <w:jc w:val="center"/>
        <w:rPr>
          <w:rFonts w:ascii="Arial" w:hAnsi="Arial"/>
          <w:b/>
          <w:sz w:val="22"/>
          <w:szCs w:val="22"/>
        </w:rPr>
      </w:pPr>
      <w:r w:rsidRPr="00510362">
        <w:rPr>
          <w:rFonts w:ascii="Arial" w:hAnsi="Arial"/>
          <w:b/>
          <w:sz w:val="22"/>
          <w:szCs w:val="22"/>
        </w:rPr>
        <w:lastRenderedPageBreak/>
        <w:t>Část II</w:t>
      </w:r>
    </w:p>
    <w:p w:rsidR="002F21C7" w:rsidRPr="00510362" w:rsidRDefault="002F21C7" w:rsidP="002F21C7">
      <w:pPr>
        <w:spacing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10362">
        <w:rPr>
          <w:rFonts w:ascii="Arial" w:hAnsi="Arial" w:cs="Arial"/>
          <w:bCs/>
          <w:sz w:val="22"/>
          <w:szCs w:val="22"/>
        </w:rPr>
        <w:t xml:space="preserve">Schválení Národního plánu obnovy a jeho jednotlivých komponent je spojeno s </w:t>
      </w:r>
      <w:r w:rsidRPr="00510362">
        <w:rPr>
          <w:rFonts w:ascii="Arial" w:hAnsi="Arial" w:cs="Arial"/>
          <w:b/>
          <w:bCs/>
          <w:sz w:val="22"/>
          <w:szCs w:val="22"/>
        </w:rPr>
        <w:t>vytvořením nového koordinačního</w:t>
      </w:r>
      <w:r w:rsidR="00DB107E" w:rsidRPr="00510362">
        <w:rPr>
          <w:rFonts w:ascii="Arial" w:hAnsi="Arial" w:cs="Arial"/>
          <w:b/>
          <w:bCs/>
          <w:sz w:val="22"/>
          <w:szCs w:val="22"/>
        </w:rPr>
        <w:t xml:space="preserve"> orgánu Národního plánu obnovy</w:t>
      </w:r>
      <w:r w:rsidRPr="00510362">
        <w:rPr>
          <w:rFonts w:ascii="Arial" w:hAnsi="Arial" w:cs="Arial"/>
          <w:b/>
          <w:bCs/>
          <w:sz w:val="22"/>
          <w:szCs w:val="22"/>
        </w:rPr>
        <w:t xml:space="preserve"> v podobě zřízení nového odboru na Ministerstvu průmyslu a obchodu</w:t>
      </w:r>
      <w:r w:rsidRPr="00510362">
        <w:rPr>
          <w:rFonts w:ascii="Arial" w:hAnsi="Arial" w:cs="Arial"/>
          <w:bCs/>
          <w:sz w:val="22"/>
          <w:szCs w:val="22"/>
        </w:rPr>
        <w:t xml:space="preserve">, který bude vykonávat dohled nad přípravou, implementací a plněním milníků a cílů komponent NPO. </w:t>
      </w:r>
      <w:r w:rsidRPr="00510362">
        <w:rPr>
          <w:rFonts w:ascii="Arial" w:eastAsia="Arial" w:hAnsi="Arial" w:cs="Arial"/>
          <w:bCs/>
          <w:sz w:val="22"/>
          <w:szCs w:val="22"/>
        </w:rPr>
        <w:t xml:space="preserve">Vzhledem k tomu, že v rámci </w:t>
      </w:r>
      <w:r w:rsidRPr="00510362">
        <w:rPr>
          <w:rFonts w:ascii="Arial" w:hAnsi="Arial" w:cs="Arial"/>
          <w:sz w:val="22"/>
          <w:szCs w:val="22"/>
        </w:rPr>
        <w:t xml:space="preserve">Nástroje </w:t>
      </w:r>
      <w:r w:rsidR="009E1BFA" w:rsidRPr="00510362">
        <w:rPr>
          <w:rFonts w:ascii="Arial" w:hAnsi="Arial" w:cs="Arial"/>
          <w:bCs/>
          <w:sz w:val="22"/>
          <w:szCs w:val="22"/>
        </w:rPr>
        <w:t xml:space="preserve">pro </w:t>
      </w:r>
      <w:r w:rsidRPr="00510362">
        <w:rPr>
          <w:rFonts w:ascii="Arial" w:hAnsi="Arial" w:cs="Arial"/>
          <w:bCs/>
          <w:sz w:val="22"/>
          <w:szCs w:val="22"/>
        </w:rPr>
        <w:t>oživení a odolnost (Recovery and Resilience Facility)</w:t>
      </w:r>
      <w:r w:rsidRPr="00510362">
        <w:rPr>
          <w:rFonts w:ascii="Arial" w:eastAsia="Arial" w:hAnsi="Arial" w:cs="Arial"/>
          <w:bCs/>
          <w:sz w:val="22"/>
          <w:szCs w:val="22"/>
        </w:rPr>
        <w:t xml:space="preserve"> je pro Českou republiku vyčleněno až dvojnásobné množství finančních prostředků, a to v porovnání s některými jinými operačními programy, je pro dosažení nejvyšší možné kvality implementace </w:t>
      </w:r>
      <w:r w:rsidR="00DB107E" w:rsidRPr="00510362">
        <w:rPr>
          <w:rFonts w:ascii="Arial" w:eastAsia="Arial" w:hAnsi="Arial" w:cs="Arial"/>
          <w:bCs/>
          <w:sz w:val="22"/>
          <w:szCs w:val="22"/>
        </w:rPr>
        <w:t>Národního plánu obnovy</w:t>
      </w:r>
      <w:r w:rsidRPr="00510362">
        <w:rPr>
          <w:rFonts w:ascii="Arial" w:eastAsia="Arial" w:hAnsi="Arial" w:cs="Arial"/>
          <w:bCs/>
          <w:sz w:val="22"/>
          <w:szCs w:val="22"/>
        </w:rPr>
        <w:t xml:space="preserve"> zřízení nového koordinačního orgánu žádoucí. </w:t>
      </w:r>
    </w:p>
    <w:p w:rsidR="002F21C7" w:rsidRPr="00510362" w:rsidRDefault="002F21C7" w:rsidP="3801A5A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>Důvodem zřízení nového odboru pod záštitou Ministerstva průmyslu a obchodu, je vznik zcela nové age</w:t>
      </w:r>
      <w:r w:rsidR="00DB107E" w:rsidRPr="00510362">
        <w:rPr>
          <w:rFonts w:ascii="Arial" w:hAnsi="Arial" w:cs="Arial"/>
          <w:sz w:val="22"/>
          <w:szCs w:val="22"/>
        </w:rPr>
        <w:t>ndy</w:t>
      </w:r>
      <w:r w:rsidRPr="00510362">
        <w:rPr>
          <w:rFonts w:ascii="Arial" w:hAnsi="Arial" w:cs="Arial"/>
          <w:sz w:val="22"/>
          <w:szCs w:val="22"/>
        </w:rPr>
        <w:t xml:space="preserve">. Dohledová a </w:t>
      </w:r>
      <w:r w:rsidR="00DB107E" w:rsidRPr="00510362">
        <w:rPr>
          <w:rFonts w:ascii="Arial" w:hAnsi="Arial" w:cs="Arial"/>
          <w:sz w:val="22"/>
          <w:szCs w:val="22"/>
        </w:rPr>
        <w:t>koordinační</w:t>
      </w:r>
      <w:r w:rsidRPr="00510362">
        <w:rPr>
          <w:rFonts w:ascii="Arial" w:hAnsi="Arial" w:cs="Arial"/>
          <w:sz w:val="22"/>
          <w:szCs w:val="22"/>
        </w:rPr>
        <w:t xml:space="preserve"> činnost napříč </w:t>
      </w:r>
      <w:r w:rsidR="00DB107E" w:rsidRPr="00510362">
        <w:rPr>
          <w:rFonts w:ascii="Arial" w:hAnsi="Arial" w:cs="Arial"/>
          <w:sz w:val="22"/>
          <w:szCs w:val="22"/>
        </w:rPr>
        <w:t>vlastníky komponent</w:t>
      </w:r>
      <w:r w:rsidR="3111F75F" w:rsidRPr="00510362">
        <w:rPr>
          <w:rFonts w:ascii="Arial" w:hAnsi="Arial" w:cs="Arial"/>
          <w:sz w:val="22"/>
          <w:szCs w:val="22"/>
        </w:rPr>
        <w:t xml:space="preserve"> (subjekty odpovědnými za realizaci)</w:t>
      </w:r>
      <w:r w:rsidR="00DB107E" w:rsidRPr="00510362">
        <w:rPr>
          <w:rFonts w:ascii="Arial" w:hAnsi="Arial" w:cs="Arial"/>
          <w:sz w:val="22"/>
          <w:szCs w:val="22"/>
        </w:rPr>
        <w:t xml:space="preserve"> </w:t>
      </w:r>
      <w:r w:rsidRPr="00510362">
        <w:rPr>
          <w:rFonts w:ascii="Arial" w:hAnsi="Arial" w:cs="Arial"/>
          <w:sz w:val="22"/>
          <w:szCs w:val="22"/>
        </w:rPr>
        <w:t xml:space="preserve">bude vyžadovat nemalé úsilí a bude spojena s rozsáhlou reportovací povinností ze strany všech vlastníků komponent. </w:t>
      </w:r>
      <w:r w:rsidR="00A87EF1" w:rsidRPr="00510362">
        <w:rPr>
          <w:rFonts w:ascii="Arial" w:hAnsi="Arial" w:cs="Arial"/>
          <w:sz w:val="22"/>
          <w:szCs w:val="22"/>
        </w:rPr>
        <w:t xml:space="preserve">Tento odbor </w:t>
      </w:r>
      <w:r w:rsidRPr="00510362">
        <w:rPr>
          <w:rFonts w:ascii="Arial" w:hAnsi="Arial" w:cs="Arial"/>
          <w:sz w:val="22"/>
          <w:szCs w:val="22"/>
        </w:rPr>
        <w:t xml:space="preserve">bude </w:t>
      </w:r>
      <w:r w:rsidR="00A87EF1" w:rsidRPr="00510362">
        <w:rPr>
          <w:rFonts w:ascii="Arial" w:hAnsi="Arial" w:cs="Arial"/>
          <w:sz w:val="22"/>
          <w:szCs w:val="22"/>
        </w:rPr>
        <w:t xml:space="preserve">dále </w:t>
      </w:r>
      <w:r w:rsidRPr="00510362">
        <w:rPr>
          <w:rFonts w:ascii="Arial" w:hAnsi="Arial" w:cs="Arial"/>
          <w:sz w:val="22"/>
          <w:szCs w:val="22"/>
        </w:rPr>
        <w:t>zastávat koordinační roli na národní úrovni, dohlížet na plnění milníků a cílů, které jsou zásadní pro čerpání prostředků z</w:t>
      </w:r>
      <w:r w:rsidR="00A87EF1" w:rsidRPr="00510362">
        <w:rPr>
          <w:rFonts w:ascii="Arial" w:hAnsi="Arial" w:cs="Arial"/>
          <w:sz w:val="22"/>
          <w:szCs w:val="22"/>
        </w:rPr>
        <w:t xml:space="preserve"> Nástroje pro </w:t>
      </w:r>
      <w:r w:rsidR="00DB107E" w:rsidRPr="00510362">
        <w:rPr>
          <w:rFonts w:ascii="Arial" w:hAnsi="Arial" w:cs="Arial"/>
          <w:sz w:val="22"/>
          <w:szCs w:val="22"/>
        </w:rPr>
        <w:t>oživení a odolnost</w:t>
      </w:r>
      <w:r w:rsidRPr="00510362">
        <w:rPr>
          <w:rFonts w:ascii="Arial" w:hAnsi="Arial" w:cs="Arial"/>
          <w:sz w:val="22"/>
          <w:szCs w:val="22"/>
        </w:rPr>
        <w:t xml:space="preserve">. Odbor bude Evropské komisi podávat souhrnné žádosti o platbu včetně povinných příloh a souvisejících monitorovacích zpráv. </w:t>
      </w:r>
      <w:r w:rsidR="009E1BFA" w:rsidRPr="00510362">
        <w:rPr>
          <w:rFonts w:ascii="Arial" w:hAnsi="Arial" w:cs="Arial"/>
          <w:sz w:val="22"/>
          <w:szCs w:val="22"/>
        </w:rPr>
        <w:t>Rámcová a</w:t>
      </w:r>
      <w:r w:rsidRPr="00510362">
        <w:rPr>
          <w:rFonts w:ascii="Arial" w:hAnsi="Arial" w:cs="Arial"/>
          <w:sz w:val="22"/>
          <w:szCs w:val="22"/>
        </w:rPr>
        <w:t xml:space="preserve">uditní a dohledová činnost </w:t>
      </w:r>
      <w:r w:rsidR="167A56B9" w:rsidRPr="00510362">
        <w:rPr>
          <w:rFonts w:ascii="Arial" w:hAnsi="Arial" w:cs="Arial"/>
          <w:sz w:val="22"/>
          <w:szCs w:val="22"/>
        </w:rPr>
        <w:t>nad</w:t>
      </w:r>
      <w:r w:rsidR="009E1BFA" w:rsidRPr="00510362">
        <w:rPr>
          <w:rFonts w:ascii="Arial" w:hAnsi="Arial" w:cs="Arial"/>
          <w:sz w:val="22"/>
          <w:szCs w:val="22"/>
        </w:rPr>
        <w:t xml:space="preserve"> systémovou funkčností</w:t>
      </w:r>
      <w:r w:rsidRPr="00510362">
        <w:rPr>
          <w:rFonts w:ascii="Arial" w:hAnsi="Arial" w:cs="Arial"/>
          <w:sz w:val="22"/>
          <w:szCs w:val="22"/>
        </w:rPr>
        <w:t xml:space="preserve"> bude také v kompetenci Ministerstva průmyslu a obchodu a zajišťovat ji bude samostatný odbor, a to z důvodů jasného vymezení kompetencí. Odpovědnost za realizaci</w:t>
      </w:r>
      <w:r w:rsidR="00DB107E" w:rsidRPr="00510362">
        <w:rPr>
          <w:rFonts w:ascii="Arial" w:hAnsi="Arial" w:cs="Arial"/>
          <w:sz w:val="22"/>
          <w:szCs w:val="22"/>
        </w:rPr>
        <w:t xml:space="preserve">/implementaci, kontrolní, auditní a dohledovou činnosti </w:t>
      </w:r>
      <w:r w:rsidRPr="00510362">
        <w:rPr>
          <w:rFonts w:ascii="Arial" w:hAnsi="Arial" w:cs="Arial"/>
          <w:sz w:val="22"/>
          <w:szCs w:val="22"/>
        </w:rPr>
        <w:t xml:space="preserve">komponent </w:t>
      </w:r>
      <w:r w:rsidR="00DB107E" w:rsidRPr="00510362">
        <w:rPr>
          <w:rFonts w:ascii="Arial" w:hAnsi="Arial" w:cs="Arial"/>
          <w:sz w:val="22"/>
          <w:szCs w:val="22"/>
        </w:rPr>
        <w:t xml:space="preserve">Národního plánu obnovy, vč. </w:t>
      </w:r>
      <w:r w:rsidR="005F613E" w:rsidRPr="00510362">
        <w:rPr>
          <w:rFonts w:ascii="Arial" w:hAnsi="Arial" w:cs="Arial"/>
          <w:sz w:val="22"/>
          <w:szCs w:val="22"/>
        </w:rPr>
        <w:t xml:space="preserve">včasného a správného </w:t>
      </w:r>
      <w:r w:rsidRPr="00510362">
        <w:rPr>
          <w:rFonts w:ascii="Arial" w:hAnsi="Arial" w:cs="Arial"/>
          <w:sz w:val="22"/>
          <w:szCs w:val="22"/>
        </w:rPr>
        <w:t>dosahování milníků a cílů</w:t>
      </w:r>
      <w:r w:rsidR="00DB107E" w:rsidRPr="00510362">
        <w:rPr>
          <w:rFonts w:ascii="Arial" w:hAnsi="Arial" w:cs="Arial"/>
          <w:sz w:val="22"/>
          <w:szCs w:val="22"/>
        </w:rPr>
        <w:t>,</w:t>
      </w:r>
      <w:r w:rsidRPr="00510362">
        <w:rPr>
          <w:rFonts w:ascii="Arial" w:hAnsi="Arial" w:cs="Arial"/>
          <w:sz w:val="22"/>
          <w:szCs w:val="22"/>
        </w:rPr>
        <w:t xml:space="preserve"> </w:t>
      </w:r>
      <w:bookmarkStart w:id="3" w:name="_Hlk60052693"/>
      <w:r w:rsidRPr="00510362">
        <w:rPr>
          <w:rFonts w:ascii="Arial" w:hAnsi="Arial" w:cs="Arial"/>
          <w:sz w:val="22"/>
          <w:szCs w:val="22"/>
        </w:rPr>
        <w:t>nese</w:t>
      </w:r>
      <w:r w:rsidR="00DB107E" w:rsidRPr="00510362">
        <w:rPr>
          <w:rFonts w:ascii="Arial" w:hAnsi="Arial" w:cs="Arial"/>
          <w:sz w:val="22"/>
          <w:szCs w:val="22"/>
        </w:rPr>
        <w:t xml:space="preserve"> vždy příslušný </w:t>
      </w:r>
      <w:r w:rsidRPr="00510362">
        <w:rPr>
          <w:rFonts w:ascii="Arial" w:hAnsi="Arial" w:cs="Arial"/>
          <w:sz w:val="22"/>
          <w:szCs w:val="22"/>
        </w:rPr>
        <w:t>vlastník komponent</w:t>
      </w:r>
      <w:r w:rsidR="005F613E" w:rsidRPr="00510362">
        <w:rPr>
          <w:rFonts w:ascii="Arial" w:hAnsi="Arial" w:cs="Arial"/>
          <w:sz w:val="22"/>
          <w:szCs w:val="22"/>
        </w:rPr>
        <w:t>y</w:t>
      </w:r>
      <w:r w:rsidRPr="00510362">
        <w:rPr>
          <w:rFonts w:ascii="Arial" w:hAnsi="Arial" w:cs="Arial"/>
          <w:sz w:val="22"/>
          <w:szCs w:val="22"/>
        </w:rPr>
        <w:t>.</w:t>
      </w:r>
      <w:r w:rsidR="005F613E" w:rsidRPr="00510362">
        <w:rPr>
          <w:rFonts w:ascii="Arial" w:hAnsi="Arial" w:cs="Arial"/>
          <w:sz w:val="22"/>
          <w:szCs w:val="22"/>
        </w:rPr>
        <w:t xml:space="preserve"> Dosažení milníků a cílů v podobě a v čase, ke kterým se ČR v NPO zavazuje je základním předpokladem pro čerpání prostředků Nástroje pro oživení a odolnost a jejich refundace do státního rozpočtu, ze kterého bude téměř vše v plánu předfinancováno.</w:t>
      </w:r>
      <w:r w:rsidRPr="00510362">
        <w:rPr>
          <w:rFonts w:ascii="Arial" w:hAnsi="Arial" w:cs="Arial"/>
          <w:sz w:val="22"/>
          <w:szCs w:val="22"/>
        </w:rPr>
        <w:t xml:space="preserve"> Výčet deleg</w:t>
      </w:r>
      <w:r w:rsidR="00A87EF1" w:rsidRPr="00510362">
        <w:rPr>
          <w:rFonts w:ascii="Arial" w:hAnsi="Arial" w:cs="Arial"/>
          <w:sz w:val="22"/>
          <w:szCs w:val="22"/>
        </w:rPr>
        <w:t xml:space="preserve">ovaných funkcí, bude stanoven ve veřejnoprávních </w:t>
      </w:r>
      <w:r w:rsidR="20A1A5C0" w:rsidRPr="00510362">
        <w:rPr>
          <w:rFonts w:ascii="Arial" w:hAnsi="Arial" w:cs="Arial"/>
          <w:sz w:val="22"/>
          <w:szCs w:val="22"/>
        </w:rPr>
        <w:t>smlouvách</w:t>
      </w:r>
      <w:r w:rsidRPr="00510362">
        <w:rPr>
          <w:rFonts w:ascii="Arial" w:hAnsi="Arial" w:cs="Arial"/>
          <w:sz w:val="22"/>
          <w:szCs w:val="22"/>
        </w:rPr>
        <w:t>, které budou uzavřeny mezi nově vzniklým odborem a vlastníky komponent, tj. náměstky odpovědnými za dané komponenty.</w:t>
      </w:r>
      <w:bookmarkEnd w:id="3"/>
    </w:p>
    <w:p w:rsidR="002F21C7" w:rsidRPr="00510362" w:rsidRDefault="002F21C7" w:rsidP="002F21C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lastRenderedPageBreak/>
        <w:t>Nutnost vzniku nového koordinačního orgánu/odboru zdůrazňuje také skutečnost, že Evropská komise preferuje komunikaci pouze s jedním partnerem na národní úrovni. Tento přístup zjednoduší a urychlí postup vyjednávání s</w:t>
      </w:r>
      <w:r w:rsidR="00DB107E" w:rsidRPr="00510362">
        <w:rPr>
          <w:rFonts w:ascii="Arial" w:hAnsi="Arial" w:cs="Arial"/>
          <w:sz w:val="22"/>
          <w:szCs w:val="22"/>
        </w:rPr>
        <w:t> Evropskou komisí</w:t>
      </w:r>
      <w:r w:rsidRPr="00510362">
        <w:rPr>
          <w:rFonts w:ascii="Arial" w:hAnsi="Arial" w:cs="Arial"/>
          <w:sz w:val="22"/>
          <w:szCs w:val="22"/>
        </w:rPr>
        <w:t xml:space="preserve"> a čerpání finančních prostředků z</w:t>
      </w:r>
      <w:r w:rsidR="00DB107E" w:rsidRPr="00510362">
        <w:rPr>
          <w:rFonts w:ascii="Arial" w:hAnsi="Arial" w:cs="Arial"/>
          <w:sz w:val="22"/>
          <w:szCs w:val="22"/>
        </w:rPr>
        <w:t> Nástroje na podporu</w:t>
      </w:r>
      <w:r w:rsidRPr="00510362">
        <w:rPr>
          <w:rFonts w:ascii="Arial" w:hAnsi="Arial" w:cs="Arial"/>
          <w:sz w:val="22"/>
          <w:szCs w:val="22"/>
        </w:rPr>
        <w:t xml:space="preserve">. Díky centralizaci části povinností a úkolů, dojde také ke snížení administrativních nákladů i na ostatních rezortech, které se podílejí na čerpání. </w:t>
      </w:r>
      <w:r w:rsidRPr="00510362">
        <w:rPr>
          <w:rFonts w:ascii="Arial" w:eastAsia="Arial" w:hAnsi="Arial" w:cs="Arial"/>
          <w:bCs/>
          <w:sz w:val="22"/>
          <w:szCs w:val="22"/>
        </w:rPr>
        <w:t>Personální zajištění nově vzniklého odboru bude řešeno v nadcházející systemizaci.</w:t>
      </w:r>
    </w:p>
    <w:p w:rsidR="009E1BFA" w:rsidRPr="00510362" w:rsidRDefault="009E1BFA" w:rsidP="002F21C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9E1BFA" w:rsidRPr="00510362" w:rsidRDefault="009E1BFA" w:rsidP="002F21C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2F21C7" w:rsidRPr="00510362" w:rsidRDefault="009E1BFA" w:rsidP="009E1BFA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362">
        <w:rPr>
          <w:rFonts w:ascii="Arial" w:eastAsia="Arial" w:hAnsi="Arial" w:cs="Arial"/>
          <w:b/>
          <w:bCs/>
          <w:sz w:val="22"/>
          <w:szCs w:val="22"/>
        </w:rPr>
        <w:t>Část III</w:t>
      </w:r>
    </w:p>
    <w:p w:rsidR="002F21C7" w:rsidRPr="00510362" w:rsidRDefault="009E1BFA" w:rsidP="008E2FF6">
      <w:pPr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0362">
        <w:rPr>
          <w:rFonts w:ascii="Arial" w:hAnsi="Arial" w:cs="Arial"/>
          <w:color w:val="auto"/>
          <w:sz w:val="22"/>
          <w:szCs w:val="22"/>
        </w:rPr>
        <w:t xml:space="preserve">Pro účely jasného vymezení povinností a odpovědností mezi subjekty zajišťujícími implementaci Národního plánu obnovy </w:t>
      </w:r>
      <w:r w:rsidR="00C9214B" w:rsidRPr="00510362">
        <w:rPr>
          <w:rFonts w:ascii="Arial" w:hAnsi="Arial" w:cs="Arial"/>
          <w:color w:val="auto"/>
          <w:sz w:val="22"/>
          <w:szCs w:val="22"/>
        </w:rPr>
        <w:t xml:space="preserve">je níže základní výčet odpovědností, který bude součástí připravovaných </w:t>
      </w:r>
      <w:r w:rsidR="0F97BF03" w:rsidRPr="00510362">
        <w:rPr>
          <w:rFonts w:ascii="Arial" w:hAnsi="Arial" w:cs="Arial"/>
          <w:color w:val="auto"/>
          <w:sz w:val="22"/>
          <w:szCs w:val="22"/>
        </w:rPr>
        <w:t>smluv</w:t>
      </w:r>
      <w:r w:rsidR="00C9214B" w:rsidRPr="0051036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C9214B" w:rsidRPr="00510362" w:rsidRDefault="00C9214B" w:rsidP="008E2FF6">
      <w:pPr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0362">
        <w:rPr>
          <w:rFonts w:ascii="Arial" w:hAnsi="Arial" w:cs="Arial"/>
          <w:color w:val="auto"/>
          <w:sz w:val="22"/>
          <w:szCs w:val="22"/>
        </w:rPr>
        <w:t xml:space="preserve">Povinnosti a odpovědnosti </w:t>
      </w:r>
      <w:r w:rsidR="3FBA9FDB" w:rsidRPr="00510362">
        <w:rPr>
          <w:rFonts w:ascii="Arial" w:hAnsi="Arial" w:cs="Arial"/>
          <w:color w:val="auto"/>
          <w:sz w:val="22"/>
          <w:szCs w:val="22"/>
        </w:rPr>
        <w:t>vlastníků komponent</w:t>
      </w:r>
      <w:r w:rsidR="00A935C8" w:rsidRPr="00510362">
        <w:rPr>
          <w:rFonts w:ascii="Arial" w:hAnsi="Arial" w:cs="Arial"/>
          <w:color w:val="auto"/>
          <w:sz w:val="22"/>
          <w:szCs w:val="22"/>
        </w:rPr>
        <w:t xml:space="preserve"> jsou zejména</w:t>
      </w:r>
      <w:r w:rsidRPr="00510362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E2880" w:rsidRPr="00510362" w:rsidRDefault="00BA43CC" w:rsidP="008E2FF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R</w:t>
      </w:r>
      <w:r w:rsidR="00C9214B" w:rsidRPr="00510362">
        <w:rPr>
          <w:rStyle w:val="normaltextrun"/>
          <w:rFonts w:ascii="Arial" w:hAnsi="Arial" w:cs="Arial"/>
          <w:sz w:val="22"/>
          <w:szCs w:val="22"/>
        </w:rPr>
        <w:t>eportovací povinnost vůči koordinačnímu subjektu na úrovni ČR (plnění cílů, milníků a pokroku a dosažených cílech, údaje o vybraných indikátorech</w:t>
      </w:r>
      <w:r w:rsidR="002E2880" w:rsidRPr="00510362">
        <w:rPr>
          <w:rStyle w:val="normaltextrun"/>
          <w:rFonts w:ascii="Arial" w:hAnsi="Arial" w:cs="Arial"/>
          <w:sz w:val="22"/>
          <w:szCs w:val="22"/>
        </w:rPr>
        <w:t>; údaje nutné pro hodnocení rizik</w:t>
      </w:r>
      <w:r w:rsidR="002E2880" w:rsidRPr="00510362">
        <w:rPr>
          <w:rStyle w:val="eop"/>
          <w:rFonts w:ascii="Arial" w:hAnsi="Arial" w:cs="Arial"/>
          <w:sz w:val="22"/>
          <w:szCs w:val="22"/>
        </w:rPr>
        <w:t>; údaje potřebné pro sestavení souhrnné žádosti o platbu</w:t>
      </w:r>
      <w:r w:rsidR="00BD7C49" w:rsidRPr="00510362">
        <w:rPr>
          <w:rStyle w:val="eop"/>
          <w:rFonts w:ascii="Arial" w:hAnsi="Arial" w:cs="Arial"/>
          <w:sz w:val="22"/>
          <w:szCs w:val="22"/>
        </w:rPr>
        <w:t xml:space="preserve"> </w:t>
      </w:r>
      <w:r w:rsidR="4D71B2AB" w:rsidRPr="00510362">
        <w:rPr>
          <w:rStyle w:val="eop"/>
          <w:rFonts w:ascii="Arial" w:hAnsi="Arial" w:cs="Arial"/>
          <w:sz w:val="22"/>
          <w:szCs w:val="22"/>
        </w:rPr>
        <w:t xml:space="preserve">a výroční </w:t>
      </w:r>
      <w:r w:rsidR="00BD7C49" w:rsidRPr="00510362">
        <w:rPr>
          <w:rStyle w:val="eop"/>
          <w:rFonts w:ascii="Arial" w:hAnsi="Arial" w:cs="Arial"/>
          <w:sz w:val="22"/>
          <w:szCs w:val="22"/>
        </w:rPr>
        <w:t>zprávy</w:t>
      </w:r>
      <w:r w:rsidR="002E2880" w:rsidRPr="00510362">
        <w:rPr>
          <w:rStyle w:val="eop"/>
          <w:rFonts w:ascii="Arial" w:hAnsi="Arial" w:cs="Arial"/>
          <w:sz w:val="22"/>
          <w:szCs w:val="22"/>
        </w:rPr>
        <w:t>; ú</w:t>
      </w:r>
      <w:r w:rsidR="002E2880" w:rsidRPr="00510362">
        <w:rPr>
          <w:rStyle w:val="normaltextrun"/>
          <w:rFonts w:ascii="Arial" w:hAnsi="Arial" w:cs="Arial"/>
          <w:sz w:val="22"/>
          <w:szCs w:val="22"/>
        </w:rPr>
        <w:t>daje prokazující zamezení střetu zájmů;</w:t>
      </w:r>
      <w:r w:rsidR="002E2880" w:rsidRPr="00510362">
        <w:rPr>
          <w:rStyle w:val="eop"/>
          <w:rFonts w:ascii="Arial" w:hAnsi="Arial" w:cs="Arial"/>
          <w:sz w:val="22"/>
          <w:szCs w:val="22"/>
        </w:rPr>
        <w:t> ú</w:t>
      </w:r>
      <w:r w:rsidR="002E2880" w:rsidRPr="00510362">
        <w:rPr>
          <w:rStyle w:val="normaltextrun"/>
          <w:rFonts w:ascii="Arial" w:hAnsi="Arial" w:cs="Arial"/>
          <w:sz w:val="22"/>
          <w:szCs w:val="22"/>
        </w:rPr>
        <w:t>daje o zamezení dvojího financování;</w:t>
      </w:r>
      <w:r w:rsidR="002E2880" w:rsidRPr="00510362">
        <w:rPr>
          <w:rStyle w:val="eop"/>
          <w:rFonts w:ascii="Arial" w:hAnsi="Arial" w:cs="Arial"/>
          <w:sz w:val="22"/>
          <w:szCs w:val="22"/>
        </w:rPr>
        <w:t> ú</w:t>
      </w:r>
      <w:r w:rsidR="002E2880" w:rsidRPr="00510362">
        <w:rPr>
          <w:rStyle w:val="normaltextrun"/>
          <w:rFonts w:ascii="Arial" w:hAnsi="Arial" w:cs="Arial"/>
          <w:sz w:val="22"/>
          <w:szCs w:val="22"/>
        </w:rPr>
        <w:t>daje o předcházení podvodům, korupci a jiným trestným činnostem; </w:t>
      </w:r>
      <w:r w:rsidR="002E2880" w:rsidRPr="00510362">
        <w:rPr>
          <w:rStyle w:val="eop"/>
          <w:rFonts w:ascii="Arial" w:hAnsi="Arial" w:cs="Arial"/>
          <w:sz w:val="22"/>
          <w:szCs w:val="22"/>
        </w:rPr>
        <w:t>plán kontrol a auditů v oblasti implementace Národního plánu obnovy;</w:t>
      </w:r>
    </w:p>
    <w:p w:rsidR="002E2880" w:rsidRPr="00510362" w:rsidRDefault="002E2880" w:rsidP="008E2FF6">
      <w:pPr>
        <w:pStyle w:val="Odstavecseseznamem"/>
        <w:numPr>
          <w:ilvl w:val="0"/>
          <w:numId w:val="13"/>
        </w:numPr>
        <w:spacing w:line="276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Kontrolní a auditní povinnosti spojené s implementací Nástroje pro oživení a odolnost. Odpovědnost za implementaci u vlastníka komponenty je spojena také s povinností vykovávat kontrolní, auditní a dohledové činnosti s tím spojené, aby vlastník komponenty mohl deklarovat správnost využití finančních prostředků</w:t>
      </w:r>
      <w:r w:rsidR="00643FF1" w:rsidRPr="00510362">
        <w:rPr>
          <w:rStyle w:val="normaltextrun"/>
          <w:rFonts w:ascii="Arial" w:hAnsi="Arial" w:cs="Arial"/>
          <w:sz w:val="22"/>
          <w:szCs w:val="22"/>
        </w:rPr>
        <w:t xml:space="preserve"> jak na úrovni své implementace, tak na úrovni konečného příjemce</w:t>
      </w:r>
      <w:r w:rsidRPr="00510362">
        <w:rPr>
          <w:rStyle w:val="normaltextrun"/>
          <w:rFonts w:ascii="Arial" w:hAnsi="Arial" w:cs="Arial"/>
          <w:sz w:val="22"/>
          <w:szCs w:val="22"/>
        </w:rPr>
        <w:t>;</w:t>
      </w:r>
    </w:p>
    <w:p w:rsidR="002E2880" w:rsidRPr="00510362" w:rsidRDefault="002E2880" w:rsidP="2EC498B6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cstheme="minorBidi"/>
        </w:rPr>
      </w:pPr>
      <w:r w:rsidRPr="00510362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Odpovědnost za fakt, že finanční p</w:t>
      </w:r>
      <w:r w:rsidRPr="00510362">
        <w:rPr>
          <w:rFonts w:asciiTheme="minorHAnsi" w:hAnsiTheme="minorHAnsi" w:cstheme="minorBidi"/>
          <w:sz w:val="22"/>
          <w:szCs w:val="22"/>
        </w:rPr>
        <w:t>rostředky byly použity k zamýšlenému účelu, jak je definováno v konkrétním ustanovení dohody mezi členskými státy a Evropskou komisí</w:t>
      </w:r>
      <w:r w:rsidR="00A935C8" w:rsidRPr="00510362">
        <w:rPr>
          <w:rFonts w:asciiTheme="minorHAnsi" w:hAnsiTheme="minorHAnsi" w:cstheme="minorBidi"/>
          <w:sz w:val="22"/>
          <w:szCs w:val="22"/>
        </w:rPr>
        <w:t xml:space="preserve">. </w:t>
      </w:r>
      <w:r w:rsidR="00A935C8" w:rsidRPr="00510362">
        <w:rPr>
          <w:rFonts w:ascii="Arial" w:hAnsi="Arial" w:cs="Arial"/>
          <w:sz w:val="22"/>
          <w:szCs w:val="22"/>
        </w:rPr>
        <w:t>Zavedené kontrolní systémy poskytují nezbytnou záruku, že s prostředky bylo nakládáno v souladu s ustanoveními dohody, konkrétněji s respektováním zásady řádného finančního řízení a nedocházelo k žádným porušením, pokud jde o podvody, korupci nebo střet zájmů;</w:t>
      </w:r>
    </w:p>
    <w:p w:rsidR="002E2880" w:rsidRPr="00510362" w:rsidRDefault="1152FB12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>Odpovědnost za předložené i</w:t>
      </w:r>
      <w:r w:rsidR="002E2880" w:rsidRPr="00510362">
        <w:rPr>
          <w:rFonts w:ascii="Arial" w:hAnsi="Arial" w:cs="Arial"/>
          <w:sz w:val="22"/>
          <w:szCs w:val="22"/>
        </w:rPr>
        <w:t>nformace o výkonnosti podle dohody mezi E</w:t>
      </w:r>
      <w:r w:rsidR="00A935C8" w:rsidRPr="00510362">
        <w:rPr>
          <w:rFonts w:ascii="Arial" w:hAnsi="Arial" w:cs="Arial"/>
          <w:sz w:val="22"/>
          <w:szCs w:val="22"/>
        </w:rPr>
        <w:t xml:space="preserve">vropskou komisí a ČR </w:t>
      </w:r>
      <w:r w:rsidR="002E2880" w:rsidRPr="00510362">
        <w:rPr>
          <w:rFonts w:ascii="Arial" w:hAnsi="Arial" w:cs="Arial"/>
          <w:sz w:val="22"/>
          <w:szCs w:val="22"/>
        </w:rPr>
        <w:t xml:space="preserve">za dané období </w:t>
      </w:r>
      <w:r w:rsidR="32008879" w:rsidRPr="00510362">
        <w:rPr>
          <w:rFonts w:ascii="Arial" w:hAnsi="Arial" w:cs="Arial"/>
          <w:sz w:val="22"/>
          <w:szCs w:val="22"/>
        </w:rPr>
        <w:t>(</w:t>
      </w:r>
      <w:r w:rsidR="79C239AB" w:rsidRPr="00510362">
        <w:rPr>
          <w:rFonts w:ascii="Arial" w:hAnsi="Arial" w:cs="Arial"/>
          <w:sz w:val="22"/>
          <w:szCs w:val="22"/>
        </w:rPr>
        <w:t>za úplnost,</w:t>
      </w:r>
      <w:r w:rsidR="002E2880" w:rsidRPr="00510362">
        <w:rPr>
          <w:rFonts w:ascii="Arial" w:hAnsi="Arial" w:cs="Arial"/>
          <w:sz w:val="22"/>
          <w:szCs w:val="22"/>
        </w:rPr>
        <w:t xml:space="preserve"> přesn</w:t>
      </w:r>
      <w:r w:rsidR="276DC892" w:rsidRPr="00510362">
        <w:rPr>
          <w:rFonts w:ascii="Arial" w:hAnsi="Arial" w:cs="Arial"/>
          <w:sz w:val="22"/>
          <w:szCs w:val="22"/>
        </w:rPr>
        <w:t>ost</w:t>
      </w:r>
      <w:r w:rsidR="002E2880" w:rsidRPr="00510362">
        <w:rPr>
          <w:rFonts w:ascii="Arial" w:hAnsi="Arial" w:cs="Arial"/>
          <w:sz w:val="22"/>
          <w:szCs w:val="22"/>
        </w:rPr>
        <w:t xml:space="preserve"> a spolehliv</w:t>
      </w:r>
      <w:r w:rsidR="15867114" w:rsidRPr="00510362">
        <w:rPr>
          <w:rFonts w:ascii="Arial" w:hAnsi="Arial" w:cs="Arial"/>
          <w:sz w:val="22"/>
          <w:szCs w:val="22"/>
        </w:rPr>
        <w:t>ost</w:t>
      </w:r>
      <w:r w:rsidR="002E2880" w:rsidRPr="00510362">
        <w:rPr>
          <w:rFonts w:ascii="Arial" w:hAnsi="Arial" w:cs="Arial"/>
          <w:sz w:val="22"/>
          <w:szCs w:val="22"/>
        </w:rPr>
        <w:t>; prokaz</w:t>
      </w:r>
      <w:r w:rsidR="1A6FC713" w:rsidRPr="00510362">
        <w:rPr>
          <w:rFonts w:ascii="Arial" w:hAnsi="Arial" w:cs="Arial"/>
          <w:sz w:val="22"/>
          <w:szCs w:val="22"/>
        </w:rPr>
        <w:t>atelnost</w:t>
      </w:r>
      <w:r w:rsidR="002E2880" w:rsidRPr="00510362">
        <w:rPr>
          <w:rFonts w:ascii="Arial" w:hAnsi="Arial" w:cs="Arial"/>
          <w:sz w:val="22"/>
          <w:szCs w:val="22"/>
        </w:rPr>
        <w:t>, že příslušných milníků nebo cílů bylo dosaženo</w:t>
      </w:r>
      <w:r w:rsidR="64EAE7A0" w:rsidRPr="00510362">
        <w:rPr>
          <w:rFonts w:ascii="Arial" w:hAnsi="Arial" w:cs="Arial"/>
          <w:sz w:val="22"/>
          <w:szCs w:val="22"/>
        </w:rPr>
        <w:t>);</w:t>
      </w:r>
    </w:p>
    <w:p w:rsidR="002E2880" w:rsidRPr="00510362" w:rsidRDefault="002E2880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 xml:space="preserve">Prokázání plnění cílů a milníků bude podpořeno posudky nezávislých odborníků, které si </w:t>
      </w:r>
      <w:r w:rsidR="70B3A6C4" w:rsidRPr="00510362">
        <w:rPr>
          <w:rFonts w:ascii="Arial" w:hAnsi="Arial" w:cs="Arial"/>
          <w:sz w:val="22"/>
          <w:szCs w:val="22"/>
        </w:rPr>
        <w:t xml:space="preserve">vlastník komponenty </w:t>
      </w:r>
      <w:r w:rsidR="00A87EF1" w:rsidRPr="00510362">
        <w:rPr>
          <w:rFonts w:ascii="Arial" w:hAnsi="Arial" w:cs="Arial"/>
          <w:sz w:val="22"/>
          <w:szCs w:val="22"/>
        </w:rPr>
        <w:t>pro tyto účely bude zajišťovat;</w:t>
      </w:r>
      <w:r w:rsidRPr="00510362">
        <w:rPr>
          <w:rFonts w:ascii="Arial" w:hAnsi="Arial" w:cs="Arial"/>
          <w:sz w:val="22"/>
          <w:szCs w:val="22"/>
        </w:rPr>
        <w:t xml:space="preserve"> </w:t>
      </w:r>
    </w:p>
    <w:p w:rsidR="002E2880" w:rsidRPr="00510362" w:rsidRDefault="002E2880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 xml:space="preserve">Činnosti prováděné za účelem dosažení milníků a cílů v rámci </w:t>
      </w:r>
      <w:r w:rsidR="00BA43CC" w:rsidRPr="00510362">
        <w:rPr>
          <w:rFonts w:ascii="Arial" w:hAnsi="Arial" w:cs="Arial"/>
          <w:sz w:val="22"/>
          <w:szCs w:val="22"/>
        </w:rPr>
        <w:t>Nástroje pro oživení a odolnosti</w:t>
      </w:r>
      <w:r w:rsidRPr="00510362">
        <w:rPr>
          <w:rFonts w:ascii="Arial" w:hAnsi="Arial" w:cs="Arial"/>
          <w:sz w:val="22"/>
          <w:szCs w:val="22"/>
        </w:rPr>
        <w:t xml:space="preserve"> v žádosti o platbu nebo žádosti o finanční prostředky nejsou financovány žádným jiným programem ani nástrojem </w:t>
      </w:r>
      <w:r w:rsidR="00A935C8" w:rsidRPr="00510362">
        <w:rPr>
          <w:rFonts w:ascii="Arial" w:hAnsi="Arial" w:cs="Arial"/>
          <w:sz w:val="22"/>
          <w:szCs w:val="22"/>
        </w:rPr>
        <w:t>Evropské unie</w:t>
      </w:r>
      <w:r w:rsidR="73C820E6" w:rsidRPr="00510362">
        <w:rPr>
          <w:rFonts w:ascii="Arial" w:hAnsi="Arial" w:cs="Arial"/>
          <w:sz w:val="22"/>
          <w:szCs w:val="22"/>
        </w:rPr>
        <w:t>;</w:t>
      </w:r>
    </w:p>
    <w:p w:rsidR="002E2880" w:rsidRPr="00510362" w:rsidRDefault="005F613E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>Potvrzení, že n</w:t>
      </w:r>
      <w:r w:rsidR="002E2880" w:rsidRPr="00510362">
        <w:rPr>
          <w:rFonts w:ascii="Arial" w:hAnsi="Arial" w:cs="Arial"/>
          <w:sz w:val="22"/>
          <w:szCs w:val="22"/>
        </w:rPr>
        <w:t xml:space="preserve">ejsou známy žádné nezveřejněné záležitosti, které by mohly poškodit zájmy </w:t>
      </w:r>
      <w:r w:rsidR="00A935C8" w:rsidRPr="00510362">
        <w:rPr>
          <w:rFonts w:ascii="Arial" w:hAnsi="Arial" w:cs="Arial"/>
          <w:sz w:val="22"/>
          <w:szCs w:val="22"/>
        </w:rPr>
        <w:t>Evropské unie</w:t>
      </w:r>
      <w:r w:rsidR="6CD50D2C" w:rsidRPr="00510362">
        <w:rPr>
          <w:rFonts w:ascii="Arial" w:hAnsi="Arial" w:cs="Arial"/>
          <w:sz w:val="22"/>
          <w:szCs w:val="22"/>
        </w:rPr>
        <w:t>;</w:t>
      </w:r>
    </w:p>
    <w:p w:rsidR="002E2880" w:rsidRPr="00510362" w:rsidRDefault="005F613E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>Odpovědnost v</w:t>
      </w:r>
      <w:r w:rsidR="002E2880" w:rsidRPr="00510362">
        <w:rPr>
          <w:rFonts w:ascii="Arial" w:hAnsi="Arial" w:cs="Arial"/>
          <w:sz w:val="22"/>
          <w:szCs w:val="22"/>
        </w:rPr>
        <w:t>lastní</w:t>
      </w:r>
      <w:r w:rsidRPr="00510362">
        <w:rPr>
          <w:rFonts w:ascii="Arial" w:hAnsi="Arial" w:cs="Arial"/>
          <w:sz w:val="22"/>
          <w:szCs w:val="22"/>
        </w:rPr>
        <w:t>ků</w:t>
      </w:r>
      <w:r w:rsidR="002E2880" w:rsidRPr="00510362">
        <w:rPr>
          <w:rFonts w:ascii="Arial" w:hAnsi="Arial" w:cs="Arial"/>
          <w:sz w:val="22"/>
          <w:szCs w:val="22"/>
        </w:rPr>
        <w:t xml:space="preserve"> komponent </w:t>
      </w:r>
      <w:r w:rsidRPr="00510362">
        <w:rPr>
          <w:rFonts w:ascii="Arial" w:hAnsi="Arial" w:cs="Arial"/>
          <w:sz w:val="22"/>
          <w:szCs w:val="22"/>
        </w:rPr>
        <w:t xml:space="preserve">za </w:t>
      </w:r>
      <w:r w:rsidR="002E2880" w:rsidRPr="00510362">
        <w:rPr>
          <w:rFonts w:ascii="Arial" w:hAnsi="Arial" w:cs="Arial"/>
          <w:sz w:val="22"/>
          <w:szCs w:val="22"/>
        </w:rPr>
        <w:t>provádě</w:t>
      </w:r>
      <w:r w:rsidRPr="00510362">
        <w:rPr>
          <w:rFonts w:ascii="Arial" w:hAnsi="Arial" w:cs="Arial"/>
          <w:sz w:val="22"/>
          <w:szCs w:val="22"/>
        </w:rPr>
        <w:t>ní všech</w:t>
      </w:r>
      <w:r w:rsidR="002E2880" w:rsidRPr="00510362">
        <w:rPr>
          <w:rFonts w:ascii="Arial" w:hAnsi="Arial" w:cs="Arial"/>
          <w:sz w:val="22"/>
          <w:szCs w:val="22"/>
        </w:rPr>
        <w:t xml:space="preserve"> činnost</w:t>
      </w:r>
      <w:r w:rsidRPr="00510362">
        <w:rPr>
          <w:rFonts w:ascii="Arial" w:hAnsi="Arial" w:cs="Arial"/>
          <w:sz w:val="22"/>
          <w:szCs w:val="22"/>
        </w:rPr>
        <w:t>í</w:t>
      </w:r>
      <w:r w:rsidR="002E2880" w:rsidRPr="00510362">
        <w:rPr>
          <w:rFonts w:ascii="Arial" w:hAnsi="Arial" w:cs="Arial"/>
          <w:sz w:val="22"/>
          <w:szCs w:val="22"/>
        </w:rPr>
        <w:t xml:space="preserve"> v souladu s povinnostmi stanovenými v dohodě mezi ČR a </w:t>
      </w:r>
      <w:r w:rsidR="00A935C8" w:rsidRPr="00510362">
        <w:rPr>
          <w:rFonts w:ascii="Arial" w:hAnsi="Arial" w:cs="Arial"/>
          <w:sz w:val="22"/>
          <w:szCs w:val="22"/>
        </w:rPr>
        <w:t>Evropskou unií</w:t>
      </w:r>
      <w:r w:rsidRPr="00510362">
        <w:rPr>
          <w:rFonts w:ascii="Arial" w:hAnsi="Arial" w:cs="Arial"/>
          <w:sz w:val="22"/>
          <w:szCs w:val="22"/>
        </w:rPr>
        <w:t>,</w:t>
      </w:r>
      <w:r w:rsidR="002E2880" w:rsidRPr="00510362">
        <w:rPr>
          <w:rFonts w:ascii="Arial" w:hAnsi="Arial" w:cs="Arial"/>
          <w:sz w:val="22"/>
          <w:szCs w:val="22"/>
        </w:rPr>
        <w:t xml:space="preserve"> a </w:t>
      </w:r>
      <w:r w:rsidRPr="00510362">
        <w:rPr>
          <w:rFonts w:ascii="Arial" w:hAnsi="Arial" w:cs="Arial"/>
          <w:sz w:val="22"/>
          <w:szCs w:val="22"/>
        </w:rPr>
        <w:t xml:space="preserve">že </w:t>
      </w:r>
      <w:r w:rsidR="002E2880" w:rsidRPr="00510362">
        <w:rPr>
          <w:rFonts w:ascii="Arial" w:hAnsi="Arial" w:cs="Arial"/>
          <w:sz w:val="22"/>
          <w:szCs w:val="22"/>
        </w:rPr>
        <w:t>při těchto činnostech uplatňoval</w:t>
      </w:r>
      <w:r w:rsidR="7EBF539E" w:rsidRPr="00510362">
        <w:rPr>
          <w:rFonts w:ascii="Arial" w:hAnsi="Arial" w:cs="Arial"/>
          <w:sz w:val="22"/>
          <w:szCs w:val="22"/>
        </w:rPr>
        <w:t>i</w:t>
      </w:r>
      <w:r w:rsidR="002E2880" w:rsidRPr="00510362">
        <w:rPr>
          <w:rFonts w:ascii="Arial" w:hAnsi="Arial" w:cs="Arial"/>
          <w:sz w:val="22"/>
          <w:szCs w:val="22"/>
        </w:rPr>
        <w:t xml:space="preserve"> řádné vedení účetnictví, vnitřní kontroly, auditní systémy a postupy uvedené v dohodě mezi členským státem a </w:t>
      </w:r>
      <w:r w:rsidR="00A935C8" w:rsidRPr="00510362">
        <w:rPr>
          <w:rFonts w:ascii="Arial" w:hAnsi="Arial" w:cs="Arial"/>
          <w:sz w:val="22"/>
          <w:szCs w:val="22"/>
        </w:rPr>
        <w:t>Evropskou komisí</w:t>
      </w:r>
      <w:r w:rsidR="002E2880" w:rsidRPr="00510362">
        <w:rPr>
          <w:rFonts w:ascii="Arial" w:hAnsi="Arial" w:cs="Arial"/>
          <w:sz w:val="22"/>
          <w:szCs w:val="22"/>
        </w:rPr>
        <w:t xml:space="preserve">. Toto budou </w:t>
      </w:r>
      <w:r w:rsidR="00A935C8" w:rsidRPr="00510362">
        <w:rPr>
          <w:rFonts w:ascii="Arial" w:hAnsi="Arial" w:cs="Arial"/>
          <w:sz w:val="22"/>
          <w:szCs w:val="22"/>
        </w:rPr>
        <w:t>vlastníci komponent (resorty zapojené do Nástroje na oživení a odolnost)</w:t>
      </w:r>
      <w:r w:rsidR="002E2880" w:rsidRPr="00510362">
        <w:rPr>
          <w:rFonts w:ascii="Arial" w:hAnsi="Arial" w:cs="Arial"/>
          <w:sz w:val="22"/>
          <w:szCs w:val="22"/>
        </w:rPr>
        <w:t xml:space="preserve"> dokláda</w:t>
      </w:r>
      <w:r w:rsidR="00BA43CC" w:rsidRPr="00510362">
        <w:rPr>
          <w:rFonts w:ascii="Arial" w:hAnsi="Arial" w:cs="Arial"/>
          <w:sz w:val="22"/>
          <w:szCs w:val="22"/>
        </w:rPr>
        <w:t>t souhrn</w:t>
      </w:r>
      <w:r w:rsidR="6C0FC294" w:rsidRPr="00510362">
        <w:rPr>
          <w:rFonts w:ascii="Arial" w:hAnsi="Arial" w:cs="Arial"/>
          <w:sz w:val="22"/>
          <w:szCs w:val="22"/>
        </w:rPr>
        <w:t>em</w:t>
      </w:r>
      <w:r w:rsidR="00BA43CC" w:rsidRPr="00510362">
        <w:rPr>
          <w:rFonts w:ascii="Arial" w:hAnsi="Arial" w:cs="Arial"/>
          <w:sz w:val="22"/>
          <w:szCs w:val="22"/>
        </w:rPr>
        <w:t xml:space="preserve"> provedených auditů a </w:t>
      </w:r>
      <w:r w:rsidR="002E2880" w:rsidRPr="00510362">
        <w:rPr>
          <w:rFonts w:ascii="Arial" w:hAnsi="Arial" w:cs="Arial"/>
          <w:sz w:val="22"/>
          <w:szCs w:val="22"/>
        </w:rPr>
        <w:t>kontrol s analýzou zjištěných souvisejících nedostatků a přijatých nebo plánovaných nápravných opatření</w:t>
      </w:r>
      <w:r w:rsidR="5EB36BF3" w:rsidRPr="00510362">
        <w:rPr>
          <w:rFonts w:ascii="Arial" w:hAnsi="Arial" w:cs="Arial"/>
          <w:sz w:val="22"/>
          <w:szCs w:val="22"/>
        </w:rPr>
        <w:t>;</w:t>
      </w:r>
    </w:p>
    <w:p w:rsidR="002E2880" w:rsidRPr="00510362" w:rsidRDefault="002E2880" w:rsidP="008E2FF6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 xml:space="preserve">Jelikož informace doprovázející žádost o vyplacení prostředků vůči </w:t>
      </w:r>
      <w:r w:rsidR="00A935C8" w:rsidRPr="00510362">
        <w:rPr>
          <w:rFonts w:ascii="Arial" w:hAnsi="Arial" w:cs="Arial"/>
          <w:sz w:val="22"/>
          <w:szCs w:val="22"/>
        </w:rPr>
        <w:t>Evropské komisi</w:t>
      </w:r>
      <w:r w:rsidRPr="00510362">
        <w:rPr>
          <w:rFonts w:ascii="Arial" w:hAnsi="Arial" w:cs="Arial"/>
          <w:sz w:val="22"/>
          <w:szCs w:val="22"/>
        </w:rPr>
        <w:t xml:space="preserve"> obsahuje pouze údaje, které se nevztahují k jednotlivým aktivitám, musí </w:t>
      </w:r>
      <w:r w:rsidR="00BA43CC" w:rsidRPr="00510362">
        <w:rPr>
          <w:rFonts w:ascii="Arial" w:hAnsi="Arial" w:cs="Arial"/>
          <w:sz w:val="22"/>
          <w:szCs w:val="22"/>
        </w:rPr>
        <w:t>vlastníci komponent</w:t>
      </w:r>
      <w:r w:rsidRPr="00510362">
        <w:rPr>
          <w:rFonts w:ascii="Arial" w:hAnsi="Arial" w:cs="Arial"/>
          <w:sz w:val="22"/>
          <w:szCs w:val="22"/>
        </w:rPr>
        <w:t xml:space="preserve"> uchovávat </w:t>
      </w:r>
      <w:r w:rsidR="00BA43CC" w:rsidRPr="00510362">
        <w:rPr>
          <w:rFonts w:ascii="Arial" w:hAnsi="Arial" w:cs="Arial"/>
          <w:sz w:val="22"/>
          <w:szCs w:val="22"/>
        </w:rPr>
        <w:t>podrobnější informace (např. s</w:t>
      </w:r>
      <w:r w:rsidRPr="00510362">
        <w:rPr>
          <w:rFonts w:ascii="Arial" w:hAnsi="Arial" w:cs="Arial"/>
          <w:sz w:val="22"/>
          <w:szCs w:val="22"/>
        </w:rPr>
        <w:t>oupis konečných příjemců, dokumentace finančního řízení investic/reforem, na které se vztahují cíle/milníky v</w:t>
      </w:r>
      <w:r w:rsidR="00BA43CC" w:rsidRPr="00510362">
        <w:rPr>
          <w:rFonts w:ascii="Arial" w:hAnsi="Arial" w:cs="Arial"/>
          <w:sz w:val="22"/>
          <w:szCs w:val="22"/>
        </w:rPr>
        <w:t xml:space="preserve"> Národním plánu obnovy, </w:t>
      </w:r>
      <w:r w:rsidR="00BA43CC" w:rsidRPr="00510362">
        <w:rPr>
          <w:rFonts w:ascii="Arial" w:hAnsi="Arial" w:cs="Arial"/>
          <w:sz w:val="22"/>
          <w:szCs w:val="22"/>
        </w:rPr>
        <w:lastRenderedPageBreak/>
        <w:t>údaje o konečných příjemcích finančních prostředků a o svých aktivitách, údaje o zhotovitelích, dodavatelích a subdodavatelích, je-li konečným příjemcem veřejný zadavatel, údaje o skutečných majitelů ve smyslu čl. 3 bodu 6 směrnice 2015/849 příjemce finančních prostředků a zhotovitele, dodavatele či poskytovatele a další</w:t>
      </w:r>
      <w:r w:rsidRPr="00510362">
        <w:rPr>
          <w:rFonts w:ascii="Arial" w:hAnsi="Arial" w:cs="Arial"/>
          <w:sz w:val="22"/>
          <w:szCs w:val="22"/>
        </w:rPr>
        <w:t>) pro účely auditu</w:t>
      </w:r>
      <w:r w:rsidR="50C85C2A" w:rsidRPr="00510362">
        <w:rPr>
          <w:rFonts w:ascii="Arial" w:hAnsi="Arial" w:cs="Arial"/>
          <w:sz w:val="22"/>
          <w:szCs w:val="22"/>
        </w:rPr>
        <w:t>;</w:t>
      </w:r>
    </w:p>
    <w:p w:rsidR="00C9214B" w:rsidRPr="00510362" w:rsidRDefault="00BA43CC" w:rsidP="008E2FF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362">
        <w:rPr>
          <w:rFonts w:ascii="Arial" w:hAnsi="Arial" w:cs="Arial"/>
          <w:sz w:val="22"/>
          <w:szCs w:val="22"/>
        </w:rPr>
        <w:t xml:space="preserve">Zajistit a reportovat pro souhrnnou žádost o vyplacení finančních prostředků vůči </w:t>
      </w:r>
      <w:r w:rsidR="00A935C8" w:rsidRPr="00510362">
        <w:rPr>
          <w:rFonts w:ascii="Arial" w:hAnsi="Arial" w:cs="Arial"/>
          <w:sz w:val="22"/>
          <w:szCs w:val="22"/>
        </w:rPr>
        <w:t>Evropské komisi</w:t>
      </w:r>
      <w:r w:rsidRPr="00510362">
        <w:rPr>
          <w:rFonts w:ascii="Arial" w:hAnsi="Arial" w:cs="Arial"/>
          <w:sz w:val="22"/>
          <w:szCs w:val="22"/>
        </w:rPr>
        <w:t xml:space="preserve"> a</w:t>
      </w:r>
      <w:r w:rsidR="00C9214B" w:rsidRPr="00510362">
        <w:rPr>
          <w:rFonts w:ascii="Arial" w:hAnsi="Arial" w:cs="Arial"/>
          <w:sz w:val="22"/>
          <w:szCs w:val="22"/>
        </w:rPr>
        <w:t>ktuální souhrnnou výši svých skutečný</w:t>
      </w:r>
      <w:r w:rsidR="00A935C8" w:rsidRPr="00510362">
        <w:rPr>
          <w:rFonts w:ascii="Arial" w:hAnsi="Arial" w:cs="Arial"/>
          <w:sz w:val="22"/>
          <w:szCs w:val="22"/>
        </w:rPr>
        <w:t>ch rozpočtových výdajů opatření Národního plánu obnovy</w:t>
      </w:r>
      <w:r w:rsidR="00C9214B" w:rsidRPr="00510362">
        <w:rPr>
          <w:rFonts w:ascii="Arial" w:hAnsi="Arial" w:cs="Arial"/>
          <w:sz w:val="22"/>
          <w:szCs w:val="22"/>
        </w:rPr>
        <w:t>, které byly označeny jako klimaticky relevantní - tj. pozitivním (nenulovým) klimatickým koeficientem dle příslušné metodiky pro sledování klimatu</w:t>
      </w:r>
      <w:r w:rsidR="1A1E75C7" w:rsidRPr="00510362">
        <w:rPr>
          <w:rFonts w:ascii="Arial" w:hAnsi="Arial" w:cs="Arial"/>
          <w:sz w:val="22"/>
          <w:szCs w:val="22"/>
        </w:rPr>
        <w:t>;</w:t>
      </w:r>
    </w:p>
    <w:p w:rsidR="1A1E75C7" w:rsidRPr="00510362" w:rsidRDefault="1A1E75C7" w:rsidP="3801A5A4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10362">
        <w:rPr>
          <w:rFonts w:ascii="Arial" w:hAnsi="Arial" w:cs="Arial"/>
          <w:color w:val="000000" w:themeColor="text1"/>
          <w:sz w:val="22"/>
          <w:szCs w:val="22"/>
        </w:rPr>
        <w:t>Zajistit účast na zástupce vlastníka komponenty na řídícím výbo</w:t>
      </w:r>
      <w:r w:rsidR="5C375F80" w:rsidRPr="00510362">
        <w:rPr>
          <w:rFonts w:ascii="Arial" w:hAnsi="Arial" w:cs="Arial"/>
          <w:color w:val="000000" w:themeColor="text1"/>
          <w:sz w:val="22"/>
          <w:szCs w:val="22"/>
        </w:rPr>
        <w:t>ru Národního plánu obnovy</w:t>
      </w:r>
      <w:r w:rsidR="547C2F53" w:rsidRPr="00510362">
        <w:rPr>
          <w:rFonts w:ascii="Arial" w:hAnsi="Arial" w:cs="Arial"/>
          <w:color w:val="000000" w:themeColor="text1"/>
          <w:sz w:val="22"/>
          <w:szCs w:val="22"/>
        </w:rPr>
        <w:t>, který bude zřízen jako základní řídící orgán Národního plánu obnovy</w:t>
      </w:r>
      <w:r w:rsidR="5C375F80" w:rsidRPr="0051036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87EF1" w:rsidRPr="00510362" w:rsidRDefault="00A87EF1" w:rsidP="3801A5A4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10362">
        <w:rPr>
          <w:rFonts w:ascii="Arial" w:hAnsi="Arial" w:cs="Arial"/>
          <w:color w:val="000000" w:themeColor="text1"/>
          <w:sz w:val="22"/>
          <w:szCs w:val="22"/>
        </w:rPr>
        <w:t>Zajistit konání pracovních skupin, které budou odpovědné za předkládání vstupů řídícímu výboru Národního plánu obnovy.</w:t>
      </w:r>
    </w:p>
    <w:p w:rsidR="00C9214B" w:rsidRPr="00510362" w:rsidRDefault="00C9214B" w:rsidP="2EC498B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BA43CC" w:rsidRPr="00510362" w:rsidRDefault="00BA43CC" w:rsidP="2EC498B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A43CC" w:rsidRPr="00510362" w:rsidRDefault="00A935C8" w:rsidP="2EC498B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eop"/>
          <w:rFonts w:ascii="Arial" w:hAnsi="Arial" w:cs="Arial"/>
          <w:sz w:val="22"/>
          <w:szCs w:val="22"/>
        </w:rPr>
        <w:t>Mezi p</w:t>
      </w:r>
      <w:r w:rsidR="00BA43CC" w:rsidRPr="00510362">
        <w:rPr>
          <w:rStyle w:val="eop"/>
          <w:rFonts w:ascii="Arial" w:hAnsi="Arial" w:cs="Arial"/>
          <w:sz w:val="22"/>
          <w:szCs w:val="22"/>
        </w:rPr>
        <w:t>ovinnosti a odpovědnosti koordinačního jednotky na Ministerstvu průmyslu a obchodu</w:t>
      </w:r>
      <w:r w:rsidRPr="00510362">
        <w:rPr>
          <w:rStyle w:val="eop"/>
          <w:rFonts w:ascii="Arial" w:hAnsi="Arial" w:cs="Arial"/>
          <w:sz w:val="22"/>
          <w:szCs w:val="22"/>
        </w:rPr>
        <w:t xml:space="preserve"> patří</w:t>
      </w:r>
      <w:r w:rsidR="008E2FF6" w:rsidRPr="00510362">
        <w:rPr>
          <w:rStyle w:val="eop"/>
          <w:rFonts w:ascii="Arial" w:hAnsi="Arial" w:cs="Arial"/>
          <w:sz w:val="22"/>
          <w:szCs w:val="22"/>
        </w:rPr>
        <w:t xml:space="preserve"> zejména</w:t>
      </w:r>
      <w:r w:rsidR="00643FF1" w:rsidRPr="00510362">
        <w:rPr>
          <w:rStyle w:val="eop"/>
          <w:rFonts w:ascii="Arial" w:hAnsi="Arial" w:cs="Arial"/>
          <w:sz w:val="22"/>
          <w:szCs w:val="22"/>
        </w:rPr>
        <w:t>:</w:t>
      </w:r>
    </w:p>
    <w:p w:rsidR="00643FF1" w:rsidRPr="00510362" w:rsidRDefault="00643FF1" w:rsidP="2EC498B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S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 xml:space="preserve">běr dat od </w:t>
      </w:r>
      <w:r w:rsidRPr="00510362">
        <w:rPr>
          <w:rStyle w:val="normaltextrun"/>
          <w:rFonts w:ascii="Arial" w:hAnsi="Arial" w:cs="Arial"/>
          <w:sz w:val="22"/>
          <w:szCs w:val="22"/>
        </w:rPr>
        <w:t>vlastníků komponent (jednotlivých resortů)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, jejich monitorování a vyhodnocování zejména v oblasti stanovených milníků/cílů a indikátorů;</w:t>
      </w:r>
      <w:r w:rsidR="00BA43CC" w:rsidRPr="00510362">
        <w:rPr>
          <w:rStyle w:val="eop"/>
          <w:rFonts w:ascii="Arial" w:hAnsi="Arial" w:cs="Arial"/>
          <w:sz w:val="22"/>
          <w:szCs w:val="22"/>
        </w:rPr>
        <w:t> </w:t>
      </w:r>
    </w:p>
    <w:p w:rsidR="008A2773" w:rsidRPr="00510362" w:rsidRDefault="008A2773" w:rsidP="2EC498B6">
      <w:pPr>
        <w:pStyle w:val="paragraph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 xml:space="preserve">Kompletace podkladů od jednotlivých resortů a předkládání souhrnné žádosti o vyplacení finančních prostředků </w:t>
      </w:r>
      <w:r w:rsidRPr="00510362">
        <w:rPr>
          <w:rStyle w:val="eop"/>
          <w:rFonts w:ascii="Arial" w:hAnsi="Arial" w:cs="Arial"/>
          <w:sz w:val="22"/>
          <w:szCs w:val="22"/>
        </w:rPr>
        <w:t>včetně všech povinných příloh EK</w:t>
      </w:r>
      <w:r w:rsidR="00643FF1" w:rsidRPr="00510362">
        <w:rPr>
          <w:rStyle w:val="eop"/>
          <w:rFonts w:ascii="Arial" w:hAnsi="Arial" w:cs="Arial"/>
          <w:sz w:val="22"/>
          <w:szCs w:val="22"/>
        </w:rPr>
        <w:t>;</w:t>
      </w:r>
      <w:r w:rsidRPr="00510362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8A2773" w:rsidRPr="00510362" w:rsidRDefault="008A2773" w:rsidP="2EC498B6">
      <w:pPr>
        <w:pStyle w:val="paragraph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eop"/>
          <w:rFonts w:ascii="Arial" w:hAnsi="Arial" w:cs="Arial"/>
          <w:sz w:val="22"/>
          <w:szCs w:val="22"/>
        </w:rPr>
        <w:t>Koordinace související s přípravou implementace Nástroje pro oživení a odolnost na jednotlivých resortech</w:t>
      </w:r>
      <w:r w:rsidR="00643FF1" w:rsidRPr="00510362">
        <w:rPr>
          <w:rStyle w:val="eop"/>
          <w:rFonts w:ascii="Arial" w:hAnsi="Arial" w:cs="Arial"/>
          <w:sz w:val="22"/>
          <w:szCs w:val="22"/>
        </w:rPr>
        <w:t>;</w:t>
      </w:r>
    </w:p>
    <w:p w:rsidR="008A2773" w:rsidRPr="00510362" w:rsidRDefault="008A2773" w:rsidP="2EC498B6">
      <w:pPr>
        <w:pStyle w:val="paragraph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eop"/>
          <w:rFonts w:ascii="Arial" w:hAnsi="Arial" w:cs="Arial"/>
          <w:sz w:val="22"/>
          <w:szCs w:val="22"/>
        </w:rPr>
        <w:lastRenderedPageBreak/>
        <w:t xml:space="preserve">Zajistit přípravu prohlášení, </w:t>
      </w:r>
      <w:r w:rsidR="00A87EF1" w:rsidRPr="00510362">
        <w:rPr>
          <w:rStyle w:val="eop"/>
          <w:rFonts w:ascii="Arial" w:hAnsi="Arial" w:cs="Arial"/>
          <w:sz w:val="22"/>
          <w:szCs w:val="22"/>
        </w:rPr>
        <w:t xml:space="preserve">souhrn </w:t>
      </w:r>
      <w:r w:rsidRPr="00510362">
        <w:rPr>
          <w:rStyle w:val="eop"/>
          <w:rFonts w:ascii="Arial" w:hAnsi="Arial" w:cs="Arial"/>
          <w:sz w:val="22"/>
          <w:szCs w:val="22"/>
        </w:rPr>
        <w:t xml:space="preserve">zpráv z auditů aj., jež </w:t>
      </w:r>
      <w:r w:rsidR="00643FF1" w:rsidRPr="00510362">
        <w:rPr>
          <w:rStyle w:val="eop"/>
          <w:rFonts w:ascii="Arial" w:hAnsi="Arial" w:cs="Arial"/>
          <w:sz w:val="22"/>
          <w:szCs w:val="22"/>
        </w:rPr>
        <w:t xml:space="preserve">jsou </w:t>
      </w:r>
      <w:r w:rsidRPr="00510362">
        <w:rPr>
          <w:rStyle w:val="eop"/>
          <w:rFonts w:ascii="Arial" w:hAnsi="Arial" w:cs="Arial"/>
          <w:sz w:val="22"/>
          <w:szCs w:val="22"/>
        </w:rPr>
        <w:t>předávány spolu s žádostí o výplatu finančních prostředků;</w:t>
      </w: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P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říprav</w:t>
      </w:r>
      <w:r w:rsidRPr="00510362">
        <w:rPr>
          <w:rStyle w:val="normaltextrun"/>
          <w:rFonts w:ascii="Arial" w:hAnsi="Arial" w:cs="Arial"/>
          <w:sz w:val="22"/>
          <w:szCs w:val="22"/>
        </w:rPr>
        <w:t>a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10362">
        <w:rPr>
          <w:rStyle w:val="normaltextrun"/>
          <w:rFonts w:ascii="Arial" w:hAnsi="Arial" w:cs="Arial"/>
          <w:sz w:val="22"/>
          <w:szCs w:val="22"/>
        </w:rPr>
        <w:t xml:space="preserve">a vypracování 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zpráv dle požadavků Evropské komise;</w:t>
      </w:r>
      <w:r w:rsidR="00BA43CC" w:rsidRPr="00510362">
        <w:rPr>
          <w:rStyle w:val="eop"/>
          <w:rFonts w:ascii="Arial" w:hAnsi="Arial" w:cs="Arial"/>
          <w:sz w:val="22"/>
          <w:szCs w:val="22"/>
        </w:rPr>
        <w:t> </w:t>
      </w:r>
    </w:p>
    <w:p w:rsidR="00BA43CC" w:rsidRPr="00510362" w:rsidRDefault="00A935C8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0362">
        <w:rPr>
          <w:rStyle w:val="eop"/>
          <w:rFonts w:ascii="Arial" w:hAnsi="Arial" w:cs="Arial"/>
          <w:sz w:val="22"/>
          <w:szCs w:val="22"/>
        </w:rPr>
        <w:t>Zajistit koordinaci</w:t>
      </w:r>
      <w:r w:rsidR="00BA43CC" w:rsidRPr="00510362">
        <w:rPr>
          <w:rStyle w:val="eop"/>
          <w:rFonts w:ascii="Arial" w:hAnsi="Arial" w:cs="Arial"/>
          <w:sz w:val="22"/>
          <w:szCs w:val="22"/>
        </w:rPr>
        <w:t xml:space="preserve"> publicity na úrovni členského státu;</w:t>
      </w: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Zpracování celkové výroční zprávy o fungování Národního plánu obnovy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;</w:t>
      </w:r>
      <w:r w:rsidR="00BA43CC" w:rsidRPr="00510362">
        <w:rPr>
          <w:rStyle w:val="eop"/>
          <w:rFonts w:ascii="Arial" w:hAnsi="Arial" w:cs="Arial"/>
          <w:sz w:val="22"/>
          <w:szCs w:val="22"/>
        </w:rPr>
        <w:t> </w:t>
      </w: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K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omunikaci s</w:t>
      </w:r>
      <w:r w:rsidRPr="00510362">
        <w:rPr>
          <w:rStyle w:val="normaltextrun"/>
          <w:rFonts w:ascii="Arial" w:hAnsi="Arial" w:cs="Arial"/>
          <w:sz w:val="22"/>
          <w:szCs w:val="22"/>
        </w:rPr>
        <w:t> Evropskou komisí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 xml:space="preserve"> k</w:t>
      </w:r>
      <w:r w:rsidRPr="00510362">
        <w:rPr>
          <w:rStyle w:val="normaltextrun"/>
          <w:rFonts w:ascii="Arial" w:hAnsi="Arial" w:cs="Arial"/>
          <w:sz w:val="22"/>
          <w:szCs w:val="22"/>
        </w:rPr>
        <w:t xml:space="preserve"> obecné národní 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implementaci;</w:t>
      </w:r>
      <w:r w:rsidR="00BA43CC" w:rsidRPr="00510362">
        <w:rPr>
          <w:rStyle w:val="eop"/>
          <w:rFonts w:ascii="Arial" w:hAnsi="Arial" w:cs="Arial"/>
          <w:sz w:val="22"/>
          <w:szCs w:val="22"/>
        </w:rPr>
        <w:t> </w:t>
      </w: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10362">
        <w:rPr>
          <w:rStyle w:val="eop"/>
          <w:rFonts w:ascii="Arial" w:hAnsi="Arial" w:cs="Arial"/>
          <w:sz w:val="22"/>
          <w:szCs w:val="22"/>
        </w:rPr>
        <w:t>Z</w:t>
      </w:r>
      <w:r w:rsidR="00BA43CC" w:rsidRPr="00510362">
        <w:rPr>
          <w:rStyle w:val="eop"/>
          <w:rFonts w:ascii="Arial" w:hAnsi="Arial" w:cs="Arial"/>
          <w:sz w:val="22"/>
          <w:szCs w:val="22"/>
        </w:rPr>
        <w:t xml:space="preserve">ajištění činností řídícího výboru </w:t>
      </w:r>
      <w:r w:rsidRPr="00510362">
        <w:rPr>
          <w:rStyle w:val="eop"/>
          <w:rFonts w:ascii="Arial" w:hAnsi="Arial" w:cs="Arial"/>
          <w:sz w:val="22"/>
          <w:szCs w:val="22"/>
        </w:rPr>
        <w:t>Národního plánu obnovy</w:t>
      </w:r>
      <w:r w:rsidR="2390BF11" w:rsidRPr="00510362">
        <w:rPr>
          <w:rStyle w:val="eop"/>
          <w:rFonts w:ascii="Arial" w:hAnsi="Arial" w:cs="Arial"/>
          <w:sz w:val="22"/>
          <w:szCs w:val="22"/>
        </w:rPr>
        <w:t>;</w:t>
      </w:r>
    </w:p>
    <w:p w:rsidR="00BA43CC" w:rsidRPr="00510362" w:rsidRDefault="008A2773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P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ořádání pracovních skupin (metodika, koordinace, souhrnné činnosti na úrovni odboru);</w:t>
      </w:r>
      <w:r w:rsidR="00BA43CC" w:rsidRPr="00510362">
        <w:rPr>
          <w:rStyle w:val="eop"/>
          <w:rFonts w:ascii="Arial" w:hAnsi="Arial" w:cs="Arial"/>
          <w:sz w:val="22"/>
          <w:szCs w:val="22"/>
        </w:rPr>
        <w:t> </w:t>
      </w:r>
    </w:p>
    <w:p w:rsidR="00BA43CC" w:rsidRPr="00510362" w:rsidRDefault="00A935C8" w:rsidP="2EC498B6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>Zajistit m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>etodick</w:t>
      </w:r>
      <w:r w:rsidRPr="00510362">
        <w:rPr>
          <w:rStyle w:val="normaltextrun"/>
          <w:rFonts w:ascii="Arial" w:hAnsi="Arial" w:cs="Arial"/>
          <w:sz w:val="22"/>
          <w:szCs w:val="22"/>
        </w:rPr>
        <w:t>ou</w:t>
      </w:r>
      <w:r w:rsidR="00BA43CC" w:rsidRPr="00510362">
        <w:rPr>
          <w:rStyle w:val="normaltextrun"/>
          <w:rFonts w:ascii="Arial" w:hAnsi="Arial" w:cs="Arial"/>
          <w:sz w:val="22"/>
          <w:szCs w:val="22"/>
        </w:rPr>
        <w:t xml:space="preserve"> podpor</w:t>
      </w:r>
      <w:r w:rsidRPr="00510362">
        <w:rPr>
          <w:rStyle w:val="normaltextrun"/>
          <w:rFonts w:ascii="Arial" w:hAnsi="Arial" w:cs="Arial"/>
          <w:sz w:val="22"/>
          <w:szCs w:val="22"/>
        </w:rPr>
        <w:t>u</w:t>
      </w:r>
      <w:r w:rsidR="008A2773" w:rsidRPr="00510362">
        <w:rPr>
          <w:rStyle w:val="normaltextrun"/>
          <w:rFonts w:ascii="Arial" w:hAnsi="Arial" w:cs="Arial"/>
          <w:sz w:val="22"/>
          <w:szCs w:val="22"/>
        </w:rPr>
        <w:t xml:space="preserve"> vlastníků komponent v obecném rámci </w:t>
      </w:r>
      <w:r w:rsidR="008E2FF6" w:rsidRPr="00510362">
        <w:rPr>
          <w:rStyle w:val="normaltextrun"/>
          <w:rFonts w:ascii="Arial" w:hAnsi="Arial" w:cs="Arial"/>
          <w:sz w:val="22"/>
          <w:szCs w:val="22"/>
        </w:rPr>
        <w:t>Nástroje pro oživení a odolnost;</w:t>
      </w:r>
    </w:p>
    <w:p w:rsidR="00BA43CC" w:rsidRPr="00510362" w:rsidRDefault="008A2773" w:rsidP="008C56F4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10362">
        <w:rPr>
          <w:rStyle w:val="normaltextrun"/>
          <w:rFonts w:ascii="Arial" w:hAnsi="Arial" w:cs="Arial"/>
          <w:sz w:val="22"/>
          <w:szCs w:val="22"/>
        </w:rPr>
        <w:t xml:space="preserve">Auditní a dohledová činnost nad </w:t>
      </w:r>
      <w:r w:rsidR="098E4F7C" w:rsidRPr="00510362">
        <w:rPr>
          <w:rStyle w:val="normaltextrun"/>
          <w:rFonts w:ascii="Arial" w:hAnsi="Arial" w:cs="Arial"/>
          <w:sz w:val="22"/>
          <w:szCs w:val="22"/>
        </w:rPr>
        <w:t>systémem implementace</w:t>
      </w:r>
      <w:r w:rsidRPr="00510362">
        <w:rPr>
          <w:rStyle w:val="normaltextrun"/>
          <w:rFonts w:ascii="Arial" w:hAnsi="Arial" w:cs="Arial"/>
          <w:sz w:val="22"/>
          <w:szCs w:val="22"/>
        </w:rPr>
        <w:t xml:space="preserve"> vlastníků komponent</w:t>
      </w:r>
      <w:r w:rsidR="1DF2E23D" w:rsidRPr="0051036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A935C8" w:rsidRPr="00510362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752774" w:rsidRPr="00510362" w:rsidRDefault="00752774" w:rsidP="007527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52774" w:rsidRPr="00510362" w:rsidRDefault="00752774" w:rsidP="007527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52774" w:rsidRPr="00510362" w:rsidRDefault="00752774" w:rsidP="00752774">
      <w:pPr>
        <w:spacing w:after="240"/>
        <w:jc w:val="both"/>
        <w:rPr>
          <w:rFonts w:ascii="Arial" w:hAnsi="Arial"/>
          <w:sz w:val="22"/>
          <w:szCs w:val="22"/>
        </w:rPr>
      </w:pPr>
    </w:p>
    <w:p w:rsidR="00752774" w:rsidRDefault="00752774" w:rsidP="00752774">
      <w:pPr>
        <w:spacing w:after="240"/>
        <w:jc w:val="both"/>
        <w:rPr>
          <w:rFonts w:ascii="Arial" w:hAnsi="Arial"/>
          <w:sz w:val="22"/>
          <w:szCs w:val="22"/>
        </w:rPr>
      </w:pPr>
      <w:r w:rsidRPr="00510362">
        <w:rPr>
          <w:rFonts w:ascii="Arial" w:hAnsi="Arial"/>
          <w:sz w:val="22"/>
          <w:szCs w:val="22"/>
        </w:rPr>
        <w:t>K materiálu proběhlo ve dnech DOPLNIT připomínkové řízení. Předkladatel zapracoval, vysvětlil nebo vzal na vědomí připomínky od připomínkových míst. Vládě je materiál předkládán bez rozporu/s rozporem.</w:t>
      </w:r>
      <w:r>
        <w:rPr>
          <w:rFonts w:ascii="Arial" w:hAnsi="Arial"/>
          <w:sz w:val="22"/>
          <w:szCs w:val="22"/>
        </w:rPr>
        <w:t xml:space="preserve"> </w:t>
      </w:r>
    </w:p>
    <w:p w:rsidR="00752774" w:rsidRPr="00A87EF1" w:rsidRDefault="00752774" w:rsidP="007527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E1BFA" w:rsidRPr="00DB107E" w:rsidRDefault="009E1BFA" w:rsidP="2EC498B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9E1BFA" w:rsidRPr="00DB107E">
      <w:footerReference w:type="default" r:id="rId11"/>
      <w:pgSz w:w="11900" w:h="16840"/>
      <w:pgMar w:top="1417" w:right="1417" w:bottom="1417" w:left="1417" w:header="720" w:footer="720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2620B6" w16cex:dateUtc="2020-10-05T20:46:00Z"/>
  <w16cex:commentExtensible w16cex:durableId="524C6FCF" w16cex:dateUtc="2021-04-07T04:03:23.365Z"/>
  <w16cex:commentExtensible w16cex:durableId="00E31835" w16cex:dateUtc="2021-04-07T04:09:19.928Z"/>
  <w16cex:commentExtensible w16cex:durableId="23EEB4BF" w16cex:dateUtc="2021-04-07T04:36:35.687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D2" w:rsidRDefault="004839D2">
      <w:r>
        <w:separator/>
      </w:r>
    </w:p>
  </w:endnote>
  <w:endnote w:type="continuationSeparator" w:id="0">
    <w:p w:rsidR="004839D2" w:rsidRDefault="0048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F5" w:rsidRDefault="00DE68E4">
    <w:pPr>
      <w:pStyle w:val="Podtitul"/>
    </w:pPr>
    <w:r>
      <w:rPr>
        <w:rFonts w:ascii="Arial" w:hAnsi="Arial"/>
        <w:sz w:val="22"/>
        <w:szCs w:val="22"/>
      </w:rPr>
      <w:t xml:space="preserve">Stránka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6136B2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(celkem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6136B2">
      <w:rPr>
        <w:rFonts w:ascii="Arial" w:eastAsia="Arial" w:hAnsi="Arial" w:cs="Arial"/>
        <w:noProof/>
        <w:sz w:val="22"/>
        <w:szCs w:val="22"/>
      </w:rPr>
      <w:t>5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D2" w:rsidRDefault="004839D2">
      <w:r>
        <w:separator/>
      </w:r>
    </w:p>
  </w:footnote>
  <w:footnote w:type="continuationSeparator" w:id="0">
    <w:p w:rsidR="004839D2" w:rsidRDefault="0048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5C0"/>
    <w:multiLevelType w:val="multilevel"/>
    <w:tmpl w:val="FD3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A6FDB"/>
    <w:multiLevelType w:val="multilevel"/>
    <w:tmpl w:val="FD3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70FE4"/>
    <w:multiLevelType w:val="hybridMultilevel"/>
    <w:tmpl w:val="FFFFFFFF"/>
    <w:styleLink w:val="sla"/>
    <w:lvl w:ilvl="0" w:tplc="B9A234C6">
      <w:start w:val="1"/>
      <w:numFmt w:val="decimal"/>
      <w:lvlText w:val="%1."/>
      <w:lvlJc w:val="left"/>
      <w:pPr>
        <w:ind w:left="5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4B8A8">
      <w:start w:val="1"/>
      <w:numFmt w:val="decimal"/>
      <w:lvlText w:val="%2."/>
      <w:lvlJc w:val="left"/>
      <w:pPr>
        <w:ind w:left="13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EC19E">
      <w:start w:val="1"/>
      <w:numFmt w:val="decimal"/>
      <w:lvlText w:val="%3."/>
      <w:lvlJc w:val="left"/>
      <w:pPr>
        <w:ind w:left="21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85C06">
      <w:start w:val="1"/>
      <w:numFmt w:val="decimal"/>
      <w:lvlText w:val="%4."/>
      <w:lvlJc w:val="left"/>
      <w:pPr>
        <w:ind w:left="29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23F0E">
      <w:start w:val="1"/>
      <w:numFmt w:val="decimal"/>
      <w:lvlText w:val="%5."/>
      <w:lvlJc w:val="left"/>
      <w:pPr>
        <w:ind w:left="37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CCEAC">
      <w:start w:val="1"/>
      <w:numFmt w:val="decimal"/>
      <w:lvlText w:val="%6."/>
      <w:lvlJc w:val="left"/>
      <w:pPr>
        <w:ind w:left="45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AE6FA">
      <w:start w:val="1"/>
      <w:numFmt w:val="decimal"/>
      <w:lvlText w:val="%7."/>
      <w:lvlJc w:val="left"/>
      <w:pPr>
        <w:ind w:left="53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64B72">
      <w:start w:val="1"/>
      <w:numFmt w:val="decimal"/>
      <w:lvlText w:val="%8."/>
      <w:lvlJc w:val="left"/>
      <w:pPr>
        <w:ind w:left="61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E3724">
      <w:start w:val="1"/>
      <w:numFmt w:val="decimal"/>
      <w:lvlText w:val="%9."/>
      <w:lvlJc w:val="left"/>
      <w:pPr>
        <w:ind w:left="69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9716E1"/>
    <w:multiLevelType w:val="hybridMultilevel"/>
    <w:tmpl w:val="BE287F36"/>
    <w:lvl w:ilvl="0" w:tplc="453EEB7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30CB"/>
    <w:multiLevelType w:val="hybridMultilevel"/>
    <w:tmpl w:val="3734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DA3"/>
    <w:multiLevelType w:val="hybridMultilevel"/>
    <w:tmpl w:val="350EA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6B83"/>
    <w:multiLevelType w:val="hybridMultilevel"/>
    <w:tmpl w:val="4AFE64E2"/>
    <w:lvl w:ilvl="0" w:tplc="3330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A87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16C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8E7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EEB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F8B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08D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02A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C1A2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D47F7E"/>
    <w:multiLevelType w:val="hybridMultilevel"/>
    <w:tmpl w:val="FFFFFFFF"/>
    <w:numStyleLink w:val="Psmena"/>
  </w:abstractNum>
  <w:abstractNum w:abstractNumId="8" w15:restartNumberingAfterBreak="0">
    <w:nsid w:val="6EFD3021"/>
    <w:multiLevelType w:val="hybridMultilevel"/>
    <w:tmpl w:val="FFFFFFFF"/>
    <w:styleLink w:val="Psmena"/>
    <w:lvl w:ilvl="0" w:tplc="32D46394">
      <w:start w:val="1"/>
      <w:numFmt w:val="lowerRoman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8A33CC">
      <w:start w:val="1"/>
      <w:numFmt w:val="lowerRoman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5BE8">
      <w:start w:val="1"/>
      <w:numFmt w:val="lowerRoman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AA368">
      <w:start w:val="1"/>
      <w:numFmt w:val="lowerRoman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4E5DF4">
      <w:start w:val="1"/>
      <w:numFmt w:val="lowerRoman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0141E">
      <w:start w:val="1"/>
      <w:numFmt w:val="lowerRoman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2A0A2">
      <w:start w:val="1"/>
      <w:numFmt w:val="lowerRoman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A81086">
      <w:start w:val="1"/>
      <w:numFmt w:val="lowerRoman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00666">
      <w:start w:val="1"/>
      <w:numFmt w:val="lowerRoman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B9491F"/>
    <w:multiLevelType w:val="multilevel"/>
    <w:tmpl w:val="FD3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A3AE1"/>
    <w:multiLevelType w:val="hybridMultilevel"/>
    <w:tmpl w:val="FFFFFFFF"/>
    <w:numStyleLink w:val="sla"/>
  </w:abstractNum>
  <w:abstractNum w:abstractNumId="11" w15:restartNumberingAfterBreak="0">
    <w:nsid w:val="73C930C4"/>
    <w:multiLevelType w:val="hybridMultilevel"/>
    <w:tmpl w:val="3DCAE512"/>
    <w:lvl w:ilvl="0" w:tplc="1D98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11EDB"/>
    <w:multiLevelType w:val="multilevel"/>
    <w:tmpl w:val="FD3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0"/>
    <w:lvlOverride w:ilvl="0">
      <w:lvl w:ilvl="0" w:tplc="136A0A52">
        <w:start w:val="1"/>
        <w:numFmt w:val="decimal"/>
        <w:lvlText w:val="%1."/>
        <w:lvlJc w:val="left"/>
        <w:pPr>
          <w:tabs>
            <w:tab w:val="num" w:pos="548"/>
            <w:tab w:val="left" w:pos="720"/>
          </w:tabs>
          <w:ind w:left="2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BE2E70">
        <w:start w:val="1"/>
        <w:numFmt w:val="decimal"/>
        <w:lvlText w:val="%2."/>
        <w:lvlJc w:val="left"/>
        <w:pPr>
          <w:tabs>
            <w:tab w:val="left" w:pos="720"/>
            <w:tab w:val="num" w:pos="1348"/>
          </w:tabs>
          <w:ind w:left="10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48A1C">
        <w:start w:val="1"/>
        <w:numFmt w:val="decimal"/>
        <w:lvlText w:val="%3."/>
        <w:lvlJc w:val="left"/>
        <w:pPr>
          <w:tabs>
            <w:tab w:val="left" w:pos="720"/>
            <w:tab w:val="num" w:pos="2148"/>
          </w:tabs>
          <w:ind w:left="18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90F7CC">
        <w:start w:val="1"/>
        <w:numFmt w:val="decimal"/>
        <w:lvlText w:val="%4."/>
        <w:lvlJc w:val="left"/>
        <w:pPr>
          <w:tabs>
            <w:tab w:val="left" w:pos="720"/>
            <w:tab w:val="num" w:pos="2948"/>
          </w:tabs>
          <w:ind w:left="26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086934">
        <w:start w:val="1"/>
        <w:numFmt w:val="decimal"/>
        <w:lvlText w:val="%5."/>
        <w:lvlJc w:val="left"/>
        <w:pPr>
          <w:tabs>
            <w:tab w:val="left" w:pos="720"/>
            <w:tab w:val="num" w:pos="3748"/>
          </w:tabs>
          <w:ind w:left="34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092F2">
        <w:start w:val="1"/>
        <w:numFmt w:val="decimal"/>
        <w:lvlText w:val="%6."/>
        <w:lvlJc w:val="left"/>
        <w:pPr>
          <w:tabs>
            <w:tab w:val="left" w:pos="720"/>
            <w:tab w:val="num" w:pos="4548"/>
          </w:tabs>
          <w:ind w:left="42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966C00">
        <w:start w:val="1"/>
        <w:numFmt w:val="decimal"/>
        <w:lvlText w:val="%7."/>
        <w:lvlJc w:val="left"/>
        <w:pPr>
          <w:tabs>
            <w:tab w:val="left" w:pos="720"/>
            <w:tab w:val="num" w:pos="5348"/>
          </w:tabs>
          <w:ind w:left="50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B40BB0">
        <w:start w:val="1"/>
        <w:numFmt w:val="decimal"/>
        <w:lvlText w:val="%8."/>
        <w:lvlJc w:val="left"/>
        <w:pPr>
          <w:tabs>
            <w:tab w:val="left" w:pos="720"/>
            <w:tab w:val="num" w:pos="6148"/>
          </w:tabs>
          <w:ind w:left="58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0729E">
        <w:start w:val="1"/>
        <w:numFmt w:val="decimal"/>
        <w:lvlText w:val="%9."/>
        <w:lvlJc w:val="left"/>
        <w:pPr>
          <w:tabs>
            <w:tab w:val="left" w:pos="720"/>
            <w:tab w:val="num" w:pos="6948"/>
          </w:tabs>
          <w:ind w:left="663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5"/>
    <w:rsid w:val="00056814"/>
    <w:rsid w:val="000832CA"/>
    <w:rsid w:val="000A2999"/>
    <w:rsid w:val="001065F5"/>
    <w:rsid w:val="00110274"/>
    <w:rsid w:val="0012387D"/>
    <w:rsid w:val="001B7FB3"/>
    <w:rsid w:val="001D167B"/>
    <w:rsid w:val="001E6BC5"/>
    <w:rsid w:val="002031FA"/>
    <w:rsid w:val="00207723"/>
    <w:rsid w:val="00267C3E"/>
    <w:rsid w:val="002C2D4E"/>
    <w:rsid w:val="002D6028"/>
    <w:rsid w:val="002E2880"/>
    <w:rsid w:val="002E67D2"/>
    <w:rsid w:val="002F21C7"/>
    <w:rsid w:val="00311DBC"/>
    <w:rsid w:val="00326D58"/>
    <w:rsid w:val="00343525"/>
    <w:rsid w:val="00364F51"/>
    <w:rsid w:val="003871CA"/>
    <w:rsid w:val="003C45D0"/>
    <w:rsid w:val="00471B24"/>
    <w:rsid w:val="004839D2"/>
    <w:rsid w:val="004978EB"/>
    <w:rsid w:val="004C16D2"/>
    <w:rsid w:val="004C4350"/>
    <w:rsid w:val="004C4916"/>
    <w:rsid w:val="004F32D9"/>
    <w:rsid w:val="00510362"/>
    <w:rsid w:val="00546510"/>
    <w:rsid w:val="00547DEA"/>
    <w:rsid w:val="00562F30"/>
    <w:rsid w:val="0058595C"/>
    <w:rsid w:val="005C01AB"/>
    <w:rsid w:val="005C0855"/>
    <w:rsid w:val="005F613E"/>
    <w:rsid w:val="006136B2"/>
    <w:rsid w:val="006248C5"/>
    <w:rsid w:val="00627FDB"/>
    <w:rsid w:val="00643FF1"/>
    <w:rsid w:val="006731E9"/>
    <w:rsid w:val="00691242"/>
    <w:rsid w:val="006B6940"/>
    <w:rsid w:val="006B70EF"/>
    <w:rsid w:val="006C2D0E"/>
    <w:rsid w:val="006C310C"/>
    <w:rsid w:val="007043BC"/>
    <w:rsid w:val="00711219"/>
    <w:rsid w:val="0071837B"/>
    <w:rsid w:val="00734087"/>
    <w:rsid w:val="00743A78"/>
    <w:rsid w:val="00751758"/>
    <w:rsid w:val="00752774"/>
    <w:rsid w:val="00773D48"/>
    <w:rsid w:val="00790B2A"/>
    <w:rsid w:val="007A3089"/>
    <w:rsid w:val="007B5B78"/>
    <w:rsid w:val="007E2BFF"/>
    <w:rsid w:val="007E3F3E"/>
    <w:rsid w:val="007F4326"/>
    <w:rsid w:val="00812375"/>
    <w:rsid w:val="00884C4E"/>
    <w:rsid w:val="008A2773"/>
    <w:rsid w:val="008A5C62"/>
    <w:rsid w:val="008A63D6"/>
    <w:rsid w:val="008B4062"/>
    <w:rsid w:val="008C56C4"/>
    <w:rsid w:val="008E2FF6"/>
    <w:rsid w:val="008F1826"/>
    <w:rsid w:val="009222F9"/>
    <w:rsid w:val="009668B8"/>
    <w:rsid w:val="00996366"/>
    <w:rsid w:val="009A5E30"/>
    <w:rsid w:val="009E0CAB"/>
    <w:rsid w:val="009E1BFA"/>
    <w:rsid w:val="00A16DE4"/>
    <w:rsid w:val="00A243DE"/>
    <w:rsid w:val="00A30D09"/>
    <w:rsid w:val="00A32B56"/>
    <w:rsid w:val="00A342F6"/>
    <w:rsid w:val="00A37692"/>
    <w:rsid w:val="00A50D97"/>
    <w:rsid w:val="00A52A8D"/>
    <w:rsid w:val="00A550B5"/>
    <w:rsid w:val="00A60C43"/>
    <w:rsid w:val="00A8064D"/>
    <w:rsid w:val="00A87EF1"/>
    <w:rsid w:val="00A935C8"/>
    <w:rsid w:val="00AB7FE5"/>
    <w:rsid w:val="00AE59C6"/>
    <w:rsid w:val="00B1230B"/>
    <w:rsid w:val="00B362BA"/>
    <w:rsid w:val="00B44C42"/>
    <w:rsid w:val="00B5484D"/>
    <w:rsid w:val="00B82E52"/>
    <w:rsid w:val="00B87911"/>
    <w:rsid w:val="00BA43CC"/>
    <w:rsid w:val="00BB3BB0"/>
    <w:rsid w:val="00BD7C49"/>
    <w:rsid w:val="00C06157"/>
    <w:rsid w:val="00C23B8D"/>
    <w:rsid w:val="00C35CCE"/>
    <w:rsid w:val="00C75DC5"/>
    <w:rsid w:val="00C7634D"/>
    <w:rsid w:val="00C84256"/>
    <w:rsid w:val="00C9214B"/>
    <w:rsid w:val="00C9515D"/>
    <w:rsid w:val="00CD644B"/>
    <w:rsid w:val="00D141CE"/>
    <w:rsid w:val="00D14DD0"/>
    <w:rsid w:val="00D22D84"/>
    <w:rsid w:val="00D231C6"/>
    <w:rsid w:val="00D71F9B"/>
    <w:rsid w:val="00D86DAF"/>
    <w:rsid w:val="00D87F13"/>
    <w:rsid w:val="00D952DA"/>
    <w:rsid w:val="00DA74FE"/>
    <w:rsid w:val="00DB107E"/>
    <w:rsid w:val="00DB40CE"/>
    <w:rsid w:val="00DC2CA0"/>
    <w:rsid w:val="00DC72F3"/>
    <w:rsid w:val="00DE65DB"/>
    <w:rsid w:val="00DE68E4"/>
    <w:rsid w:val="00E65566"/>
    <w:rsid w:val="00E870CA"/>
    <w:rsid w:val="00EB78E9"/>
    <w:rsid w:val="00EE1395"/>
    <w:rsid w:val="00F079A4"/>
    <w:rsid w:val="00F10A22"/>
    <w:rsid w:val="00F11515"/>
    <w:rsid w:val="00F56910"/>
    <w:rsid w:val="00FF61CF"/>
    <w:rsid w:val="01232E11"/>
    <w:rsid w:val="07FB488B"/>
    <w:rsid w:val="098E4F7C"/>
    <w:rsid w:val="0F97BF03"/>
    <w:rsid w:val="1152FB12"/>
    <w:rsid w:val="1342B5F7"/>
    <w:rsid w:val="15867114"/>
    <w:rsid w:val="165C7397"/>
    <w:rsid w:val="167A56B9"/>
    <w:rsid w:val="1A1E75C7"/>
    <w:rsid w:val="1A6FC713"/>
    <w:rsid w:val="1C9462D9"/>
    <w:rsid w:val="1DF2E23D"/>
    <w:rsid w:val="1E30333A"/>
    <w:rsid w:val="20A1A5C0"/>
    <w:rsid w:val="2390BF11"/>
    <w:rsid w:val="276DC892"/>
    <w:rsid w:val="2D4F39CF"/>
    <w:rsid w:val="2EC498B6"/>
    <w:rsid w:val="30E9F20B"/>
    <w:rsid w:val="3111F75F"/>
    <w:rsid w:val="32008879"/>
    <w:rsid w:val="3801A5A4"/>
    <w:rsid w:val="3FBA9FDB"/>
    <w:rsid w:val="4921F237"/>
    <w:rsid w:val="4C60E80C"/>
    <w:rsid w:val="4D71B2AB"/>
    <w:rsid w:val="4DFCB86D"/>
    <w:rsid w:val="502AC8D9"/>
    <w:rsid w:val="50C85C2A"/>
    <w:rsid w:val="531A937F"/>
    <w:rsid w:val="547C2F53"/>
    <w:rsid w:val="54D1ABB9"/>
    <w:rsid w:val="5C015902"/>
    <w:rsid w:val="5C375F80"/>
    <w:rsid w:val="5EB36BF3"/>
    <w:rsid w:val="5F95EA20"/>
    <w:rsid w:val="63B992DD"/>
    <w:rsid w:val="64EAE7A0"/>
    <w:rsid w:val="6555C7E5"/>
    <w:rsid w:val="6A95DB3C"/>
    <w:rsid w:val="6B6F6F5E"/>
    <w:rsid w:val="6C0CF0B9"/>
    <w:rsid w:val="6C0FC294"/>
    <w:rsid w:val="6C93F4B6"/>
    <w:rsid w:val="6CD50D2C"/>
    <w:rsid w:val="6D0B3FBF"/>
    <w:rsid w:val="70B3A6C4"/>
    <w:rsid w:val="71CA8882"/>
    <w:rsid w:val="73C820E6"/>
    <w:rsid w:val="74A59678"/>
    <w:rsid w:val="77DD373A"/>
    <w:rsid w:val="79C239AB"/>
    <w:rsid w:val="7AD91B69"/>
    <w:rsid w:val="7CE4ECE7"/>
    <w:rsid w:val="7D85DB86"/>
    <w:rsid w:val="7EBF539E"/>
    <w:rsid w:val="7F21ABE7"/>
    <w:rsid w:val="7FE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4F9C5-7524-4045-9364-96A6B02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next w:val="Normln"/>
    <w:uiPriority w:val="11"/>
    <w:qFormat/>
    <w:pPr>
      <w:spacing w:after="60"/>
      <w:jc w:val="center"/>
      <w:outlineLvl w:val="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Psmena">
    <w:name w:val="Písmena"/>
    <w:pPr>
      <w:numPr>
        <w:numId w:val="1"/>
      </w:numPr>
    </w:pPr>
  </w:style>
  <w:style w:type="paragraph" w:customStyle="1" w:styleId="li">
    <w:name w:val="li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3"/>
      </w:numPr>
    </w:p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2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8C5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7F4326"/>
    <w:pPr>
      <w:ind w:left="720"/>
      <w:contextualSpacing/>
    </w:pPr>
  </w:style>
  <w:style w:type="character" w:customStyle="1" w:styleId="StylIChar">
    <w:name w:val="Styl I. Char"/>
    <w:rsid w:val="00562F30"/>
    <w:rPr>
      <w:rFonts w:ascii="Arial" w:hAnsi="Arial"/>
      <w:sz w:val="22"/>
      <w:szCs w:val="22"/>
    </w:rPr>
  </w:style>
  <w:style w:type="paragraph" w:customStyle="1" w:styleId="paragraph">
    <w:name w:val="paragraph"/>
    <w:basedOn w:val="Normln"/>
    <w:rsid w:val="00C92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C9214B"/>
  </w:style>
  <w:style w:type="character" w:customStyle="1" w:styleId="eop">
    <w:name w:val="eop"/>
    <w:basedOn w:val="Standardnpsmoodstavce"/>
    <w:rsid w:val="00C9214B"/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9214B"/>
    <w:rPr>
      <w:rFonts w:cs="Arial Unicode MS"/>
      <w:color w:val="000000"/>
      <w:sz w:val="24"/>
      <w:szCs w:val="24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14B"/>
    <w:rPr>
      <w:rFonts w:asciiTheme="minorHAnsi" w:eastAsiaTheme="minorHAnsi" w:hAnsiTheme="minorHAnsi" w:cstheme="minorBidi"/>
      <w:color w:val="000000" w:themeColor="text1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zp.cz/www/platnalegislativa.nsf/%24%24OpenDominoDocument.xsp?documentId=8A12B8F25817A234C125729D0039D956&amp;action=openDocu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511EA916A2142AC4EA30C67FAFC89" ma:contentTypeVersion="4" ma:contentTypeDescription="Vytvoří nový dokument" ma:contentTypeScope="" ma:versionID="d1ef68a3b507a40bf5281907f5452611">
  <xsd:schema xmlns:xsd="http://www.w3.org/2001/XMLSchema" xmlns:xs="http://www.w3.org/2001/XMLSchema" xmlns:p="http://schemas.microsoft.com/office/2006/metadata/properties" xmlns:ns2="37d5c382-9477-4f8a-b095-53fbacda737d" targetNamespace="http://schemas.microsoft.com/office/2006/metadata/properties" ma:root="true" ma:fieldsID="8725adba0c240e421cfedb5123d59cb2" ns2:_="">
    <xsd:import namespace="37d5c382-9477-4f8a-b095-53fbacd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c382-9477-4f8a-b095-53fbacda7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E413-CFD3-4C37-A6FF-6F2459571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B7EB4-B47D-4D3F-84CC-D488118DD419}">
  <ds:schemaRefs>
    <ds:schemaRef ds:uri="http://purl.org/dc/terms/"/>
    <ds:schemaRef ds:uri="37d5c382-9477-4f8a-b095-53fbacda737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AD5FD7-9D60-456B-AC23-481D56E5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c382-9477-4f8a-b095-53fbacda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12772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Hronza Martin</dc:creator>
  <cp:lastModifiedBy>Puls Jan</cp:lastModifiedBy>
  <cp:revision>2</cp:revision>
  <dcterms:created xsi:type="dcterms:W3CDTF">2021-04-12T08:39:00Z</dcterms:created>
  <dcterms:modified xsi:type="dcterms:W3CDTF">2021-04-12T08:39:00Z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0x010100AB9511EA916A2142AC4EA30C67FAFC89</vt:lpwstr>
  </property>
</Properties>
</file>