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E584" w14:textId="39B5E50D" w:rsidR="004B720E" w:rsidRPr="004B720E" w:rsidRDefault="009570D7" w:rsidP="004D0659">
      <w:pPr>
        <w:rPr>
          <w:sz w:val="36"/>
          <w:szCs w:val="36"/>
        </w:rPr>
      </w:pPr>
      <w:bookmarkStart w:id="0" w:name="_GoBack"/>
      <w:bookmarkEnd w:id="0"/>
      <w:r w:rsidRPr="00584218">
        <w:rPr>
          <w:sz w:val="36"/>
          <w:szCs w:val="36"/>
        </w:rPr>
        <w:t xml:space="preserve">Návrh řešení </w:t>
      </w:r>
      <w:r w:rsidR="00584218" w:rsidRPr="00584218">
        <w:rPr>
          <w:sz w:val="36"/>
          <w:szCs w:val="36"/>
        </w:rPr>
        <w:t>jednotn</w:t>
      </w:r>
      <w:r w:rsidR="00584218">
        <w:rPr>
          <w:sz w:val="36"/>
          <w:szCs w:val="36"/>
        </w:rPr>
        <w:t>ého</w:t>
      </w:r>
      <w:r w:rsidRPr="00584218">
        <w:rPr>
          <w:sz w:val="36"/>
          <w:szCs w:val="36"/>
        </w:rPr>
        <w:t xml:space="preserve"> </w:t>
      </w:r>
      <w:r w:rsidR="00787961" w:rsidRPr="00584218">
        <w:rPr>
          <w:sz w:val="36"/>
          <w:szCs w:val="36"/>
        </w:rPr>
        <w:t>seznam</w:t>
      </w:r>
      <w:r w:rsidRPr="00584218">
        <w:rPr>
          <w:sz w:val="36"/>
          <w:szCs w:val="36"/>
        </w:rPr>
        <w:t>u</w:t>
      </w:r>
      <w:r w:rsidR="00787961" w:rsidRPr="00584218">
        <w:rPr>
          <w:sz w:val="36"/>
          <w:szCs w:val="36"/>
        </w:rPr>
        <w:t xml:space="preserve"> blokovaných internetových </w:t>
      </w:r>
      <w:r w:rsidR="008C3D97" w:rsidRPr="00584218">
        <w:rPr>
          <w:sz w:val="36"/>
          <w:szCs w:val="36"/>
        </w:rPr>
        <w:t>stránek</w:t>
      </w:r>
    </w:p>
    <w:p w14:paraId="03C96604" w14:textId="2B9577B2" w:rsidR="00E51F9E" w:rsidRDefault="00E51F9E" w:rsidP="009570D7">
      <w:pPr>
        <w:jc w:val="both"/>
      </w:pPr>
      <w:r>
        <w:t xml:space="preserve">Na základě § 115b odst. 1 zákona č. 127/2005 Sb., o elektronických komunikacích, má ČTÚ povinnost zveřejňovat způsobem umožňujícím dálkový přístup jednotný seznam blokovaných internetových stránek. </w:t>
      </w:r>
      <w:r w:rsidR="004B720E">
        <w:t>Cílem je, aby poskytovatelé získali informaci o všech blokovaných internetových stránkách na</w:t>
      </w:r>
      <w:r w:rsidR="00BE637C">
        <w:t> </w:t>
      </w:r>
      <w:r w:rsidR="004B720E">
        <w:t xml:space="preserve">jednom místě a nemuseli procházet jednotlivé blokovací seznamy.  </w:t>
      </w:r>
    </w:p>
    <w:p w14:paraId="2CD9B3E3" w14:textId="5353F8F1" w:rsidR="00E51F9E" w:rsidRDefault="00E51F9E" w:rsidP="009570D7">
      <w:pPr>
        <w:jc w:val="both"/>
      </w:pPr>
      <w:r>
        <w:t>Orgán, jenž vede seznam internetových stránek, ke kterým musí poskytovatelé služby přístupu k internetu zamezit přístup, podle jiného právního předpisu, je povinen předávat údaje týkající se zápisu internetové stránky na jednotný seznam.</w:t>
      </w:r>
    </w:p>
    <w:p w14:paraId="166BB519" w14:textId="7C5927C6" w:rsidR="00311967" w:rsidRDefault="00383A1E" w:rsidP="00383A1E">
      <w:pPr>
        <w:jc w:val="both"/>
      </w:pPr>
      <w:bookmarkStart w:id="1" w:name="_Hlk159838519"/>
      <w:r>
        <w:t>K 3</w:t>
      </w:r>
      <w:r w:rsidR="00BE637C">
        <w:t>1</w:t>
      </w:r>
      <w:r>
        <w:t xml:space="preserve">. </w:t>
      </w:r>
      <w:r w:rsidR="00BE637C">
        <w:t>5</w:t>
      </w:r>
      <w:r>
        <w:t>. 2025 byly identifikovány čtyři samostatně vedené blokovací seznamy</w:t>
      </w:r>
      <w:r w:rsidR="00BE637C">
        <w:rPr>
          <w:rStyle w:val="Znakapoznpodarou"/>
        </w:rPr>
        <w:footnoteReference w:id="1"/>
      </w:r>
      <w:r w:rsidR="00311967">
        <w:t>:</w:t>
      </w:r>
    </w:p>
    <w:p w14:paraId="0487E0F6" w14:textId="77777777" w:rsidR="00311967" w:rsidRDefault="00311967" w:rsidP="00311967">
      <w:pPr>
        <w:pStyle w:val="Odstavecseseznamem"/>
        <w:numPr>
          <w:ilvl w:val="0"/>
          <w:numId w:val="7"/>
        </w:numPr>
        <w:jc w:val="both"/>
      </w:pPr>
      <w:r>
        <w:t>Seznam nepovolených internetových her (MF)</w:t>
      </w:r>
    </w:p>
    <w:p w14:paraId="30C5A674" w14:textId="77777777" w:rsidR="00311967" w:rsidRDefault="00311967" w:rsidP="00311967">
      <w:pPr>
        <w:pStyle w:val="Odstavecseseznamem"/>
        <w:numPr>
          <w:ilvl w:val="0"/>
          <w:numId w:val="7"/>
        </w:numPr>
        <w:jc w:val="both"/>
      </w:pPr>
      <w:r>
        <w:t>Seznam internetových stránek s nabídkou nebezpečných potravin (SZPI)</w:t>
      </w:r>
    </w:p>
    <w:p w14:paraId="50D44BB2" w14:textId="77777777" w:rsidR="00311967" w:rsidRDefault="00311967" w:rsidP="00311967">
      <w:pPr>
        <w:pStyle w:val="Odstavecseseznamem"/>
        <w:numPr>
          <w:ilvl w:val="0"/>
          <w:numId w:val="7"/>
        </w:numPr>
        <w:jc w:val="both"/>
      </w:pPr>
      <w:r>
        <w:t>Seznam stránek s nelegální nabídkou léčivých přípravků (SÚKL)</w:t>
      </w:r>
    </w:p>
    <w:p w14:paraId="6A0BC2E0" w14:textId="77777777" w:rsidR="00311967" w:rsidRDefault="00311967" w:rsidP="00311967">
      <w:pPr>
        <w:pStyle w:val="Odstavecseseznamem"/>
        <w:numPr>
          <w:ilvl w:val="0"/>
          <w:numId w:val="7"/>
        </w:numPr>
        <w:jc w:val="both"/>
      </w:pPr>
      <w:r>
        <w:t>Seznam stránek s nelegální nabídkou veterinárních léčivých přípravků (ÚSKVBL)</w:t>
      </w:r>
      <w:r w:rsidR="00383A1E">
        <w:t>.</w:t>
      </w:r>
    </w:p>
    <w:p w14:paraId="63F15421" w14:textId="0478A2F8" w:rsidR="009570D7" w:rsidRDefault="009570D7" w:rsidP="009570D7">
      <w:pPr>
        <w:jc w:val="both"/>
      </w:pPr>
      <w:r>
        <w:t>Zákon č. 106/1999 Sb., o svobodném přístupu k informacím, od 1. 1. 2024 zakládá povinnost subjektům, kteří vedou a na základě zákona spravují veřejně přístupné registry, evidence, seznamy nebo rejstříky, zveřejňovat informace obsažené v těchto seznamech jako otevřená data</w:t>
      </w:r>
      <w:r w:rsidR="006C6CE3">
        <w:t xml:space="preserve"> (§ 5a odst. 2)</w:t>
      </w:r>
      <w:r>
        <w:t xml:space="preserve">. </w:t>
      </w:r>
      <w:r w:rsidR="006C6CE3">
        <w:t>Podle § 4c „</w:t>
      </w:r>
      <w:r w:rsidR="006C6CE3" w:rsidRPr="006C6CE3">
        <w:rPr>
          <w:i/>
          <w:iCs/>
        </w:rPr>
        <w:t>Povinné subjekty zaevidují informace, které mají povinnost zveřejnit jako otevřená data, v národním katalogu otevřených dat.“.</w:t>
      </w:r>
      <w:r w:rsidR="006C6CE3">
        <w:t xml:space="preserve"> </w:t>
      </w:r>
      <w:r>
        <w:t xml:space="preserve">Všechny blokovací seznamy </w:t>
      </w:r>
      <w:r w:rsidR="00EB74BF">
        <w:t>by t</w:t>
      </w:r>
      <w:r>
        <w:t>edy</w:t>
      </w:r>
      <w:r w:rsidR="00EB74BF">
        <w:t xml:space="preserve"> měly být</w:t>
      </w:r>
      <w:r>
        <w:t xml:space="preserve"> publikovány </w:t>
      </w:r>
      <w:r w:rsidR="00176460">
        <w:t>v</w:t>
      </w:r>
      <w:r w:rsidR="00EF2535">
        <w:t> </w:t>
      </w:r>
      <w:hyperlink r:id="rId8" w:history="1">
        <w:r w:rsidRPr="009570D7">
          <w:rPr>
            <w:rStyle w:val="Hypertextovodkaz"/>
          </w:rPr>
          <w:t xml:space="preserve">Národním </w:t>
        </w:r>
        <w:r w:rsidR="00176460">
          <w:rPr>
            <w:rStyle w:val="Hypertextovodkaz"/>
          </w:rPr>
          <w:t>katalogu</w:t>
        </w:r>
        <w:r w:rsidRPr="009570D7">
          <w:rPr>
            <w:rStyle w:val="Hypertextovodkaz"/>
          </w:rPr>
          <w:t xml:space="preserve"> otevřených dat</w:t>
        </w:r>
      </w:hyperlink>
      <w:r>
        <w:t xml:space="preserve"> (dále jen „NKOD“). </w:t>
      </w:r>
    </w:p>
    <w:bookmarkEnd w:id="1"/>
    <w:p w14:paraId="3C355AEB" w14:textId="77777777" w:rsidR="009570D7" w:rsidRDefault="009570D7" w:rsidP="009570D7">
      <w:r>
        <w:t>NKOD využívá API (</w:t>
      </w:r>
      <w:hyperlink r:id="rId9" w:history="1">
        <w:r w:rsidRPr="00D27998">
          <w:rPr>
            <w:rStyle w:val="Hypertextovodkaz"/>
          </w:rPr>
          <w:t>https://data.gov.cz/sparql</w:t>
        </w:r>
      </w:hyperlink>
      <w:r>
        <w:t xml:space="preserve">, </w:t>
      </w:r>
      <w:hyperlink r:id="rId10" w:history="1">
        <w:r w:rsidRPr="00D27998">
          <w:rPr>
            <w:rStyle w:val="Hypertextovodkaz"/>
          </w:rPr>
          <w:t>https://data.gov.cz/ldf/</w:t>
        </w:r>
      </w:hyperlink>
      <w:r>
        <w:t xml:space="preserve">, </w:t>
      </w:r>
      <w:hyperlink r:id="rId11" w:history="1">
        <w:r w:rsidRPr="00D27998">
          <w:rPr>
            <w:rStyle w:val="Hypertextovodkaz"/>
          </w:rPr>
          <w:t>https://data.gov.cz/graphql</w:t>
        </w:r>
      </w:hyperlink>
      <w:r>
        <w:t xml:space="preserve">). </w:t>
      </w:r>
    </w:p>
    <w:p w14:paraId="65EDB68C" w14:textId="53610ECF" w:rsidR="00CE348D" w:rsidRDefault="009570D7" w:rsidP="009570D7">
      <w:pPr>
        <w:jc w:val="both"/>
      </w:pPr>
      <w:r>
        <w:t>ČTÚ se napojí na API NKOD</w:t>
      </w:r>
      <w:r w:rsidR="0099703A">
        <w:t xml:space="preserve"> a</w:t>
      </w:r>
      <w:r>
        <w:t xml:space="preserve"> </w:t>
      </w:r>
      <w:r w:rsidR="008C3D97">
        <w:t>jednotný</w:t>
      </w:r>
      <w:r>
        <w:t xml:space="preserve"> blokovací seznam vytvoří na základě údajů publikovaných </w:t>
      </w:r>
      <w:r w:rsidR="00CE348D">
        <w:t>v</w:t>
      </w:r>
      <w:r w:rsidR="004B720E">
        <w:t> </w:t>
      </w:r>
      <w:r w:rsidR="00CE348D">
        <w:t>NKOD</w:t>
      </w:r>
      <w:r>
        <w:t>.</w:t>
      </w:r>
      <w:r w:rsidR="00CE348D">
        <w:t xml:space="preserve"> </w:t>
      </w:r>
      <w:r w:rsidR="00584218">
        <w:t>Jednotný</w:t>
      </w:r>
      <w:r w:rsidR="0099703A">
        <w:t xml:space="preserve"> blokovací seznam bude a</w:t>
      </w:r>
      <w:r w:rsidR="00CE348D">
        <w:t xml:space="preserve">ktualizován </w:t>
      </w:r>
      <w:r w:rsidR="00676191">
        <w:t>v závislosti na aktualizaci lokálních blokovacích seznamů (periodicita aktualizace</w:t>
      </w:r>
      <w:r w:rsidR="006C6CE3">
        <w:t xml:space="preserve"> datových sad je</w:t>
      </w:r>
      <w:r w:rsidR="00676191">
        <w:t xml:space="preserve"> v NKOD nepravidelná). Pokud dojde k aktualizaci kteréhokoli z lokálních seznamů, bude aktualizován také </w:t>
      </w:r>
      <w:r w:rsidR="00584218">
        <w:t>jednotný</w:t>
      </w:r>
      <w:r w:rsidR="00676191">
        <w:t xml:space="preserve"> blokovací seznam. </w:t>
      </w:r>
      <w:r w:rsidR="006C6CE3">
        <w:t>ČTÚ</w:t>
      </w:r>
      <w:r w:rsidR="00676191">
        <w:t xml:space="preserve"> si každý den zavolá API NKOD a podle data aktualizace lokálních seznamů se rozhodne, zda </w:t>
      </w:r>
      <w:r w:rsidR="00584218">
        <w:t>jednotný</w:t>
      </w:r>
      <w:r w:rsidR="00676191">
        <w:t xml:space="preserve"> seznam aktualizuje. K volání API NKOD bude docházet 1krát za 24 hodin</w:t>
      </w:r>
      <w:r w:rsidR="00311967">
        <w:t xml:space="preserve"> (ve 22:00).</w:t>
      </w:r>
      <w:r w:rsidR="00CE348D">
        <w:t xml:space="preserve"> </w:t>
      </w:r>
    </w:p>
    <w:p w14:paraId="5B20AF56" w14:textId="4BD0A876" w:rsidR="003D1249" w:rsidRDefault="00584218" w:rsidP="003D1249">
      <w:pPr>
        <w:jc w:val="both"/>
      </w:pPr>
      <w:r>
        <w:t>Jednotný</w:t>
      </w:r>
      <w:r w:rsidR="00AF55AA">
        <w:t xml:space="preserve"> </w:t>
      </w:r>
      <w:r w:rsidR="009570D7">
        <w:t xml:space="preserve">seznam </w:t>
      </w:r>
      <w:r w:rsidR="0099703A">
        <w:t xml:space="preserve">bude </w:t>
      </w:r>
      <w:r w:rsidR="006A3B09">
        <w:t xml:space="preserve">jednoduchá webová stránka (uživatel </w:t>
      </w:r>
      <w:r>
        <w:t>jednotný</w:t>
      </w:r>
      <w:r w:rsidR="006A3B09">
        <w:t xml:space="preserve"> seznam uvidí jako tabulku). </w:t>
      </w:r>
      <w:r w:rsidR="007E7BB0">
        <w:t xml:space="preserve">Současně bude </w:t>
      </w:r>
      <w:r>
        <w:t>jednotný</w:t>
      </w:r>
      <w:r w:rsidR="007E7BB0">
        <w:t xml:space="preserve"> seznam </w:t>
      </w:r>
      <w:proofErr w:type="spellStart"/>
      <w:r w:rsidR="007E7BB0">
        <w:t>předgenerován</w:t>
      </w:r>
      <w:proofErr w:type="spellEnd"/>
      <w:r w:rsidR="007E7BB0">
        <w:t xml:space="preserve"> ke stažení </w:t>
      </w:r>
      <w:r w:rsidR="0099703A">
        <w:t>ve formátu CSV, který b</w:t>
      </w:r>
      <w:r w:rsidR="00CE348D">
        <w:t>ude obsahovat</w:t>
      </w:r>
      <w:r w:rsidR="004B720E">
        <w:t xml:space="preserve"> minimálně</w:t>
      </w:r>
      <w:r w:rsidR="00CE348D">
        <w:t xml:space="preserve"> </w:t>
      </w:r>
      <w:r w:rsidR="00207F39">
        <w:t>5 údajů</w:t>
      </w:r>
      <w:r w:rsidR="0099703A">
        <w:t xml:space="preserve"> (adresa internetové stránky, datum zápisu</w:t>
      </w:r>
      <w:r w:rsidR="0035298A">
        <w:t xml:space="preserve"> internetové stránky na seznam</w:t>
      </w:r>
      <w:r w:rsidR="0099703A">
        <w:t>, datum výmazu</w:t>
      </w:r>
      <w:r w:rsidR="0035298A">
        <w:t xml:space="preserve"> zápisu internetové stránky ze seznamu</w:t>
      </w:r>
      <w:r w:rsidR="0072453F">
        <w:t>, zdroj, název datové sady</w:t>
      </w:r>
      <w:r w:rsidR="0099703A">
        <w:t>)</w:t>
      </w:r>
      <w:r w:rsidR="007E7BB0">
        <w:t xml:space="preserve"> spolu s informací, k jakému datu je </w:t>
      </w:r>
      <w:r>
        <w:t>jednotný</w:t>
      </w:r>
      <w:r w:rsidR="007E7BB0">
        <w:t xml:space="preserve"> seznam platný, resp. k jakému datu byl aktualizován</w:t>
      </w:r>
      <w:r w:rsidR="0035298A">
        <w:t xml:space="preserve">. Adresu internetové stránky, datum zápisu internetové stránky na seznam a datum výmazu zápisu internetové stránky ze seznamu </w:t>
      </w:r>
      <w:r w:rsidR="0035298A">
        <w:lastRenderedPageBreak/>
        <w:t xml:space="preserve">by jednotný seznam získával z „lokálních“ seznamů. Zdroj a název datové sady by se do jednotného seznamu doplňoval na základě toho, z jakého „lokálního“ seznamu byla informace převzata.  </w:t>
      </w:r>
    </w:p>
    <w:p w14:paraId="2074A339" w14:textId="77777777" w:rsidR="00BE637C" w:rsidRPr="00EB74BF" w:rsidRDefault="00BE637C" w:rsidP="00BE637C">
      <w:pPr>
        <w:jc w:val="both"/>
      </w:pPr>
      <w:r w:rsidRPr="00EB74BF">
        <w:t>Zápis</w:t>
      </w:r>
      <w:r>
        <w:t>y</w:t>
      </w:r>
      <w:r w:rsidRPr="00EB74BF">
        <w:t xml:space="preserve"> v </w:t>
      </w:r>
      <w:r>
        <w:t>jednotný</w:t>
      </w:r>
      <w:r w:rsidRPr="00EB74BF">
        <w:t>m seznamu se budou řadit podle data zápisu. Pokud dojde ke shodě data zápisu, tak abecedně podle adresy internetové stránky.</w:t>
      </w:r>
    </w:p>
    <w:p w14:paraId="45FD15F4" w14:textId="77777777" w:rsidR="00BE637C" w:rsidRDefault="00BE637C" w:rsidP="00BE637C">
      <w:pPr>
        <w:jc w:val="both"/>
      </w:pPr>
      <w:r>
        <w:t xml:space="preserve">Jednotný seznam, stejně jako lokální seznamy, podléhá povinnosti zveřejnění v NKOD. </w:t>
      </w:r>
    </w:p>
    <w:p w14:paraId="54754963" w14:textId="77777777" w:rsidR="00CE348D" w:rsidRDefault="00CE348D" w:rsidP="009570D7">
      <w:pPr>
        <w:jc w:val="both"/>
      </w:pPr>
      <w:r>
        <w:t>Pokud budou poskytovatelé</w:t>
      </w:r>
      <w:r w:rsidR="00EB74BF">
        <w:t xml:space="preserve"> připojení k internetu</w:t>
      </w:r>
      <w:r>
        <w:t xml:space="preserve"> potřebovat bližší informace vedené v lokálních seznamech, např. </w:t>
      </w:r>
      <w:r w:rsidRPr="00BC7FE4">
        <w:t>jedinečný identifikátor platebního účtu, který je využíván k provozování internetové hry v rozporu s § 7 odst. 2 písm. b)</w:t>
      </w:r>
      <w:r>
        <w:t xml:space="preserve"> zákona č. 186/2016 Sb., musí jít do </w:t>
      </w:r>
      <w:r w:rsidR="009D41C2">
        <w:t xml:space="preserve">příslušného </w:t>
      </w:r>
      <w:r>
        <w:t xml:space="preserve">„lokálního seznamu“. </w:t>
      </w:r>
    </w:p>
    <w:p w14:paraId="53F502B6" w14:textId="77777777" w:rsidR="00C02E3C" w:rsidRDefault="00C02E3C" w:rsidP="00311967"/>
    <w:p w14:paraId="78631DB3" w14:textId="425D92C5" w:rsidR="001676AD" w:rsidRPr="003D1249" w:rsidRDefault="00311967" w:rsidP="00DB596A">
      <w:pPr>
        <w:pStyle w:val="Textkomente"/>
        <w:rPr>
          <w:sz w:val="22"/>
          <w:szCs w:val="22"/>
        </w:rPr>
      </w:pPr>
      <w:r>
        <w:rPr>
          <w:rFonts w:cstheme="minorHAnsi"/>
          <w:b/>
          <w:bCs/>
          <w:sz w:val="22"/>
          <w:szCs w:val="22"/>
        </w:rPr>
        <w:t>S</w:t>
      </w:r>
      <w:r w:rsidR="008402C6" w:rsidRPr="003D1249">
        <w:rPr>
          <w:rFonts w:cstheme="minorHAnsi"/>
          <w:b/>
          <w:bCs/>
          <w:sz w:val="22"/>
          <w:szCs w:val="22"/>
        </w:rPr>
        <w:t>tandard pro formát CSV</w:t>
      </w:r>
      <w:r w:rsidR="00DB596A" w:rsidRPr="003D1249">
        <w:rPr>
          <w:rFonts w:cstheme="minorHAnsi"/>
          <w:b/>
          <w:bCs/>
          <w:sz w:val="22"/>
          <w:szCs w:val="22"/>
        </w:rPr>
        <w:t xml:space="preserve"> (</w:t>
      </w:r>
      <w:hyperlink r:id="rId12" w:history="1">
        <w:r w:rsidR="00DB596A" w:rsidRPr="003D1249">
          <w:rPr>
            <w:rStyle w:val="Hypertextovodkaz"/>
            <w:sz w:val="22"/>
            <w:szCs w:val="22"/>
          </w:rPr>
          <w:t>https://opendata.gov.cz/standardy:csv</w:t>
        </w:r>
      </w:hyperlink>
      <w:r w:rsidR="00DB596A" w:rsidRPr="003D1249">
        <w:rPr>
          <w:rStyle w:val="Hypertextovodkaz"/>
          <w:sz w:val="22"/>
          <w:szCs w:val="22"/>
        </w:rPr>
        <w:t>)</w:t>
      </w:r>
    </w:p>
    <w:p w14:paraId="31F4B4F7" w14:textId="4E78BD6D" w:rsidR="008402C6" w:rsidRPr="008402C6" w:rsidRDefault="008402C6" w:rsidP="008402C6">
      <w:pPr>
        <w:pStyle w:val="Normlnweb"/>
        <w:rPr>
          <w:rFonts w:ascii="Calibri" w:hAnsi="Calibri" w:cs="Calibri"/>
          <w:sz w:val="22"/>
          <w:szCs w:val="22"/>
        </w:rPr>
      </w:pPr>
      <w:r w:rsidRPr="008402C6">
        <w:rPr>
          <w:rFonts w:ascii="Calibri" w:hAnsi="Calibri" w:cs="Calibri"/>
          <w:sz w:val="22"/>
          <w:szCs w:val="22"/>
        </w:rPr>
        <w:t>Formát CSV (</w:t>
      </w:r>
      <w:proofErr w:type="spellStart"/>
      <w:r w:rsidRPr="008402C6">
        <w:rPr>
          <w:rFonts w:ascii="Calibri" w:hAnsi="Calibri" w:cs="Calibri"/>
          <w:sz w:val="22"/>
          <w:szCs w:val="22"/>
        </w:rPr>
        <w:t>Comma</w:t>
      </w:r>
      <w:proofErr w:type="spellEnd"/>
      <w:r w:rsidRPr="008402C6">
        <w:rPr>
          <w:rFonts w:ascii="Calibri" w:hAnsi="Calibri" w:cs="Calibri"/>
          <w:sz w:val="22"/>
          <w:szCs w:val="22"/>
        </w:rPr>
        <w:t xml:space="preserve"> </w:t>
      </w:r>
      <w:proofErr w:type="spellStart"/>
      <w:r w:rsidRPr="008402C6">
        <w:rPr>
          <w:rFonts w:ascii="Calibri" w:hAnsi="Calibri" w:cs="Calibri"/>
          <w:sz w:val="22"/>
          <w:szCs w:val="22"/>
        </w:rPr>
        <w:t>Separated</w:t>
      </w:r>
      <w:proofErr w:type="spellEnd"/>
      <w:r w:rsidRPr="008402C6">
        <w:rPr>
          <w:rFonts w:ascii="Calibri" w:hAnsi="Calibri" w:cs="Calibri"/>
          <w:sz w:val="22"/>
          <w:szCs w:val="22"/>
        </w:rPr>
        <w:t xml:space="preserve"> </w:t>
      </w:r>
      <w:proofErr w:type="spellStart"/>
      <w:r w:rsidRPr="008402C6">
        <w:rPr>
          <w:rFonts w:ascii="Calibri" w:hAnsi="Calibri" w:cs="Calibri"/>
          <w:sz w:val="22"/>
          <w:szCs w:val="22"/>
        </w:rPr>
        <w:t>Values</w:t>
      </w:r>
      <w:proofErr w:type="spellEnd"/>
      <w:r w:rsidRPr="008402C6">
        <w:rPr>
          <w:rFonts w:ascii="Calibri" w:hAnsi="Calibri" w:cs="Calibri"/>
          <w:sz w:val="22"/>
          <w:szCs w:val="22"/>
        </w:rPr>
        <w:t xml:space="preserve"> </w:t>
      </w:r>
      <w:hyperlink r:id="rId13" w:tooltip="https://tools.ietf.org/html/rfc4180" w:history="1">
        <w:r w:rsidRPr="008402C6">
          <w:rPr>
            <w:rStyle w:val="Hypertextovodkaz"/>
            <w:rFonts w:ascii="Calibri" w:hAnsi="Calibri" w:cs="Calibri"/>
            <w:sz w:val="22"/>
            <w:szCs w:val="22"/>
          </w:rPr>
          <w:t>IETF RFC4180</w:t>
        </w:r>
      </w:hyperlink>
      <w:r w:rsidRPr="008402C6">
        <w:rPr>
          <w:rFonts w:ascii="Calibri" w:hAnsi="Calibri" w:cs="Calibri"/>
          <w:sz w:val="22"/>
          <w:szCs w:val="22"/>
        </w:rPr>
        <w:t>, česky</w:t>
      </w:r>
      <w:r w:rsidR="002C1654">
        <w:rPr>
          <w:rFonts w:ascii="Calibri" w:hAnsi="Calibri" w:cs="Calibri"/>
          <w:sz w:val="22"/>
          <w:szCs w:val="22"/>
        </w:rPr>
        <w:t>:</w:t>
      </w:r>
      <w:r w:rsidRPr="008402C6">
        <w:rPr>
          <w:rFonts w:ascii="Calibri" w:hAnsi="Calibri" w:cs="Calibri"/>
          <w:sz w:val="22"/>
          <w:szCs w:val="22"/>
        </w:rPr>
        <w:t xml:space="preserve"> čárkou oddělené údaje) je jednoduchý a standardizovaný textový formát pro reprezentaci tabulkových dat. </w:t>
      </w:r>
    </w:p>
    <w:p w14:paraId="13CF240D" w14:textId="77777777" w:rsidR="008402C6" w:rsidRPr="008402C6" w:rsidRDefault="008402C6" w:rsidP="008402C6">
      <w:pPr>
        <w:pStyle w:val="Normlnweb"/>
        <w:rPr>
          <w:rFonts w:ascii="Calibri" w:hAnsi="Calibri" w:cs="Calibri"/>
          <w:sz w:val="22"/>
          <w:szCs w:val="22"/>
        </w:rPr>
      </w:pPr>
      <w:r w:rsidRPr="008402C6">
        <w:rPr>
          <w:rFonts w:ascii="Calibri" w:hAnsi="Calibri" w:cs="Calibri"/>
          <w:sz w:val="22"/>
          <w:szCs w:val="22"/>
        </w:rPr>
        <w:t xml:space="preserve">Tabulková data jsou v CSV reprezentována pomocí následujících jednoduchých pravidel: </w:t>
      </w:r>
    </w:p>
    <w:p w14:paraId="0CA6C2AB" w14:textId="77777777" w:rsidR="008402C6" w:rsidRPr="008402C6" w:rsidRDefault="008402C6" w:rsidP="002C1654">
      <w:pPr>
        <w:pStyle w:val="level1"/>
        <w:numPr>
          <w:ilvl w:val="0"/>
          <w:numId w:val="5"/>
        </w:numPr>
        <w:jc w:val="both"/>
        <w:rPr>
          <w:rFonts w:ascii="Calibri" w:hAnsi="Calibri" w:cs="Calibri"/>
          <w:sz w:val="22"/>
          <w:szCs w:val="22"/>
        </w:rPr>
      </w:pPr>
      <w:r w:rsidRPr="008402C6">
        <w:rPr>
          <w:rFonts w:ascii="Calibri" w:hAnsi="Calibri" w:cs="Calibri"/>
          <w:sz w:val="22"/>
          <w:szCs w:val="22"/>
        </w:rPr>
        <w:t>Soubor CSV má kódování UTF-8 (ve variantě bez BOM)</w:t>
      </w:r>
    </w:p>
    <w:p w14:paraId="7486D995" w14:textId="77777777" w:rsidR="008402C6" w:rsidRPr="008402C6" w:rsidRDefault="008402C6" w:rsidP="002C1654">
      <w:pPr>
        <w:pStyle w:val="level1"/>
        <w:numPr>
          <w:ilvl w:val="0"/>
          <w:numId w:val="5"/>
        </w:numPr>
        <w:jc w:val="both"/>
        <w:rPr>
          <w:rFonts w:ascii="Calibri" w:hAnsi="Calibri" w:cs="Calibri"/>
          <w:sz w:val="22"/>
          <w:szCs w:val="22"/>
        </w:rPr>
      </w:pPr>
      <w:r w:rsidRPr="008402C6">
        <w:rPr>
          <w:rFonts w:ascii="Calibri" w:hAnsi="Calibri" w:cs="Calibri"/>
          <w:sz w:val="22"/>
          <w:szCs w:val="22"/>
        </w:rPr>
        <w:t>Jednotlivé řádky tabulky jsou zapsány jako řádky textového souboru oddělené pomocí CRLF (znaky s UTF-8 kódy U+000D U+</w:t>
      </w:r>
      <w:proofErr w:type="gramStart"/>
      <w:r w:rsidRPr="008402C6">
        <w:rPr>
          <w:rFonts w:ascii="Calibri" w:hAnsi="Calibri" w:cs="Calibri"/>
          <w:sz w:val="22"/>
          <w:szCs w:val="22"/>
        </w:rPr>
        <w:t>000A</w:t>
      </w:r>
      <w:proofErr w:type="gramEnd"/>
      <w:r w:rsidRPr="008402C6">
        <w:rPr>
          <w:rFonts w:ascii="Calibri" w:hAnsi="Calibri" w:cs="Calibri"/>
          <w:sz w:val="22"/>
          <w:szCs w:val="22"/>
        </w:rPr>
        <w:t>)</w:t>
      </w:r>
    </w:p>
    <w:p w14:paraId="7456238F" w14:textId="2CFDB0D9" w:rsidR="008402C6" w:rsidRPr="008402C6" w:rsidRDefault="008402C6" w:rsidP="002C1654">
      <w:pPr>
        <w:pStyle w:val="level1"/>
        <w:numPr>
          <w:ilvl w:val="0"/>
          <w:numId w:val="5"/>
        </w:numPr>
        <w:jc w:val="both"/>
        <w:rPr>
          <w:rFonts w:ascii="Calibri" w:hAnsi="Calibri" w:cs="Calibri"/>
          <w:sz w:val="22"/>
          <w:szCs w:val="22"/>
        </w:rPr>
      </w:pPr>
      <w:r w:rsidRPr="008402C6">
        <w:rPr>
          <w:rFonts w:ascii="Calibri" w:hAnsi="Calibri" w:cs="Calibri"/>
          <w:sz w:val="22"/>
          <w:szCs w:val="22"/>
        </w:rPr>
        <w:t>Údaje v řádku tabulky jsou zapsány jako řetězce oddělené čárkou (</w:t>
      </w:r>
      <w:proofErr w:type="gramStart"/>
      <w:r w:rsidRPr="008402C6">
        <w:rPr>
          <w:rFonts w:ascii="Calibri" w:hAnsi="Calibri" w:cs="Calibri"/>
          <w:sz w:val="22"/>
          <w:szCs w:val="22"/>
        </w:rPr>
        <w:t>znak</w:t>
      </w:r>
      <w:r w:rsidR="002C1654">
        <w:rPr>
          <w:rFonts w:ascii="Calibri" w:hAnsi="Calibri" w:cs="Calibri"/>
          <w:sz w:val="22"/>
          <w:szCs w:val="22"/>
        </w:rPr>
        <w:t xml:space="preserve"> </w:t>
      </w:r>
      <w:r w:rsidR="002C1654">
        <w:rPr>
          <w:rFonts w:ascii="Consolas" w:hAnsi="Consolas"/>
          <w:color w:val="C7254E"/>
          <w:sz w:val="20"/>
          <w:szCs w:val="20"/>
          <w:shd w:val="clear" w:color="auto" w:fill="F9F2F4"/>
        </w:rPr>
        <w:t>,</w:t>
      </w:r>
      <w:proofErr w:type="gramEnd"/>
      <w:r w:rsidRPr="008402C6">
        <w:rPr>
          <w:rFonts w:ascii="Calibri" w:hAnsi="Calibri" w:cs="Calibri"/>
          <w:sz w:val="22"/>
          <w:szCs w:val="22"/>
        </w:rPr>
        <w:t xml:space="preserve"> s UTF-8 kódem U+002C)</w:t>
      </w:r>
    </w:p>
    <w:p w14:paraId="279F1DA9" w14:textId="32693B9D" w:rsidR="008402C6" w:rsidRPr="008402C6" w:rsidRDefault="008402C6" w:rsidP="002C1654">
      <w:pPr>
        <w:pStyle w:val="level1"/>
        <w:numPr>
          <w:ilvl w:val="0"/>
          <w:numId w:val="5"/>
        </w:numPr>
        <w:jc w:val="both"/>
        <w:rPr>
          <w:rFonts w:ascii="Calibri" w:hAnsi="Calibri" w:cs="Calibri"/>
          <w:sz w:val="22"/>
          <w:szCs w:val="22"/>
        </w:rPr>
      </w:pPr>
      <w:r w:rsidRPr="008402C6">
        <w:rPr>
          <w:rFonts w:ascii="Calibri" w:hAnsi="Calibri" w:cs="Calibri"/>
          <w:sz w:val="22"/>
          <w:szCs w:val="22"/>
        </w:rPr>
        <w:t xml:space="preserve">Pokud údaj sám obsahuje </w:t>
      </w:r>
      <w:proofErr w:type="gramStart"/>
      <w:r w:rsidRPr="008402C6">
        <w:rPr>
          <w:rFonts w:ascii="Calibri" w:hAnsi="Calibri" w:cs="Calibri"/>
          <w:sz w:val="22"/>
          <w:szCs w:val="22"/>
        </w:rPr>
        <w:t>čárku</w:t>
      </w:r>
      <w:r w:rsidR="002C1654">
        <w:rPr>
          <w:rFonts w:ascii="Calibri" w:hAnsi="Calibri" w:cs="Calibri"/>
          <w:sz w:val="22"/>
          <w:szCs w:val="22"/>
        </w:rPr>
        <w:t xml:space="preserve"> </w:t>
      </w:r>
      <w:r w:rsidR="002C1654">
        <w:rPr>
          <w:rFonts w:ascii="Consolas" w:hAnsi="Consolas"/>
          <w:color w:val="C7254E"/>
          <w:sz w:val="20"/>
          <w:szCs w:val="20"/>
          <w:shd w:val="clear" w:color="auto" w:fill="F9F2F4"/>
        </w:rPr>
        <w:t>,</w:t>
      </w:r>
      <w:proofErr w:type="gramEnd"/>
      <w:r w:rsidRPr="008402C6">
        <w:rPr>
          <w:rFonts w:ascii="Calibri" w:hAnsi="Calibri" w:cs="Calibri"/>
          <w:sz w:val="22"/>
          <w:szCs w:val="22"/>
        </w:rPr>
        <w:t xml:space="preserve">, nový řádek </w:t>
      </w:r>
      <w:r w:rsidR="002C1654">
        <w:rPr>
          <w:rStyle w:val="KdHTML"/>
          <w:rFonts w:ascii="Consolas" w:hAnsi="Consolas"/>
          <w:color w:val="C7254E"/>
          <w:shd w:val="clear" w:color="auto" w:fill="F9F2F4"/>
        </w:rPr>
        <w:t>CRLF</w:t>
      </w:r>
      <w:r w:rsidR="002C1654">
        <w:rPr>
          <w:rFonts w:ascii="Helvetica" w:hAnsi="Helvetica"/>
          <w:color w:val="2C3E50"/>
          <w:sz w:val="23"/>
          <w:szCs w:val="23"/>
          <w:shd w:val="clear" w:color="auto" w:fill="FFFFFF"/>
        </w:rPr>
        <w:t> </w:t>
      </w:r>
      <w:r w:rsidRPr="008402C6">
        <w:rPr>
          <w:rFonts w:ascii="Calibri" w:hAnsi="Calibri" w:cs="Calibri"/>
          <w:sz w:val="22"/>
          <w:szCs w:val="22"/>
        </w:rPr>
        <w:t xml:space="preserve">či uvozovku </w:t>
      </w:r>
      <w:r w:rsidR="002C1654">
        <w:rPr>
          <w:rFonts w:ascii="Consolas" w:hAnsi="Consolas"/>
          <w:color w:val="C7254E"/>
          <w:sz w:val="20"/>
          <w:szCs w:val="20"/>
          <w:shd w:val="clear" w:color="auto" w:fill="F9F2F4"/>
        </w:rPr>
        <w:t>"</w:t>
      </w:r>
      <w:r w:rsidRPr="008402C6">
        <w:rPr>
          <w:rFonts w:ascii="Calibri" w:hAnsi="Calibri" w:cs="Calibri"/>
          <w:sz w:val="22"/>
          <w:szCs w:val="22"/>
        </w:rPr>
        <w:t xml:space="preserve">, musí být uzavřen v uvozovkách (znak </w:t>
      </w:r>
      <w:r w:rsidR="002C1654">
        <w:rPr>
          <w:rFonts w:ascii="Consolas" w:hAnsi="Consolas"/>
          <w:color w:val="C7254E"/>
          <w:sz w:val="20"/>
          <w:szCs w:val="20"/>
          <w:shd w:val="clear" w:color="auto" w:fill="F9F2F4"/>
        </w:rPr>
        <w:t>"</w:t>
      </w:r>
      <w:r w:rsidRPr="008402C6">
        <w:rPr>
          <w:rFonts w:ascii="Calibri" w:hAnsi="Calibri" w:cs="Calibri"/>
          <w:sz w:val="22"/>
          <w:szCs w:val="22"/>
        </w:rPr>
        <w:t xml:space="preserve"> s UTF-8 kódem U+0022)</w:t>
      </w:r>
    </w:p>
    <w:p w14:paraId="1E41A7DA" w14:textId="369B21E7" w:rsidR="008402C6" w:rsidRPr="00641C69" w:rsidRDefault="008402C6" w:rsidP="002C1654">
      <w:pPr>
        <w:pStyle w:val="level1"/>
        <w:numPr>
          <w:ilvl w:val="0"/>
          <w:numId w:val="5"/>
        </w:numPr>
        <w:jc w:val="both"/>
        <w:rPr>
          <w:rFonts w:ascii="Calibri" w:hAnsi="Calibri" w:cs="Calibri"/>
          <w:sz w:val="22"/>
          <w:szCs w:val="22"/>
        </w:rPr>
      </w:pPr>
      <w:r w:rsidRPr="008402C6">
        <w:rPr>
          <w:rFonts w:ascii="Calibri" w:hAnsi="Calibri" w:cs="Calibri"/>
          <w:sz w:val="22"/>
          <w:szCs w:val="22"/>
        </w:rPr>
        <w:t xml:space="preserve">Uvozovku v hodnotě je třeba zdvojit, tj. místo </w:t>
      </w:r>
      <w:r w:rsidR="002C1654">
        <w:rPr>
          <w:rFonts w:ascii="Consolas" w:hAnsi="Consolas"/>
          <w:color w:val="C7254E"/>
          <w:sz w:val="20"/>
          <w:szCs w:val="20"/>
          <w:shd w:val="clear" w:color="auto" w:fill="F9F2F4"/>
        </w:rPr>
        <w:t>"</w:t>
      </w:r>
      <w:r w:rsidRPr="008402C6">
        <w:rPr>
          <w:rFonts w:ascii="Calibri" w:hAnsi="Calibri" w:cs="Calibri"/>
          <w:sz w:val="22"/>
          <w:szCs w:val="22"/>
        </w:rPr>
        <w:t xml:space="preserve"> bude zapsána jako </w:t>
      </w:r>
      <w:r w:rsidR="002C1654">
        <w:rPr>
          <w:rFonts w:ascii="Consolas" w:hAnsi="Consolas"/>
          <w:color w:val="C7254E"/>
          <w:sz w:val="20"/>
          <w:szCs w:val="20"/>
          <w:shd w:val="clear" w:color="auto" w:fill="F9F2F4"/>
        </w:rPr>
        <w:t>""</w:t>
      </w:r>
    </w:p>
    <w:p w14:paraId="66E2FF96" w14:textId="77777777" w:rsidR="00641C69" w:rsidRPr="002C1654" w:rsidRDefault="00641C69" w:rsidP="00641C69">
      <w:pPr>
        <w:pStyle w:val="level1"/>
        <w:ind w:left="720"/>
        <w:rPr>
          <w:rFonts w:ascii="Calibri" w:hAnsi="Calibri" w:cs="Calibri"/>
          <w:sz w:val="22"/>
          <w:szCs w:val="22"/>
        </w:rPr>
      </w:pPr>
      <w:r w:rsidRPr="002C1654">
        <w:rPr>
          <w:rFonts w:ascii="Calibri" w:hAnsi="Calibri" w:cs="Calibri"/>
          <w:sz w:val="22"/>
          <w:szCs w:val="22"/>
        </w:rPr>
        <w:t>Příklad tabulkových dat v CSV:</w:t>
      </w:r>
    </w:p>
    <w:p w14:paraId="2D740844"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spellStart"/>
      <w:proofErr w:type="gramStart"/>
      <w:r w:rsidRPr="00641C69">
        <w:rPr>
          <w:rFonts w:ascii="Consolas" w:hAnsi="Consolas"/>
          <w:color w:val="7B8A8B"/>
          <w:sz w:val="18"/>
          <w:szCs w:val="18"/>
        </w:rPr>
        <w:t>Poskytovatel,PočetDatovýchSad</w:t>
      </w:r>
      <w:proofErr w:type="gramEnd"/>
      <w:r w:rsidRPr="00641C69">
        <w:rPr>
          <w:rFonts w:ascii="Consolas" w:hAnsi="Consolas"/>
          <w:color w:val="7B8A8B"/>
          <w:sz w:val="18"/>
          <w:szCs w:val="18"/>
        </w:rPr>
        <w:t>,PočetDistribucí</w:t>
      </w:r>
      <w:proofErr w:type="spellEnd"/>
    </w:p>
    <w:p w14:paraId="576DEC52"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tabs>
          <w:tab w:val="clear" w:pos="6412"/>
          <w:tab w:val="clear" w:pos="7328"/>
          <w:tab w:val="clear" w:pos="8244"/>
          <w:tab w:val="clear" w:pos="9160"/>
          <w:tab w:val="clear" w:pos="10076"/>
          <w:tab w:val="clear" w:pos="10992"/>
          <w:tab w:val="clear" w:pos="11908"/>
          <w:tab w:val="clear" w:pos="12824"/>
          <w:tab w:val="clear" w:pos="13740"/>
          <w:tab w:val="clear" w:pos="14656"/>
        </w:tabs>
        <w:wordWrap w:val="0"/>
        <w:spacing w:after="158"/>
        <w:ind w:left="851"/>
        <w:rPr>
          <w:rFonts w:ascii="Consolas" w:hAnsi="Consolas"/>
          <w:color w:val="7B8A8B"/>
          <w:sz w:val="18"/>
          <w:szCs w:val="18"/>
        </w:rPr>
      </w:pPr>
      <w:r w:rsidRPr="00641C69">
        <w:rPr>
          <w:rFonts w:ascii="Consolas" w:hAnsi="Consolas"/>
          <w:color w:val="7B8A8B"/>
          <w:sz w:val="18"/>
          <w:szCs w:val="18"/>
        </w:rPr>
        <w:t>Český úřad zeměměřický a katastrální,129213,348446</w:t>
      </w:r>
      <w:r w:rsidRPr="00641C69">
        <w:rPr>
          <w:rFonts w:ascii="Consolas" w:hAnsi="Consolas"/>
          <w:color w:val="7B8A8B"/>
          <w:sz w:val="18"/>
          <w:szCs w:val="18"/>
        </w:rPr>
        <w:tab/>
      </w:r>
    </w:p>
    <w:p w14:paraId="2F0FFAE7"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r w:rsidRPr="00641C69">
        <w:rPr>
          <w:rFonts w:ascii="Consolas" w:hAnsi="Consolas"/>
          <w:color w:val="7B8A8B"/>
          <w:sz w:val="18"/>
          <w:szCs w:val="18"/>
        </w:rPr>
        <w:t>Český statistický úřad,511,513</w:t>
      </w:r>
    </w:p>
    <w:p w14:paraId="13194617"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r w:rsidRPr="00641C69">
        <w:rPr>
          <w:rFonts w:ascii="Consolas" w:hAnsi="Consolas"/>
          <w:color w:val="7B8A8B"/>
          <w:sz w:val="18"/>
          <w:szCs w:val="18"/>
        </w:rPr>
        <w:t>HLAVNÍ MĚSTO PRAHA,215,1294</w:t>
      </w:r>
    </w:p>
    <w:p w14:paraId="259CE2C2" w14:textId="77777777" w:rsidR="002C1654" w:rsidRDefault="002C1654" w:rsidP="002C1654">
      <w:pPr>
        <w:pStyle w:val="level1"/>
        <w:numPr>
          <w:ilvl w:val="0"/>
          <w:numId w:val="5"/>
        </w:numPr>
        <w:jc w:val="both"/>
        <w:rPr>
          <w:rFonts w:ascii="Calibri" w:hAnsi="Calibri" w:cs="Calibri"/>
          <w:sz w:val="22"/>
          <w:szCs w:val="22"/>
        </w:rPr>
      </w:pPr>
      <w:r w:rsidRPr="002C1654">
        <w:rPr>
          <w:rFonts w:ascii="Calibri" w:hAnsi="Calibri" w:cs="Calibri"/>
          <w:sz w:val="22"/>
          <w:szCs w:val="22"/>
        </w:rPr>
        <w:t xml:space="preserve">Datumy ve formátu </w:t>
      </w:r>
      <w:hyperlink r:id="rId14" w:tooltip="standardy:csv:chybné-datumy" w:history="1">
        <w:r w:rsidRPr="002C1654">
          <w:rPr>
            <w:rFonts w:ascii="Calibri" w:hAnsi="Calibri" w:cs="Calibri"/>
            <w:sz w:val="22"/>
            <w:szCs w:val="22"/>
          </w:rPr>
          <w:t>YYYY-MM-DD</w:t>
        </w:r>
      </w:hyperlink>
    </w:p>
    <w:p w14:paraId="61E17663" w14:textId="1ED29F0D" w:rsidR="002C1654" w:rsidRPr="002C1654" w:rsidRDefault="002C1654" w:rsidP="002C1654">
      <w:pPr>
        <w:pStyle w:val="level1"/>
        <w:numPr>
          <w:ilvl w:val="0"/>
          <w:numId w:val="5"/>
        </w:numPr>
        <w:jc w:val="both"/>
        <w:rPr>
          <w:rFonts w:asciiTheme="minorHAnsi" w:hAnsiTheme="minorHAnsi" w:cstheme="minorHAnsi"/>
          <w:sz w:val="22"/>
          <w:szCs w:val="22"/>
        </w:rPr>
      </w:pPr>
      <w:r w:rsidRPr="002C1654">
        <w:rPr>
          <w:rFonts w:asciiTheme="minorHAnsi" w:hAnsiTheme="minorHAnsi" w:cstheme="minorHAnsi"/>
          <w:sz w:val="22"/>
          <w:szCs w:val="22"/>
          <w:shd w:val="clear" w:color="auto" w:fill="FFFFFF"/>
        </w:rPr>
        <w:t>Pro celá čísla se používá </w:t>
      </w:r>
      <w:hyperlink r:id="rId15" w:anchor="integer" w:tooltip="https://www.w3.org/TR/xmlschema-2/#integer" w:history="1">
        <w:r w:rsidRPr="002C1654">
          <w:rPr>
            <w:rStyle w:val="Hypertextovodkaz"/>
            <w:rFonts w:asciiTheme="minorHAnsi" w:hAnsiTheme="minorHAnsi" w:cstheme="minorHAnsi"/>
            <w:color w:val="057FA5"/>
            <w:sz w:val="22"/>
            <w:szCs w:val="22"/>
            <w:u w:val="none"/>
            <w:shd w:val="clear" w:color="auto" w:fill="FFFFFF"/>
          </w:rPr>
          <w:t xml:space="preserve">syntaxe pro datový typ </w:t>
        </w:r>
        <w:proofErr w:type="spellStart"/>
        <w:proofErr w:type="gramStart"/>
        <w:r w:rsidRPr="002C1654">
          <w:rPr>
            <w:rStyle w:val="Hypertextovodkaz"/>
            <w:rFonts w:asciiTheme="minorHAnsi" w:hAnsiTheme="minorHAnsi" w:cstheme="minorHAnsi"/>
            <w:color w:val="057FA5"/>
            <w:sz w:val="22"/>
            <w:szCs w:val="22"/>
            <w:u w:val="none"/>
            <w:shd w:val="clear" w:color="auto" w:fill="FFFFFF"/>
          </w:rPr>
          <w:t>xsd:integer</w:t>
        </w:r>
        <w:proofErr w:type="spellEnd"/>
        <w:proofErr w:type="gramEnd"/>
      </w:hyperlink>
      <w:r w:rsidRPr="002C1654">
        <w:rPr>
          <w:rFonts w:asciiTheme="minorHAnsi" w:hAnsiTheme="minorHAnsi" w:cstheme="minorHAnsi"/>
          <w:sz w:val="22"/>
          <w:szCs w:val="22"/>
          <w:shd w:val="clear" w:color="auto" w:fill="FFFFFF"/>
        </w:rPr>
        <w:t>, tedy čísla bez mezer, např. </w:t>
      </w:r>
      <w:r w:rsidRPr="002C1654">
        <w:rPr>
          <w:rStyle w:val="KdHTML"/>
          <w:rFonts w:asciiTheme="minorHAnsi" w:hAnsiTheme="minorHAnsi" w:cstheme="minorHAnsi"/>
          <w:color w:val="C7254E"/>
          <w:shd w:val="clear" w:color="auto" w:fill="F9F2F4"/>
        </w:rPr>
        <w:t>100000</w:t>
      </w:r>
      <w:r w:rsidRPr="002C1654">
        <w:rPr>
          <w:rFonts w:asciiTheme="minorHAnsi" w:hAnsiTheme="minorHAnsi" w:cstheme="minorHAnsi"/>
          <w:sz w:val="22"/>
          <w:szCs w:val="22"/>
          <w:shd w:val="clear" w:color="auto" w:fill="FFFFFF"/>
        </w:rPr>
        <w:t>, záporná začínají mínusem , např. </w:t>
      </w:r>
      <w:r w:rsidRPr="002C1654">
        <w:rPr>
          <w:rStyle w:val="KdHTML"/>
          <w:rFonts w:asciiTheme="minorHAnsi" w:hAnsiTheme="minorHAnsi" w:cstheme="minorHAnsi"/>
          <w:color w:val="C7254E"/>
          <w:shd w:val="clear" w:color="auto" w:fill="F9F2F4"/>
        </w:rPr>
        <w:t>-100000</w:t>
      </w:r>
      <w:r w:rsidRPr="002C1654">
        <w:rPr>
          <w:rFonts w:asciiTheme="minorHAnsi" w:hAnsiTheme="minorHAnsi" w:cstheme="minorHAnsi"/>
          <w:color w:val="2C3E50"/>
          <w:sz w:val="20"/>
          <w:szCs w:val="20"/>
          <w:shd w:val="clear" w:color="auto" w:fill="FFFFFF"/>
        </w:rPr>
        <w:t>.</w:t>
      </w:r>
      <w:r w:rsidRPr="002C1654">
        <w:rPr>
          <w:rFonts w:asciiTheme="minorHAnsi" w:hAnsiTheme="minorHAnsi" w:cstheme="minorHAnsi"/>
          <w:color w:val="C7254E"/>
          <w:sz w:val="20"/>
          <w:szCs w:val="20"/>
          <w:shd w:val="clear" w:color="auto" w:fill="F9F2F4"/>
        </w:rPr>
        <w:t xml:space="preserve"> </w:t>
      </w:r>
    </w:p>
    <w:p w14:paraId="112C7CFC" w14:textId="25AD5A19" w:rsidR="002C1654" w:rsidRPr="00641C69" w:rsidRDefault="002C1654" w:rsidP="002C1654">
      <w:pPr>
        <w:pStyle w:val="level1"/>
        <w:numPr>
          <w:ilvl w:val="0"/>
          <w:numId w:val="5"/>
        </w:numPr>
        <w:jc w:val="both"/>
        <w:rPr>
          <w:rFonts w:asciiTheme="minorHAnsi" w:hAnsiTheme="minorHAnsi" w:cstheme="minorHAnsi"/>
          <w:sz w:val="22"/>
          <w:szCs w:val="22"/>
        </w:rPr>
      </w:pPr>
      <w:r w:rsidRPr="002C1654">
        <w:rPr>
          <w:rFonts w:asciiTheme="minorHAnsi" w:hAnsiTheme="minorHAnsi" w:cstheme="minorHAnsi"/>
          <w:sz w:val="22"/>
          <w:szCs w:val="22"/>
          <w:shd w:val="clear" w:color="auto" w:fill="FFFFFF"/>
        </w:rPr>
        <w:t>Pro desetinná čísla s pevnou desetinnou čárkou se používá</w:t>
      </w:r>
      <w:r w:rsidRPr="002C1654">
        <w:rPr>
          <w:rFonts w:asciiTheme="minorHAnsi" w:hAnsiTheme="minorHAnsi" w:cstheme="minorHAnsi"/>
          <w:color w:val="2C3E50"/>
          <w:sz w:val="22"/>
          <w:szCs w:val="22"/>
          <w:shd w:val="clear" w:color="auto" w:fill="FFFFFF"/>
        </w:rPr>
        <w:t> </w:t>
      </w:r>
      <w:hyperlink r:id="rId16" w:anchor="decimal" w:tooltip="https://www.w3.org/TR/xmlschema-2/#decimal" w:history="1">
        <w:r w:rsidRPr="002C1654">
          <w:rPr>
            <w:rStyle w:val="Hypertextovodkaz"/>
            <w:rFonts w:asciiTheme="minorHAnsi" w:hAnsiTheme="minorHAnsi" w:cstheme="minorHAnsi"/>
            <w:color w:val="057FA5"/>
            <w:sz w:val="22"/>
            <w:szCs w:val="22"/>
            <w:u w:val="none"/>
            <w:shd w:val="clear" w:color="auto" w:fill="FFFFFF"/>
          </w:rPr>
          <w:t xml:space="preserve">syntaxe pro datový typ </w:t>
        </w:r>
        <w:proofErr w:type="spellStart"/>
        <w:proofErr w:type="gramStart"/>
        <w:r w:rsidRPr="002C1654">
          <w:rPr>
            <w:rStyle w:val="Hypertextovodkaz"/>
            <w:rFonts w:asciiTheme="minorHAnsi" w:hAnsiTheme="minorHAnsi" w:cstheme="minorHAnsi"/>
            <w:color w:val="057FA5"/>
            <w:sz w:val="22"/>
            <w:szCs w:val="22"/>
            <w:u w:val="none"/>
            <w:shd w:val="clear" w:color="auto" w:fill="FFFFFF"/>
          </w:rPr>
          <w:t>xsd:decimal</w:t>
        </w:r>
        <w:proofErr w:type="spellEnd"/>
        <w:proofErr w:type="gramEnd"/>
      </w:hyperlink>
      <w:r w:rsidRPr="002C1654">
        <w:rPr>
          <w:rFonts w:asciiTheme="minorHAnsi" w:hAnsiTheme="minorHAnsi" w:cstheme="minorHAnsi"/>
          <w:sz w:val="22"/>
          <w:szCs w:val="22"/>
          <w:shd w:val="clear" w:color="auto" w:fill="FFFFFF"/>
        </w:rPr>
        <w:t>, tedy např</w:t>
      </w:r>
      <w:r w:rsidRPr="002C1654">
        <w:rPr>
          <w:rFonts w:asciiTheme="minorHAnsi" w:hAnsiTheme="minorHAnsi" w:cstheme="minorHAnsi"/>
          <w:color w:val="2C3E50"/>
          <w:sz w:val="22"/>
          <w:szCs w:val="22"/>
          <w:shd w:val="clear" w:color="auto" w:fill="FFFFFF"/>
        </w:rPr>
        <w:t>. </w:t>
      </w:r>
      <w:r w:rsidRPr="002C1654">
        <w:rPr>
          <w:rStyle w:val="KdHTML"/>
          <w:rFonts w:asciiTheme="minorHAnsi" w:hAnsiTheme="minorHAnsi" w:cstheme="minorHAnsi"/>
          <w:color w:val="C7254E"/>
          <w:sz w:val="22"/>
          <w:szCs w:val="22"/>
          <w:shd w:val="clear" w:color="auto" w:fill="F9F2F4"/>
        </w:rPr>
        <w:t>3.14</w:t>
      </w:r>
      <w:r w:rsidRPr="002C1654">
        <w:rPr>
          <w:rFonts w:asciiTheme="minorHAnsi" w:hAnsiTheme="minorHAnsi" w:cstheme="minorHAnsi"/>
          <w:color w:val="2C3E50"/>
          <w:sz w:val="22"/>
          <w:szCs w:val="22"/>
          <w:shd w:val="clear" w:color="auto" w:fill="FFFFFF"/>
        </w:rPr>
        <w:t xml:space="preserve">, </w:t>
      </w:r>
      <w:r w:rsidRPr="002C1654">
        <w:rPr>
          <w:rFonts w:asciiTheme="minorHAnsi" w:hAnsiTheme="minorHAnsi" w:cstheme="minorHAnsi"/>
          <w:sz w:val="22"/>
          <w:szCs w:val="22"/>
          <w:shd w:val="clear" w:color="auto" w:fill="FFFFFF"/>
        </w:rPr>
        <w:t>záporná začínají mínusem , např</w:t>
      </w:r>
      <w:r w:rsidRPr="002C1654">
        <w:rPr>
          <w:rFonts w:asciiTheme="minorHAnsi" w:hAnsiTheme="minorHAnsi" w:cstheme="minorHAnsi"/>
          <w:color w:val="2C3E50"/>
          <w:sz w:val="22"/>
          <w:szCs w:val="22"/>
          <w:shd w:val="clear" w:color="auto" w:fill="FFFFFF"/>
        </w:rPr>
        <w:t>. </w:t>
      </w:r>
      <w:r w:rsidRPr="002C1654">
        <w:rPr>
          <w:rStyle w:val="KdHTML"/>
          <w:rFonts w:asciiTheme="minorHAnsi" w:hAnsiTheme="minorHAnsi" w:cstheme="minorHAnsi"/>
          <w:color w:val="C7254E"/>
          <w:sz w:val="22"/>
          <w:szCs w:val="22"/>
          <w:shd w:val="clear" w:color="auto" w:fill="F9F2F4"/>
        </w:rPr>
        <w:t>-3.14</w:t>
      </w:r>
      <w:r w:rsidRPr="002C1654">
        <w:rPr>
          <w:rFonts w:asciiTheme="minorHAnsi" w:hAnsiTheme="minorHAnsi" w:cstheme="minorHAnsi"/>
          <w:color w:val="2C3E50"/>
          <w:sz w:val="22"/>
          <w:szCs w:val="22"/>
          <w:shd w:val="clear" w:color="auto" w:fill="FFFFFF"/>
        </w:rPr>
        <w:t xml:space="preserve">. </w:t>
      </w:r>
      <w:r w:rsidRPr="002C1654">
        <w:rPr>
          <w:rFonts w:asciiTheme="minorHAnsi" w:hAnsiTheme="minorHAnsi" w:cstheme="minorHAnsi"/>
          <w:sz w:val="22"/>
          <w:szCs w:val="22"/>
          <w:shd w:val="clear" w:color="auto" w:fill="FFFFFF"/>
        </w:rPr>
        <w:t>Pro desetinná čísla s plovoucí desetinnou čárkou se používá </w:t>
      </w:r>
      <w:hyperlink r:id="rId17" w:anchor="double" w:tooltip="https://www.w3.org/TR/xmlschema-2/#double" w:history="1">
        <w:r w:rsidRPr="002C1654">
          <w:rPr>
            <w:rStyle w:val="Hypertextovodkaz"/>
            <w:rFonts w:asciiTheme="minorHAnsi" w:hAnsiTheme="minorHAnsi" w:cstheme="minorHAnsi"/>
            <w:color w:val="057FA5"/>
            <w:sz w:val="22"/>
            <w:szCs w:val="22"/>
            <w:u w:val="none"/>
            <w:shd w:val="clear" w:color="auto" w:fill="FFFFFF"/>
          </w:rPr>
          <w:t xml:space="preserve">syntaxe pro datový typ </w:t>
        </w:r>
        <w:proofErr w:type="spellStart"/>
        <w:proofErr w:type="gramStart"/>
        <w:r w:rsidRPr="002C1654">
          <w:rPr>
            <w:rStyle w:val="Hypertextovodkaz"/>
            <w:rFonts w:asciiTheme="minorHAnsi" w:hAnsiTheme="minorHAnsi" w:cstheme="minorHAnsi"/>
            <w:color w:val="057FA5"/>
            <w:sz w:val="22"/>
            <w:szCs w:val="22"/>
            <w:u w:val="none"/>
            <w:shd w:val="clear" w:color="auto" w:fill="FFFFFF"/>
          </w:rPr>
          <w:t>xsd:double</w:t>
        </w:r>
        <w:proofErr w:type="spellEnd"/>
        <w:proofErr w:type="gramEnd"/>
      </w:hyperlink>
      <w:r w:rsidRPr="002C1654">
        <w:rPr>
          <w:rFonts w:asciiTheme="minorHAnsi" w:hAnsiTheme="minorHAnsi" w:cstheme="minorHAnsi"/>
          <w:color w:val="2C3E50"/>
          <w:sz w:val="22"/>
          <w:szCs w:val="22"/>
          <w:shd w:val="clear" w:color="auto" w:fill="FFFFFF"/>
        </w:rPr>
        <w:t xml:space="preserve">, </w:t>
      </w:r>
      <w:r w:rsidRPr="002C1654">
        <w:rPr>
          <w:rFonts w:asciiTheme="minorHAnsi" w:hAnsiTheme="minorHAnsi" w:cstheme="minorHAnsi"/>
          <w:sz w:val="22"/>
          <w:szCs w:val="22"/>
          <w:shd w:val="clear" w:color="auto" w:fill="FFFFFF"/>
        </w:rPr>
        <w:t>tedy např</w:t>
      </w:r>
      <w:r w:rsidRPr="002C1654">
        <w:rPr>
          <w:rFonts w:asciiTheme="minorHAnsi" w:hAnsiTheme="minorHAnsi" w:cstheme="minorHAnsi"/>
          <w:color w:val="2C3E50"/>
          <w:sz w:val="22"/>
          <w:szCs w:val="22"/>
          <w:shd w:val="clear" w:color="auto" w:fill="FFFFFF"/>
        </w:rPr>
        <w:t>. </w:t>
      </w:r>
      <w:r w:rsidRPr="002C1654">
        <w:rPr>
          <w:rStyle w:val="KdHTML"/>
          <w:rFonts w:asciiTheme="minorHAnsi" w:hAnsiTheme="minorHAnsi" w:cstheme="minorHAnsi"/>
          <w:color w:val="C7254E"/>
          <w:sz w:val="22"/>
          <w:szCs w:val="22"/>
          <w:shd w:val="clear" w:color="auto" w:fill="F9F2F4"/>
        </w:rPr>
        <w:t>12.78e-2</w:t>
      </w:r>
      <w:r w:rsidRPr="002C1654">
        <w:rPr>
          <w:rFonts w:asciiTheme="minorHAnsi" w:hAnsiTheme="minorHAnsi" w:cstheme="minorHAnsi"/>
          <w:color w:val="2C3E50"/>
          <w:sz w:val="22"/>
          <w:szCs w:val="22"/>
          <w:shd w:val="clear" w:color="auto" w:fill="FFFFFF"/>
        </w:rPr>
        <w:t>.</w:t>
      </w:r>
    </w:p>
    <w:p w14:paraId="06664515" w14:textId="4BA28F7C" w:rsidR="00641C69" w:rsidRPr="00641C69" w:rsidRDefault="00641C69" w:rsidP="002C1654">
      <w:pPr>
        <w:pStyle w:val="level1"/>
        <w:numPr>
          <w:ilvl w:val="0"/>
          <w:numId w:val="5"/>
        </w:numPr>
        <w:jc w:val="both"/>
        <w:rPr>
          <w:rFonts w:asciiTheme="minorHAnsi" w:hAnsiTheme="minorHAnsi" w:cstheme="minorHAnsi"/>
          <w:sz w:val="22"/>
          <w:szCs w:val="22"/>
        </w:rPr>
      </w:pPr>
      <w:r w:rsidRPr="00641C69">
        <w:rPr>
          <w:rFonts w:ascii="Calibri" w:hAnsi="Calibri" w:cs="Calibri"/>
          <w:sz w:val="22"/>
          <w:szCs w:val="22"/>
        </w:rPr>
        <w:t>Každý publikovaný CSV soubor by </w:t>
      </w:r>
      <w:hyperlink r:id="rId18" w:anchor="definice_vlastn%C3%ADho_sch%C3%A9matu_pro_data_v_csv" w:tooltip="standardy:technicke-standardy-pro-vytvareni-datovych-schemat-na-stupni-3" w:history="1">
        <w:r w:rsidRPr="00641C69">
          <w:rPr>
            <w:rStyle w:val="Hypertextovodkaz"/>
            <w:rFonts w:asciiTheme="minorHAnsi" w:hAnsiTheme="minorHAnsi" w:cstheme="minorHAnsi"/>
            <w:color w:val="057FA5"/>
            <w:sz w:val="22"/>
            <w:szCs w:val="22"/>
            <w:u w:val="none"/>
            <w:shd w:val="clear" w:color="auto" w:fill="FFFFFF"/>
          </w:rPr>
          <w:t>měl být opatřen svým schématem</w:t>
        </w:r>
      </w:hyperlink>
      <w:r w:rsidRPr="00641C69">
        <w:rPr>
          <w:rFonts w:ascii="Calibri" w:hAnsi="Calibri" w:cs="Calibri"/>
          <w:sz w:val="22"/>
          <w:szCs w:val="22"/>
        </w:rPr>
        <w:t> dle </w:t>
      </w:r>
      <w:hyperlink r:id="rId19" w:tooltip="https://www.w3.org/TR/tabular-metadata/" w:history="1">
        <w:r w:rsidRPr="00641C69">
          <w:rPr>
            <w:rStyle w:val="Hypertextovodkaz"/>
            <w:rFonts w:asciiTheme="minorHAnsi" w:hAnsiTheme="minorHAnsi" w:cstheme="minorHAnsi"/>
            <w:color w:val="057FA5"/>
            <w:sz w:val="22"/>
            <w:szCs w:val="22"/>
            <w:u w:val="none"/>
            <w:shd w:val="clear" w:color="auto" w:fill="FFFFFF"/>
          </w:rPr>
          <w:t xml:space="preserve">standardu W3C Metadata </w:t>
        </w:r>
        <w:proofErr w:type="spellStart"/>
        <w:r w:rsidRPr="00641C69">
          <w:rPr>
            <w:rStyle w:val="Hypertextovodkaz"/>
            <w:rFonts w:asciiTheme="minorHAnsi" w:hAnsiTheme="minorHAnsi" w:cstheme="minorHAnsi"/>
            <w:color w:val="057FA5"/>
            <w:sz w:val="22"/>
            <w:szCs w:val="22"/>
            <w:u w:val="none"/>
            <w:shd w:val="clear" w:color="auto" w:fill="FFFFFF"/>
          </w:rPr>
          <w:t>Vocabulary</w:t>
        </w:r>
        <w:proofErr w:type="spellEnd"/>
        <w:r w:rsidRPr="00641C69">
          <w:rPr>
            <w:rStyle w:val="Hypertextovodkaz"/>
            <w:rFonts w:asciiTheme="minorHAnsi" w:hAnsiTheme="minorHAnsi" w:cstheme="minorHAnsi"/>
            <w:color w:val="057FA5"/>
            <w:sz w:val="22"/>
            <w:szCs w:val="22"/>
            <w:u w:val="none"/>
            <w:shd w:val="clear" w:color="auto" w:fill="FFFFFF"/>
          </w:rPr>
          <w:t xml:space="preserve"> </w:t>
        </w:r>
        <w:proofErr w:type="spellStart"/>
        <w:r w:rsidRPr="00641C69">
          <w:rPr>
            <w:rStyle w:val="Hypertextovodkaz"/>
            <w:rFonts w:asciiTheme="minorHAnsi" w:hAnsiTheme="minorHAnsi" w:cstheme="minorHAnsi"/>
            <w:color w:val="057FA5"/>
            <w:sz w:val="22"/>
            <w:szCs w:val="22"/>
            <w:u w:val="none"/>
            <w:shd w:val="clear" w:color="auto" w:fill="FFFFFF"/>
          </w:rPr>
          <w:t>for</w:t>
        </w:r>
        <w:proofErr w:type="spellEnd"/>
        <w:r w:rsidRPr="00641C69">
          <w:rPr>
            <w:rStyle w:val="Hypertextovodkaz"/>
            <w:rFonts w:asciiTheme="minorHAnsi" w:hAnsiTheme="minorHAnsi" w:cstheme="minorHAnsi"/>
            <w:color w:val="057FA5"/>
            <w:sz w:val="22"/>
            <w:szCs w:val="22"/>
            <w:u w:val="none"/>
            <w:shd w:val="clear" w:color="auto" w:fill="FFFFFF"/>
          </w:rPr>
          <w:t xml:space="preserve"> </w:t>
        </w:r>
        <w:proofErr w:type="spellStart"/>
        <w:r w:rsidRPr="00641C69">
          <w:rPr>
            <w:rStyle w:val="Hypertextovodkaz"/>
            <w:rFonts w:asciiTheme="minorHAnsi" w:hAnsiTheme="minorHAnsi" w:cstheme="minorHAnsi"/>
            <w:color w:val="057FA5"/>
            <w:sz w:val="22"/>
            <w:szCs w:val="22"/>
            <w:u w:val="none"/>
            <w:shd w:val="clear" w:color="auto" w:fill="FFFFFF"/>
          </w:rPr>
          <w:t>Tabular</w:t>
        </w:r>
        <w:proofErr w:type="spellEnd"/>
        <w:r w:rsidRPr="00641C69">
          <w:rPr>
            <w:rStyle w:val="Hypertextovodkaz"/>
            <w:rFonts w:asciiTheme="minorHAnsi" w:hAnsiTheme="minorHAnsi" w:cstheme="minorHAnsi"/>
            <w:color w:val="057FA5"/>
            <w:sz w:val="22"/>
            <w:szCs w:val="22"/>
            <w:u w:val="none"/>
            <w:shd w:val="clear" w:color="auto" w:fill="FFFFFF"/>
          </w:rPr>
          <w:t xml:space="preserve"> Data</w:t>
        </w:r>
      </w:hyperlink>
      <w:r w:rsidRPr="00641C69">
        <w:rPr>
          <w:rFonts w:asciiTheme="minorHAnsi" w:hAnsiTheme="minorHAnsi" w:cstheme="minorHAnsi"/>
          <w:color w:val="2C3E50"/>
          <w:sz w:val="22"/>
          <w:szCs w:val="22"/>
          <w:shd w:val="clear" w:color="auto" w:fill="FFFFFF"/>
        </w:rPr>
        <w:t> </w:t>
      </w:r>
      <w:r w:rsidRPr="00641C69">
        <w:rPr>
          <w:rFonts w:ascii="Calibri" w:hAnsi="Calibri" w:cs="Calibri"/>
          <w:sz w:val="22"/>
          <w:szCs w:val="22"/>
        </w:rPr>
        <w:t>ve formě souboru či sady souborů ve formátu JSON-LD popisujícím publikovaný CSV soubor.</w:t>
      </w:r>
    </w:p>
    <w:p w14:paraId="36676B8D" w14:textId="079533C0" w:rsidR="00641C69" w:rsidRPr="00641C69" w:rsidRDefault="00641C69" w:rsidP="002C1654">
      <w:pPr>
        <w:pStyle w:val="level1"/>
        <w:numPr>
          <w:ilvl w:val="0"/>
          <w:numId w:val="5"/>
        </w:numPr>
        <w:jc w:val="both"/>
        <w:rPr>
          <w:rFonts w:asciiTheme="minorHAnsi" w:hAnsiTheme="minorHAnsi" w:cstheme="minorHAnsi"/>
          <w:sz w:val="22"/>
          <w:szCs w:val="22"/>
        </w:rPr>
      </w:pPr>
      <w:r>
        <w:rPr>
          <w:rFonts w:ascii="Calibri" w:hAnsi="Calibri" w:cs="Calibri"/>
          <w:sz w:val="22"/>
          <w:szCs w:val="22"/>
        </w:rPr>
        <w:t>Nepoužívat mezery pro zarovnání hodnot (formátování)</w:t>
      </w:r>
    </w:p>
    <w:p w14:paraId="01EEF9E6" w14:textId="269F14C7" w:rsidR="00641C69" w:rsidRDefault="00641C69" w:rsidP="00641C69">
      <w:pPr>
        <w:pStyle w:val="level1"/>
        <w:ind w:left="720"/>
        <w:jc w:val="both"/>
        <w:rPr>
          <w:rFonts w:ascii="Calibri" w:hAnsi="Calibri" w:cs="Calibri"/>
          <w:sz w:val="22"/>
          <w:szCs w:val="22"/>
        </w:rPr>
      </w:pPr>
      <w:r>
        <w:rPr>
          <w:rFonts w:ascii="Calibri" w:hAnsi="Calibri" w:cs="Calibri"/>
          <w:sz w:val="22"/>
          <w:szCs w:val="22"/>
        </w:rPr>
        <w:t>Příklad správného fragmentu:</w:t>
      </w:r>
    </w:p>
    <w:p w14:paraId="6CA9DB46"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gramStart"/>
      <w:r w:rsidRPr="00641C69">
        <w:rPr>
          <w:rFonts w:ascii="Consolas" w:hAnsi="Consolas"/>
          <w:color w:val="7B8A8B"/>
          <w:sz w:val="18"/>
          <w:szCs w:val="18"/>
        </w:rPr>
        <w:lastRenderedPageBreak/>
        <w:t>Id,Name</w:t>
      </w:r>
      <w:proofErr w:type="gramEnd"/>
      <w:r w:rsidRPr="00641C69">
        <w:rPr>
          <w:rFonts w:ascii="Consolas" w:hAnsi="Consolas"/>
          <w:color w:val="7B8A8B"/>
          <w:sz w:val="18"/>
          <w:szCs w:val="18"/>
        </w:rPr>
        <w:t>,NameShort,PremiereDt,DerniereDt,TheatreId,StageId,EnsemleId</w:t>
      </w:r>
    </w:p>
    <w:p w14:paraId="4B4DF302"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gramStart"/>
      <w:r w:rsidRPr="00641C69">
        <w:rPr>
          <w:rFonts w:ascii="Consolas" w:hAnsi="Consolas"/>
          <w:color w:val="7B8A8B"/>
          <w:sz w:val="18"/>
          <w:szCs w:val="18"/>
        </w:rPr>
        <w:t>1,,</w:t>
      </w:r>
      <w:proofErr w:type="gramEnd"/>
      <w:r w:rsidRPr="00641C69">
        <w:rPr>
          <w:rFonts w:ascii="Consolas" w:hAnsi="Consolas"/>
          <w:color w:val="7B8A8B"/>
          <w:sz w:val="18"/>
          <w:szCs w:val="18"/>
        </w:rPr>
        <w:t>Antigona,1995-11-03,,231,674,</w:t>
      </w:r>
    </w:p>
    <w:p w14:paraId="087060D5"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gramStart"/>
      <w:r w:rsidRPr="00641C69">
        <w:rPr>
          <w:rFonts w:ascii="Consolas" w:hAnsi="Consolas"/>
          <w:color w:val="7B8A8B"/>
          <w:sz w:val="18"/>
          <w:szCs w:val="18"/>
        </w:rPr>
        <w:t>2,,</w:t>
      </w:r>
      <w:proofErr w:type="gramEnd"/>
      <w:r w:rsidRPr="00641C69">
        <w:rPr>
          <w:rFonts w:ascii="Consolas" w:hAnsi="Consolas"/>
          <w:color w:val="7B8A8B"/>
          <w:sz w:val="18"/>
          <w:szCs w:val="18"/>
        </w:rPr>
        <w:t>"Ten, který dostává políčky",1995-10-30,,10,638,392</w:t>
      </w:r>
    </w:p>
    <w:p w14:paraId="5A3F7B55"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gramStart"/>
      <w:r w:rsidRPr="00641C69">
        <w:rPr>
          <w:rFonts w:ascii="Consolas" w:hAnsi="Consolas"/>
          <w:color w:val="7B8A8B"/>
          <w:sz w:val="18"/>
          <w:szCs w:val="18"/>
        </w:rPr>
        <w:t>3,,</w:t>
      </w:r>
      <w:proofErr w:type="gramEnd"/>
      <w:r w:rsidRPr="00641C69">
        <w:rPr>
          <w:rFonts w:ascii="Consolas" w:hAnsi="Consolas"/>
          <w:color w:val="7B8A8B"/>
          <w:sz w:val="18"/>
          <w:szCs w:val="18"/>
        </w:rPr>
        <w:t>Nesmrtelný příběh,1995-10-28,,67,,</w:t>
      </w:r>
    </w:p>
    <w:p w14:paraId="506B4F4F" w14:textId="77777777" w:rsidR="00641C69" w:rsidRPr="00641C69" w:rsidRDefault="00641C69" w:rsidP="00641C69">
      <w:pPr>
        <w:pStyle w:val="FormtovanvHTML"/>
        <w:pBdr>
          <w:top w:val="single" w:sz="6" w:space="8" w:color="CCCCCC"/>
          <w:left w:val="single" w:sz="6" w:space="8" w:color="CCCCCC"/>
          <w:bottom w:val="single" w:sz="6" w:space="8" w:color="CCCCCC"/>
          <w:right w:val="single" w:sz="6" w:space="8" w:color="CCCCCC"/>
        </w:pBdr>
        <w:shd w:val="clear" w:color="auto" w:fill="ECF0F1"/>
        <w:wordWrap w:val="0"/>
        <w:spacing w:after="158"/>
        <w:ind w:left="851"/>
        <w:rPr>
          <w:rFonts w:ascii="Consolas" w:hAnsi="Consolas"/>
          <w:color w:val="7B8A8B"/>
          <w:sz w:val="18"/>
          <w:szCs w:val="18"/>
        </w:rPr>
      </w:pPr>
      <w:proofErr w:type="gramStart"/>
      <w:r w:rsidRPr="00641C69">
        <w:rPr>
          <w:rFonts w:ascii="Consolas" w:hAnsi="Consolas"/>
          <w:color w:val="7B8A8B"/>
          <w:sz w:val="18"/>
          <w:szCs w:val="18"/>
        </w:rPr>
        <w:t>4,,</w:t>
      </w:r>
      <w:proofErr w:type="gramEnd"/>
      <w:r w:rsidRPr="00641C69">
        <w:rPr>
          <w:rFonts w:ascii="Consolas" w:hAnsi="Consolas"/>
          <w:color w:val="7B8A8B"/>
          <w:sz w:val="18"/>
          <w:szCs w:val="18"/>
        </w:rPr>
        <w:t>Smrt v císařském domě,1995-10-7,,117,,</w:t>
      </w:r>
    </w:p>
    <w:sectPr w:rsidR="00641C69" w:rsidRPr="00641C69" w:rsidSect="00C02E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DA0C" w14:textId="77777777" w:rsidR="00D917A6" w:rsidRDefault="00D917A6" w:rsidP="003D1249">
      <w:pPr>
        <w:spacing w:after="0" w:line="240" w:lineRule="auto"/>
      </w:pPr>
      <w:r>
        <w:separator/>
      </w:r>
    </w:p>
  </w:endnote>
  <w:endnote w:type="continuationSeparator" w:id="0">
    <w:p w14:paraId="178B74ED" w14:textId="77777777" w:rsidR="00D917A6" w:rsidRDefault="00D917A6" w:rsidP="003D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CAFF7" w14:textId="77777777" w:rsidR="00D917A6" w:rsidRDefault="00D917A6" w:rsidP="003D1249">
      <w:pPr>
        <w:spacing w:after="0" w:line="240" w:lineRule="auto"/>
      </w:pPr>
      <w:r>
        <w:separator/>
      </w:r>
    </w:p>
  </w:footnote>
  <w:footnote w:type="continuationSeparator" w:id="0">
    <w:p w14:paraId="5C6066E8" w14:textId="77777777" w:rsidR="00D917A6" w:rsidRDefault="00D917A6" w:rsidP="003D1249">
      <w:pPr>
        <w:spacing w:after="0" w:line="240" w:lineRule="auto"/>
      </w:pPr>
      <w:r>
        <w:continuationSeparator/>
      </w:r>
    </w:p>
  </w:footnote>
  <w:footnote w:id="1">
    <w:p w14:paraId="67860797" w14:textId="63050B24" w:rsidR="00BE637C" w:rsidRPr="00BE637C" w:rsidRDefault="00BE637C" w:rsidP="00BE637C">
      <w:pPr>
        <w:jc w:val="both"/>
        <w:rPr>
          <w:i/>
          <w:iCs/>
        </w:rPr>
      </w:pPr>
      <w:r w:rsidRPr="00BE637C">
        <w:rPr>
          <w:rStyle w:val="Znakapoznpodarou"/>
          <w:i/>
          <w:iCs/>
        </w:rPr>
        <w:footnoteRef/>
      </w:r>
      <w:r w:rsidRPr="00BE637C">
        <w:rPr>
          <w:i/>
          <w:iCs/>
        </w:rPr>
        <w:t xml:space="preserve"> Vedle těchto seznamů existuje zvláštní typ seznamu vedený MZV (vnitrostátní sankční seznam, kde součástí sankce může být mj. blokování konkrétní internetové stránky, která by měla být také součástí jednotného seznamu blokovaných internetových stránek). S ohledem na nízkou četnost výskytu blokovaných internetových stránek na sankčním seznamu, doplní úřad tuto informaci na jednotný seznam neautomatizovaně (na základě písemného sdělení MZV). </w:t>
      </w:r>
    </w:p>
    <w:p w14:paraId="0357CE98" w14:textId="1BDE2385" w:rsidR="00BE637C" w:rsidRDefault="00BE637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30E"/>
    <w:multiLevelType w:val="multilevel"/>
    <w:tmpl w:val="5E4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0A82"/>
    <w:multiLevelType w:val="hybridMultilevel"/>
    <w:tmpl w:val="949A50DA"/>
    <w:lvl w:ilvl="0" w:tplc="D3DACD8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A47407"/>
    <w:multiLevelType w:val="hybridMultilevel"/>
    <w:tmpl w:val="4548386E"/>
    <w:lvl w:ilvl="0" w:tplc="7E46A66E">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CAB36C7"/>
    <w:multiLevelType w:val="hybridMultilevel"/>
    <w:tmpl w:val="A5AC6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1216A2"/>
    <w:multiLevelType w:val="multilevel"/>
    <w:tmpl w:val="D5FC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228CF"/>
    <w:multiLevelType w:val="hybridMultilevel"/>
    <w:tmpl w:val="66A8AA64"/>
    <w:lvl w:ilvl="0" w:tplc="6E9CD6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B6230A"/>
    <w:multiLevelType w:val="hybridMultilevel"/>
    <w:tmpl w:val="2A4887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61"/>
    <w:rsid w:val="00004177"/>
    <w:rsid w:val="0001254A"/>
    <w:rsid w:val="00052783"/>
    <w:rsid w:val="00066FE5"/>
    <w:rsid w:val="00074604"/>
    <w:rsid w:val="00076B6C"/>
    <w:rsid w:val="000C60F5"/>
    <w:rsid w:val="000F2372"/>
    <w:rsid w:val="00110A5B"/>
    <w:rsid w:val="00112D1A"/>
    <w:rsid w:val="001220DE"/>
    <w:rsid w:val="001477EF"/>
    <w:rsid w:val="00164FED"/>
    <w:rsid w:val="001656F9"/>
    <w:rsid w:val="0016694C"/>
    <w:rsid w:val="001676AD"/>
    <w:rsid w:val="00176460"/>
    <w:rsid w:val="001C2929"/>
    <w:rsid w:val="001C2E54"/>
    <w:rsid w:val="001D4075"/>
    <w:rsid w:val="001E1297"/>
    <w:rsid w:val="0020699F"/>
    <w:rsid w:val="00207F39"/>
    <w:rsid w:val="002507C2"/>
    <w:rsid w:val="002559CF"/>
    <w:rsid w:val="00282F37"/>
    <w:rsid w:val="00290EB6"/>
    <w:rsid w:val="002C1654"/>
    <w:rsid w:val="002D2334"/>
    <w:rsid w:val="002D4E5C"/>
    <w:rsid w:val="00307DE2"/>
    <w:rsid w:val="00311967"/>
    <w:rsid w:val="00326DB4"/>
    <w:rsid w:val="00341F18"/>
    <w:rsid w:val="0035298A"/>
    <w:rsid w:val="00352B3A"/>
    <w:rsid w:val="00383A1E"/>
    <w:rsid w:val="00383C0A"/>
    <w:rsid w:val="00391980"/>
    <w:rsid w:val="003D1249"/>
    <w:rsid w:val="003D68C4"/>
    <w:rsid w:val="004129F8"/>
    <w:rsid w:val="00421670"/>
    <w:rsid w:val="0043337D"/>
    <w:rsid w:val="00435C6D"/>
    <w:rsid w:val="004408A5"/>
    <w:rsid w:val="00475567"/>
    <w:rsid w:val="004B4AFD"/>
    <w:rsid w:val="004B720E"/>
    <w:rsid w:val="004C3619"/>
    <w:rsid w:val="004D0659"/>
    <w:rsid w:val="004D3C91"/>
    <w:rsid w:val="004D62FE"/>
    <w:rsid w:val="004E0F4E"/>
    <w:rsid w:val="0050218B"/>
    <w:rsid w:val="00553178"/>
    <w:rsid w:val="00562F24"/>
    <w:rsid w:val="00584218"/>
    <w:rsid w:val="005A6022"/>
    <w:rsid w:val="005B5944"/>
    <w:rsid w:val="005F1C3C"/>
    <w:rsid w:val="0062663B"/>
    <w:rsid w:val="0063611A"/>
    <w:rsid w:val="00641C69"/>
    <w:rsid w:val="0065430E"/>
    <w:rsid w:val="00676191"/>
    <w:rsid w:val="0068319E"/>
    <w:rsid w:val="00691EC9"/>
    <w:rsid w:val="006A3B09"/>
    <w:rsid w:val="006C6CE3"/>
    <w:rsid w:val="0071170E"/>
    <w:rsid w:val="007215C1"/>
    <w:rsid w:val="00721A1F"/>
    <w:rsid w:val="00723B9F"/>
    <w:rsid w:val="0072453F"/>
    <w:rsid w:val="0077345A"/>
    <w:rsid w:val="00787961"/>
    <w:rsid w:val="0079591E"/>
    <w:rsid w:val="007A61A7"/>
    <w:rsid w:val="007B1A85"/>
    <w:rsid w:val="007C6E7B"/>
    <w:rsid w:val="007E7BB0"/>
    <w:rsid w:val="007F1039"/>
    <w:rsid w:val="00823A61"/>
    <w:rsid w:val="00827DF7"/>
    <w:rsid w:val="008402C6"/>
    <w:rsid w:val="008C3D97"/>
    <w:rsid w:val="008D2F54"/>
    <w:rsid w:val="008E3788"/>
    <w:rsid w:val="008F6220"/>
    <w:rsid w:val="00956594"/>
    <w:rsid w:val="009570D7"/>
    <w:rsid w:val="00964FB1"/>
    <w:rsid w:val="00981584"/>
    <w:rsid w:val="0099703A"/>
    <w:rsid w:val="009A0DFA"/>
    <w:rsid w:val="009C1580"/>
    <w:rsid w:val="009D41C2"/>
    <w:rsid w:val="00A03892"/>
    <w:rsid w:val="00A160D1"/>
    <w:rsid w:val="00A478C5"/>
    <w:rsid w:val="00AB25D2"/>
    <w:rsid w:val="00AF55AA"/>
    <w:rsid w:val="00AF76C8"/>
    <w:rsid w:val="00B055E0"/>
    <w:rsid w:val="00B16122"/>
    <w:rsid w:val="00B20CD6"/>
    <w:rsid w:val="00B56CE1"/>
    <w:rsid w:val="00B753A8"/>
    <w:rsid w:val="00BB7DBB"/>
    <w:rsid w:val="00BC2DA7"/>
    <w:rsid w:val="00BE637C"/>
    <w:rsid w:val="00BF3369"/>
    <w:rsid w:val="00C02E3C"/>
    <w:rsid w:val="00C02E6E"/>
    <w:rsid w:val="00C5404D"/>
    <w:rsid w:val="00CA36D0"/>
    <w:rsid w:val="00CB6D88"/>
    <w:rsid w:val="00CE0F84"/>
    <w:rsid w:val="00CE348D"/>
    <w:rsid w:val="00CE4824"/>
    <w:rsid w:val="00D31280"/>
    <w:rsid w:val="00D364DB"/>
    <w:rsid w:val="00D41250"/>
    <w:rsid w:val="00D56E58"/>
    <w:rsid w:val="00D83B9D"/>
    <w:rsid w:val="00D917A6"/>
    <w:rsid w:val="00DB596A"/>
    <w:rsid w:val="00DD2DDA"/>
    <w:rsid w:val="00DF2CAF"/>
    <w:rsid w:val="00E205F1"/>
    <w:rsid w:val="00E31C90"/>
    <w:rsid w:val="00E34F5C"/>
    <w:rsid w:val="00E42E70"/>
    <w:rsid w:val="00E51F9E"/>
    <w:rsid w:val="00E7700E"/>
    <w:rsid w:val="00EB74BF"/>
    <w:rsid w:val="00ED514A"/>
    <w:rsid w:val="00EF2535"/>
    <w:rsid w:val="00F069CC"/>
    <w:rsid w:val="00F06E10"/>
    <w:rsid w:val="00F07360"/>
    <w:rsid w:val="00F513F0"/>
    <w:rsid w:val="00F61D4C"/>
    <w:rsid w:val="00F65D19"/>
    <w:rsid w:val="00F93EC2"/>
    <w:rsid w:val="00FC2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F308"/>
  <w15:chartTrackingRefBased/>
  <w15:docId w15:val="{344BD045-7F7C-4485-80F2-26CEFAD2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961"/>
  </w:style>
  <w:style w:type="paragraph" w:styleId="Nadpis1">
    <w:name w:val="heading 1"/>
    <w:basedOn w:val="Normln"/>
    <w:next w:val="Normln"/>
    <w:link w:val="Nadpis1Char"/>
    <w:uiPriority w:val="9"/>
    <w:qFormat/>
    <w:rsid w:val="00787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57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656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7961"/>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787961"/>
    <w:rPr>
      <w:color w:val="0563C1" w:themeColor="hyperlink"/>
      <w:u w:val="single"/>
    </w:rPr>
  </w:style>
  <w:style w:type="table" w:styleId="Mkatabulky">
    <w:name w:val="Table Grid"/>
    <w:basedOn w:val="Normlntabulka"/>
    <w:uiPriority w:val="39"/>
    <w:rsid w:val="0078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87961"/>
    <w:rPr>
      <w:color w:val="954F72" w:themeColor="followedHyperlink"/>
      <w:u w:val="single"/>
    </w:rPr>
  </w:style>
  <w:style w:type="character" w:customStyle="1" w:styleId="Nadpis2Char">
    <w:name w:val="Nadpis 2 Char"/>
    <w:basedOn w:val="Standardnpsmoodstavce"/>
    <w:link w:val="Nadpis2"/>
    <w:uiPriority w:val="9"/>
    <w:rsid w:val="009570D7"/>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9570D7"/>
    <w:rPr>
      <w:color w:val="605E5C"/>
      <w:shd w:val="clear" w:color="auto" w:fill="E1DFDD"/>
    </w:rPr>
  </w:style>
  <w:style w:type="paragraph" w:styleId="Odstavecseseznamem">
    <w:name w:val="List Paragraph"/>
    <w:basedOn w:val="Normln"/>
    <w:uiPriority w:val="34"/>
    <w:qFormat/>
    <w:rsid w:val="009570D7"/>
    <w:pPr>
      <w:ind w:left="720"/>
      <w:contextualSpacing/>
    </w:pPr>
  </w:style>
  <w:style w:type="paragraph" w:styleId="Textbubliny">
    <w:name w:val="Balloon Text"/>
    <w:basedOn w:val="Normln"/>
    <w:link w:val="TextbublinyChar"/>
    <w:uiPriority w:val="99"/>
    <w:semiHidden/>
    <w:unhideWhenUsed/>
    <w:rsid w:val="009D41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1C2"/>
    <w:rPr>
      <w:rFonts w:ascii="Segoe UI" w:hAnsi="Segoe UI" w:cs="Segoe UI"/>
      <w:sz w:val="18"/>
      <w:szCs w:val="18"/>
    </w:rPr>
  </w:style>
  <w:style w:type="character" w:styleId="Odkaznakoment">
    <w:name w:val="annotation reference"/>
    <w:basedOn w:val="Standardnpsmoodstavce"/>
    <w:uiPriority w:val="99"/>
    <w:semiHidden/>
    <w:unhideWhenUsed/>
    <w:rsid w:val="0062663B"/>
    <w:rPr>
      <w:sz w:val="16"/>
      <w:szCs w:val="16"/>
    </w:rPr>
  </w:style>
  <w:style w:type="paragraph" w:styleId="Textkomente">
    <w:name w:val="annotation text"/>
    <w:basedOn w:val="Normln"/>
    <w:link w:val="TextkomenteChar"/>
    <w:uiPriority w:val="99"/>
    <w:unhideWhenUsed/>
    <w:rsid w:val="0062663B"/>
    <w:pPr>
      <w:spacing w:line="240" w:lineRule="auto"/>
    </w:pPr>
    <w:rPr>
      <w:sz w:val="20"/>
      <w:szCs w:val="20"/>
    </w:rPr>
  </w:style>
  <w:style w:type="character" w:customStyle="1" w:styleId="TextkomenteChar">
    <w:name w:val="Text komentáře Char"/>
    <w:basedOn w:val="Standardnpsmoodstavce"/>
    <w:link w:val="Textkomente"/>
    <w:uiPriority w:val="99"/>
    <w:rsid w:val="0062663B"/>
    <w:rPr>
      <w:sz w:val="20"/>
      <w:szCs w:val="20"/>
    </w:rPr>
  </w:style>
  <w:style w:type="paragraph" w:styleId="Pedmtkomente">
    <w:name w:val="annotation subject"/>
    <w:basedOn w:val="Textkomente"/>
    <w:next w:val="Textkomente"/>
    <w:link w:val="PedmtkomenteChar"/>
    <w:uiPriority w:val="99"/>
    <w:semiHidden/>
    <w:unhideWhenUsed/>
    <w:rsid w:val="0062663B"/>
    <w:rPr>
      <w:b/>
      <w:bCs/>
    </w:rPr>
  </w:style>
  <w:style w:type="character" w:customStyle="1" w:styleId="PedmtkomenteChar">
    <w:name w:val="Předmět komentáře Char"/>
    <w:basedOn w:val="TextkomenteChar"/>
    <w:link w:val="Pedmtkomente"/>
    <w:uiPriority w:val="99"/>
    <w:semiHidden/>
    <w:rsid w:val="0062663B"/>
    <w:rPr>
      <w:b/>
      <w:bCs/>
      <w:sz w:val="20"/>
      <w:szCs w:val="20"/>
    </w:rPr>
  </w:style>
  <w:style w:type="character" w:customStyle="1" w:styleId="Nadpis3Char">
    <w:name w:val="Nadpis 3 Char"/>
    <w:basedOn w:val="Standardnpsmoodstavce"/>
    <w:link w:val="Nadpis3"/>
    <w:uiPriority w:val="9"/>
    <w:semiHidden/>
    <w:rsid w:val="001656F9"/>
    <w:rPr>
      <w:rFonts w:asciiTheme="majorHAnsi" w:eastAsiaTheme="majorEastAsia" w:hAnsiTheme="majorHAnsi" w:cstheme="majorBidi"/>
      <w:color w:val="1F3763" w:themeColor="accent1" w:themeShade="7F"/>
      <w:sz w:val="24"/>
      <w:szCs w:val="24"/>
    </w:rPr>
  </w:style>
  <w:style w:type="paragraph" w:customStyle="1" w:styleId="level1">
    <w:name w:val="level1"/>
    <w:basedOn w:val="Normln"/>
    <w:rsid w:val="001656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402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KdHTML">
    <w:name w:val="HTML Code"/>
    <w:basedOn w:val="Standardnpsmoodstavce"/>
    <w:uiPriority w:val="99"/>
    <w:semiHidden/>
    <w:unhideWhenUsed/>
    <w:rsid w:val="008402C6"/>
    <w:rPr>
      <w:rFonts w:ascii="Courier New" w:eastAsia="Times New Roman" w:hAnsi="Courier New" w:cs="Courier New"/>
      <w:sz w:val="20"/>
      <w:szCs w:val="20"/>
    </w:rPr>
  </w:style>
  <w:style w:type="paragraph" w:styleId="FormtovanvHTML">
    <w:name w:val="HTML Preformatted"/>
    <w:basedOn w:val="Normln"/>
    <w:link w:val="FormtovanvHTMLChar"/>
    <w:uiPriority w:val="99"/>
    <w:semiHidden/>
    <w:unhideWhenUsed/>
    <w:rsid w:val="0084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402C6"/>
    <w:rPr>
      <w:rFonts w:ascii="Courier New" w:eastAsia="Times New Roman" w:hAnsi="Courier New" w:cs="Courier New"/>
      <w:sz w:val="20"/>
      <w:szCs w:val="20"/>
      <w:lang w:eastAsia="cs-CZ"/>
    </w:rPr>
  </w:style>
  <w:style w:type="paragraph" w:styleId="Revize">
    <w:name w:val="Revision"/>
    <w:hidden/>
    <w:uiPriority w:val="99"/>
    <w:semiHidden/>
    <w:rsid w:val="00176460"/>
    <w:pPr>
      <w:spacing w:after="0" w:line="240" w:lineRule="auto"/>
    </w:pPr>
  </w:style>
  <w:style w:type="paragraph" w:styleId="Textpoznpodarou">
    <w:name w:val="footnote text"/>
    <w:basedOn w:val="Normln"/>
    <w:link w:val="TextpoznpodarouChar"/>
    <w:uiPriority w:val="99"/>
    <w:semiHidden/>
    <w:unhideWhenUsed/>
    <w:rsid w:val="003D12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D1249"/>
    <w:rPr>
      <w:sz w:val="20"/>
      <w:szCs w:val="20"/>
    </w:rPr>
  </w:style>
  <w:style w:type="character" w:styleId="Znakapoznpodarou">
    <w:name w:val="footnote reference"/>
    <w:basedOn w:val="Standardnpsmoodstavce"/>
    <w:uiPriority w:val="99"/>
    <w:semiHidden/>
    <w:unhideWhenUsed/>
    <w:rsid w:val="003D1249"/>
    <w:rPr>
      <w:vertAlign w:val="superscript"/>
    </w:rPr>
  </w:style>
  <w:style w:type="character" w:styleId="Siln">
    <w:name w:val="Strong"/>
    <w:basedOn w:val="Standardnpsmoodstavce"/>
    <w:uiPriority w:val="22"/>
    <w:qFormat/>
    <w:rsid w:val="0030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1126">
      <w:bodyDiv w:val="1"/>
      <w:marLeft w:val="0"/>
      <w:marRight w:val="0"/>
      <w:marTop w:val="0"/>
      <w:marBottom w:val="0"/>
      <w:divBdr>
        <w:top w:val="none" w:sz="0" w:space="0" w:color="auto"/>
        <w:left w:val="none" w:sz="0" w:space="0" w:color="auto"/>
        <w:bottom w:val="none" w:sz="0" w:space="0" w:color="auto"/>
        <w:right w:val="none" w:sz="0" w:space="0" w:color="auto"/>
      </w:divBdr>
    </w:div>
    <w:div w:id="125465069">
      <w:bodyDiv w:val="1"/>
      <w:marLeft w:val="0"/>
      <w:marRight w:val="0"/>
      <w:marTop w:val="0"/>
      <w:marBottom w:val="0"/>
      <w:divBdr>
        <w:top w:val="none" w:sz="0" w:space="0" w:color="auto"/>
        <w:left w:val="none" w:sz="0" w:space="0" w:color="auto"/>
        <w:bottom w:val="none" w:sz="0" w:space="0" w:color="auto"/>
        <w:right w:val="none" w:sz="0" w:space="0" w:color="auto"/>
      </w:divBdr>
    </w:div>
    <w:div w:id="162664449">
      <w:bodyDiv w:val="1"/>
      <w:marLeft w:val="0"/>
      <w:marRight w:val="0"/>
      <w:marTop w:val="0"/>
      <w:marBottom w:val="0"/>
      <w:divBdr>
        <w:top w:val="none" w:sz="0" w:space="0" w:color="auto"/>
        <w:left w:val="none" w:sz="0" w:space="0" w:color="auto"/>
        <w:bottom w:val="none" w:sz="0" w:space="0" w:color="auto"/>
        <w:right w:val="none" w:sz="0" w:space="0" w:color="auto"/>
      </w:divBdr>
    </w:div>
    <w:div w:id="221911197">
      <w:bodyDiv w:val="1"/>
      <w:marLeft w:val="0"/>
      <w:marRight w:val="0"/>
      <w:marTop w:val="0"/>
      <w:marBottom w:val="0"/>
      <w:divBdr>
        <w:top w:val="none" w:sz="0" w:space="0" w:color="auto"/>
        <w:left w:val="none" w:sz="0" w:space="0" w:color="auto"/>
        <w:bottom w:val="none" w:sz="0" w:space="0" w:color="auto"/>
        <w:right w:val="none" w:sz="0" w:space="0" w:color="auto"/>
      </w:divBdr>
    </w:div>
    <w:div w:id="397896844">
      <w:bodyDiv w:val="1"/>
      <w:marLeft w:val="0"/>
      <w:marRight w:val="0"/>
      <w:marTop w:val="0"/>
      <w:marBottom w:val="0"/>
      <w:divBdr>
        <w:top w:val="none" w:sz="0" w:space="0" w:color="auto"/>
        <w:left w:val="none" w:sz="0" w:space="0" w:color="auto"/>
        <w:bottom w:val="none" w:sz="0" w:space="0" w:color="auto"/>
        <w:right w:val="none" w:sz="0" w:space="0" w:color="auto"/>
      </w:divBdr>
    </w:div>
    <w:div w:id="468592779">
      <w:bodyDiv w:val="1"/>
      <w:marLeft w:val="0"/>
      <w:marRight w:val="0"/>
      <w:marTop w:val="0"/>
      <w:marBottom w:val="0"/>
      <w:divBdr>
        <w:top w:val="none" w:sz="0" w:space="0" w:color="auto"/>
        <w:left w:val="none" w:sz="0" w:space="0" w:color="auto"/>
        <w:bottom w:val="none" w:sz="0" w:space="0" w:color="auto"/>
        <w:right w:val="none" w:sz="0" w:space="0" w:color="auto"/>
      </w:divBdr>
      <w:divsChild>
        <w:div w:id="1267344814">
          <w:marLeft w:val="0"/>
          <w:marRight w:val="0"/>
          <w:marTop w:val="0"/>
          <w:marBottom w:val="0"/>
          <w:divBdr>
            <w:top w:val="none" w:sz="0" w:space="0" w:color="auto"/>
            <w:left w:val="none" w:sz="0" w:space="0" w:color="auto"/>
            <w:bottom w:val="none" w:sz="0" w:space="0" w:color="auto"/>
            <w:right w:val="none" w:sz="0" w:space="0" w:color="auto"/>
          </w:divBdr>
          <w:divsChild>
            <w:div w:id="857696646">
              <w:marLeft w:val="0"/>
              <w:marRight w:val="0"/>
              <w:marTop w:val="0"/>
              <w:marBottom w:val="0"/>
              <w:divBdr>
                <w:top w:val="none" w:sz="0" w:space="0" w:color="auto"/>
                <w:left w:val="none" w:sz="0" w:space="0" w:color="auto"/>
                <w:bottom w:val="none" w:sz="0" w:space="0" w:color="auto"/>
                <w:right w:val="none" w:sz="0" w:space="0" w:color="auto"/>
              </w:divBdr>
            </w:div>
            <w:div w:id="1612471192">
              <w:marLeft w:val="0"/>
              <w:marRight w:val="0"/>
              <w:marTop w:val="0"/>
              <w:marBottom w:val="0"/>
              <w:divBdr>
                <w:top w:val="none" w:sz="0" w:space="0" w:color="auto"/>
                <w:left w:val="none" w:sz="0" w:space="0" w:color="auto"/>
                <w:bottom w:val="none" w:sz="0" w:space="0" w:color="auto"/>
                <w:right w:val="none" w:sz="0" w:space="0" w:color="auto"/>
              </w:divBdr>
            </w:div>
            <w:div w:id="2030444639">
              <w:marLeft w:val="0"/>
              <w:marRight w:val="0"/>
              <w:marTop w:val="0"/>
              <w:marBottom w:val="0"/>
              <w:divBdr>
                <w:top w:val="none" w:sz="0" w:space="0" w:color="auto"/>
                <w:left w:val="none" w:sz="0" w:space="0" w:color="auto"/>
                <w:bottom w:val="none" w:sz="0" w:space="0" w:color="auto"/>
                <w:right w:val="none" w:sz="0" w:space="0" w:color="auto"/>
              </w:divBdr>
            </w:div>
            <w:div w:id="1919752998">
              <w:marLeft w:val="0"/>
              <w:marRight w:val="0"/>
              <w:marTop w:val="0"/>
              <w:marBottom w:val="0"/>
              <w:divBdr>
                <w:top w:val="none" w:sz="0" w:space="0" w:color="auto"/>
                <w:left w:val="none" w:sz="0" w:space="0" w:color="auto"/>
                <w:bottom w:val="none" w:sz="0" w:space="0" w:color="auto"/>
                <w:right w:val="none" w:sz="0" w:space="0" w:color="auto"/>
              </w:divBdr>
            </w:div>
            <w:div w:id="77871999">
              <w:marLeft w:val="0"/>
              <w:marRight w:val="0"/>
              <w:marTop w:val="0"/>
              <w:marBottom w:val="0"/>
              <w:divBdr>
                <w:top w:val="none" w:sz="0" w:space="0" w:color="auto"/>
                <w:left w:val="none" w:sz="0" w:space="0" w:color="auto"/>
                <w:bottom w:val="none" w:sz="0" w:space="0" w:color="auto"/>
                <w:right w:val="none" w:sz="0" w:space="0" w:color="auto"/>
              </w:divBdr>
            </w:div>
            <w:div w:id="37557944">
              <w:marLeft w:val="0"/>
              <w:marRight w:val="0"/>
              <w:marTop w:val="0"/>
              <w:marBottom w:val="0"/>
              <w:divBdr>
                <w:top w:val="none" w:sz="0" w:space="0" w:color="auto"/>
                <w:left w:val="none" w:sz="0" w:space="0" w:color="auto"/>
                <w:bottom w:val="none" w:sz="0" w:space="0" w:color="auto"/>
                <w:right w:val="none" w:sz="0" w:space="0" w:color="auto"/>
              </w:divBdr>
            </w:div>
            <w:div w:id="591086767">
              <w:marLeft w:val="0"/>
              <w:marRight w:val="0"/>
              <w:marTop w:val="0"/>
              <w:marBottom w:val="0"/>
              <w:divBdr>
                <w:top w:val="none" w:sz="0" w:space="0" w:color="auto"/>
                <w:left w:val="none" w:sz="0" w:space="0" w:color="auto"/>
                <w:bottom w:val="none" w:sz="0" w:space="0" w:color="auto"/>
                <w:right w:val="none" w:sz="0" w:space="0" w:color="auto"/>
              </w:divBdr>
            </w:div>
            <w:div w:id="2122677724">
              <w:marLeft w:val="0"/>
              <w:marRight w:val="0"/>
              <w:marTop w:val="0"/>
              <w:marBottom w:val="0"/>
              <w:divBdr>
                <w:top w:val="none" w:sz="0" w:space="0" w:color="auto"/>
                <w:left w:val="none" w:sz="0" w:space="0" w:color="auto"/>
                <w:bottom w:val="none" w:sz="0" w:space="0" w:color="auto"/>
                <w:right w:val="none" w:sz="0" w:space="0" w:color="auto"/>
              </w:divBdr>
            </w:div>
            <w:div w:id="283778461">
              <w:marLeft w:val="0"/>
              <w:marRight w:val="0"/>
              <w:marTop w:val="0"/>
              <w:marBottom w:val="0"/>
              <w:divBdr>
                <w:top w:val="none" w:sz="0" w:space="0" w:color="auto"/>
                <w:left w:val="none" w:sz="0" w:space="0" w:color="auto"/>
                <w:bottom w:val="none" w:sz="0" w:space="0" w:color="auto"/>
                <w:right w:val="none" w:sz="0" w:space="0" w:color="auto"/>
              </w:divBdr>
            </w:div>
            <w:div w:id="428476538">
              <w:marLeft w:val="0"/>
              <w:marRight w:val="0"/>
              <w:marTop w:val="0"/>
              <w:marBottom w:val="0"/>
              <w:divBdr>
                <w:top w:val="none" w:sz="0" w:space="0" w:color="auto"/>
                <w:left w:val="none" w:sz="0" w:space="0" w:color="auto"/>
                <w:bottom w:val="none" w:sz="0" w:space="0" w:color="auto"/>
                <w:right w:val="none" w:sz="0" w:space="0" w:color="auto"/>
              </w:divBdr>
            </w:div>
            <w:div w:id="946619246">
              <w:marLeft w:val="0"/>
              <w:marRight w:val="0"/>
              <w:marTop w:val="0"/>
              <w:marBottom w:val="0"/>
              <w:divBdr>
                <w:top w:val="none" w:sz="0" w:space="0" w:color="auto"/>
                <w:left w:val="none" w:sz="0" w:space="0" w:color="auto"/>
                <w:bottom w:val="none" w:sz="0" w:space="0" w:color="auto"/>
                <w:right w:val="none" w:sz="0" w:space="0" w:color="auto"/>
              </w:divBdr>
            </w:div>
            <w:div w:id="2038656036">
              <w:marLeft w:val="0"/>
              <w:marRight w:val="0"/>
              <w:marTop w:val="0"/>
              <w:marBottom w:val="0"/>
              <w:divBdr>
                <w:top w:val="none" w:sz="0" w:space="0" w:color="auto"/>
                <w:left w:val="none" w:sz="0" w:space="0" w:color="auto"/>
                <w:bottom w:val="none" w:sz="0" w:space="0" w:color="auto"/>
                <w:right w:val="none" w:sz="0" w:space="0" w:color="auto"/>
              </w:divBdr>
            </w:div>
            <w:div w:id="1507938014">
              <w:marLeft w:val="0"/>
              <w:marRight w:val="0"/>
              <w:marTop w:val="0"/>
              <w:marBottom w:val="0"/>
              <w:divBdr>
                <w:top w:val="none" w:sz="0" w:space="0" w:color="auto"/>
                <w:left w:val="none" w:sz="0" w:space="0" w:color="auto"/>
                <w:bottom w:val="none" w:sz="0" w:space="0" w:color="auto"/>
                <w:right w:val="none" w:sz="0" w:space="0" w:color="auto"/>
              </w:divBdr>
            </w:div>
            <w:div w:id="1174151278">
              <w:marLeft w:val="0"/>
              <w:marRight w:val="0"/>
              <w:marTop w:val="0"/>
              <w:marBottom w:val="0"/>
              <w:divBdr>
                <w:top w:val="none" w:sz="0" w:space="0" w:color="auto"/>
                <w:left w:val="none" w:sz="0" w:space="0" w:color="auto"/>
                <w:bottom w:val="none" w:sz="0" w:space="0" w:color="auto"/>
                <w:right w:val="none" w:sz="0" w:space="0" w:color="auto"/>
              </w:divBdr>
            </w:div>
            <w:div w:id="676077046">
              <w:marLeft w:val="0"/>
              <w:marRight w:val="0"/>
              <w:marTop w:val="0"/>
              <w:marBottom w:val="0"/>
              <w:divBdr>
                <w:top w:val="none" w:sz="0" w:space="0" w:color="auto"/>
                <w:left w:val="none" w:sz="0" w:space="0" w:color="auto"/>
                <w:bottom w:val="none" w:sz="0" w:space="0" w:color="auto"/>
                <w:right w:val="none" w:sz="0" w:space="0" w:color="auto"/>
              </w:divBdr>
            </w:div>
            <w:div w:id="32702497">
              <w:marLeft w:val="0"/>
              <w:marRight w:val="0"/>
              <w:marTop w:val="0"/>
              <w:marBottom w:val="0"/>
              <w:divBdr>
                <w:top w:val="none" w:sz="0" w:space="0" w:color="auto"/>
                <w:left w:val="none" w:sz="0" w:space="0" w:color="auto"/>
                <w:bottom w:val="none" w:sz="0" w:space="0" w:color="auto"/>
                <w:right w:val="none" w:sz="0" w:space="0" w:color="auto"/>
              </w:divBdr>
            </w:div>
            <w:div w:id="161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7646">
      <w:bodyDiv w:val="1"/>
      <w:marLeft w:val="0"/>
      <w:marRight w:val="0"/>
      <w:marTop w:val="0"/>
      <w:marBottom w:val="0"/>
      <w:divBdr>
        <w:top w:val="none" w:sz="0" w:space="0" w:color="auto"/>
        <w:left w:val="none" w:sz="0" w:space="0" w:color="auto"/>
        <w:bottom w:val="none" w:sz="0" w:space="0" w:color="auto"/>
        <w:right w:val="none" w:sz="0" w:space="0" w:color="auto"/>
      </w:divBdr>
    </w:div>
    <w:div w:id="1053701713">
      <w:bodyDiv w:val="1"/>
      <w:marLeft w:val="0"/>
      <w:marRight w:val="0"/>
      <w:marTop w:val="0"/>
      <w:marBottom w:val="0"/>
      <w:divBdr>
        <w:top w:val="none" w:sz="0" w:space="0" w:color="auto"/>
        <w:left w:val="none" w:sz="0" w:space="0" w:color="auto"/>
        <w:bottom w:val="none" w:sz="0" w:space="0" w:color="auto"/>
        <w:right w:val="none" w:sz="0" w:space="0" w:color="auto"/>
      </w:divBdr>
      <w:divsChild>
        <w:div w:id="2061437154">
          <w:marLeft w:val="0"/>
          <w:marRight w:val="0"/>
          <w:marTop w:val="0"/>
          <w:marBottom w:val="0"/>
          <w:divBdr>
            <w:top w:val="none" w:sz="0" w:space="0" w:color="auto"/>
            <w:left w:val="none" w:sz="0" w:space="0" w:color="auto"/>
            <w:bottom w:val="none" w:sz="0" w:space="0" w:color="auto"/>
            <w:right w:val="none" w:sz="0" w:space="0" w:color="auto"/>
          </w:divBdr>
          <w:divsChild>
            <w:div w:id="802499734">
              <w:marLeft w:val="0"/>
              <w:marRight w:val="0"/>
              <w:marTop w:val="0"/>
              <w:marBottom w:val="0"/>
              <w:divBdr>
                <w:top w:val="none" w:sz="0" w:space="0" w:color="auto"/>
                <w:left w:val="none" w:sz="0" w:space="0" w:color="auto"/>
                <w:bottom w:val="none" w:sz="0" w:space="0" w:color="auto"/>
                <w:right w:val="none" w:sz="0" w:space="0" w:color="auto"/>
              </w:divBdr>
            </w:div>
            <w:div w:id="211505203">
              <w:marLeft w:val="0"/>
              <w:marRight w:val="0"/>
              <w:marTop w:val="0"/>
              <w:marBottom w:val="0"/>
              <w:divBdr>
                <w:top w:val="none" w:sz="0" w:space="0" w:color="auto"/>
                <w:left w:val="none" w:sz="0" w:space="0" w:color="auto"/>
                <w:bottom w:val="none" w:sz="0" w:space="0" w:color="auto"/>
                <w:right w:val="none" w:sz="0" w:space="0" w:color="auto"/>
              </w:divBdr>
            </w:div>
            <w:div w:id="1179586943">
              <w:marLeft w:val="0"/>
              <w:marRight w:val="0"/>
              <w:marTop w:val="0"/>
              <w:marBottom w:val="0"/>
              <w:divBdr>
                <w:top w:val="none" w:sz="0" w:space="0" w:color="auto"/>
                <w:left w:val="none" w:sz="0" w:space="0" w:color="auto"/>
                <w:bottom w:val="none" w:sz="0" w:space="0" w:color="auto"/>
                <w:right w:val="none" w:sz="0" w:space="0" w:color="auto"/>
              </w:divBdr>
            </w:div>
            <w:div w:id="1207988312">
              <w:marLeft w:val="0"/>
              <w:marRight w:val="0"/>
              <w:marTop w:val="0"/>
              <w:marBottom w:val="0"/>
              <w:divBdr>
                <w:top w:val="none" w:sz="0" w:space="0" w:color="auto"/>
                <w:left w:val="none" w:sz="0" w:space="0" w:color="auto"/>
                <w:bottom w:val="none" w:sz="0" w:space="0" w:color="auto"/>
                <w:right w:val="none" w:sz="0" w:space="0" w:color="auto"/>
              </w:divBdr>
            </w:div>
            <w:div w:id="325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2251">
      <w:bodyDiv w:val="1"/>
      <w:marLeft w:val="0"/>
      <w:marRight w:val="0"/>
      <w:marTop w:val="0"/>
      <w:marBottom w:val="0"/>
      <w:divBdr>
        <w:top w:val="none" w:sz="0" w:space="0" w:color="auto"/>
        <w:left w:val="none" w:sz="0" w:space="0" w:color="auto"/>
        <w:bottom w:val="none" w:sz="0" w:space="0" w:color="auto"/>
        <w:right w:val="none" w:sz="0" w:space="0" w:color="auto"/>
      </w:divBdr>
    </w:div>
    <w:div w:id="1362971144">
      <w:bodyDiv w:val="1"/>
      <w:marLeft w:val="0"/>
      <w:marRight w:val="0"/>
      <w:marTop w:val="0"/>
      <w:marBottom w:val="0"/>
      <w:divBdr>
        <w:top w:val="none" w:sz="0" w:space="0" w:color="auto"/>
        <w:left w:val="none" w:sz="0" w:space="0" w:color="auto"/>
        <w:bottom w:val="none" w:sz="0" w:space="0" w:color="auto"/>
        <w:right w:val="none" w:sz="0" w:space="0" w:color="auto"/>
      </w:divBdr>
    </w:div>
    <w:div w:id="1655910584">
      <w:bodyDiv w:val="1"/>
      <w:marLeft w:val="0"/>
      <w:marRight w:val="0"/>
      <w:marTop w:val="0"/>
      <w:marBottom w:val="0"/>
      <w:divBdr>
        <w:top w:val="none" w:sz="0" w:space="0" w:color="auto"/>
        <w:left w:val="none" w:sz="0" w:space="0" w:color="auto"/>
        <w:bottom w:val="none" w:sz="0" w:space="0" w:color="auto"/>
        <w:right w:val="none" w:sz="0" w:space="0" w:color="auto"/>
      </w:divBdr>
    </w:div>
    <w:div w:id="1704672342">
      <w:bodyDiv w:val="1"/>
      <w:marLeft w:val="0"/>
      <w:marRight w:val="0"/>
      <w:marTop w:val="0"/>
      <w:marBottom w:val="0"/>
      <w:divBdr>
        <w:top w:val="none" w:sz="0" w:space="0" w:color="auto"/>
        <w:left w:val="none" w:sz="0" w:space="0" w:color="auto"/>
        <w:bottom w:val="none" w:sz="0" w:space="0" w:color="auto"/>
        <w:right w:val="none" w:sz="0" w:space="0" w:color="auto"/>
      </w:divBdr>
    </w:div>
    <w:div w:id="1907296968">
      <w:bodyDiv w:val="1"/>
      <w:marLeft w:val="0"/>
      <w:marRight w:val="0"/>
      <w:marTop w:val="0"/>
      <w:marBottom w:val="0"/>
      <w:divBdr>
        <w:top w:val="none" w:sz="0" w:space="0" w:color="auto"/>
        <w:left w:val="none" w:sz="0" w:space="0" w:color="auto"/>
        <w:bottom w:val="none" w:sz="0" w:space="0" w:color="auto"/>
        <w:right w:val="none" w:sz="0" w:space="0" w:color="auto"/>
      </w:divBdr>
    </w:div>
    <w:div w:id="2020883468">
      <w:bodyDiv w:val="1"/>
      <w:marLeft w:val="0"/>
      <w:marRight w:val="0"/>
      <w:marTop w:val="0"/>
      <w:marBottom w:val="0"/>
      <w:divBdr>
        <w:top w:val="none" w:sz="0" w:space="0" w:color="auto"/>
        <w:left w:val="none" w:sz="0" w:space="0" w:color="auto"/>
        <w:bottom w:val="none" w:sz="0" w:space="0" w:color="auto"/>
        <w:right w:val="none" w:sz="0" w:space="0" w:color="auto"/>
      </w:divBdr>
    </w:div>
    <w:div w:id="20793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cz/datov%C3%A9-sady" TargetMode="External"/><Relationship Id="rId13" Type="http://schemas.openxmlformats.org/officeDocument/2006/relationships/hyperlink" Target="https://tools.ietf.org/html/rfc4180" TargetMode="External"/><Relationship Id="rId18" Type="http://schemas.openxmlformats.org/officeDocument/2006/relationships/hyperlink" Target="https://opendata.gov.cz/standardy:technicke-standardy-pro-vytvareni-datovych-schemat-na-stupni-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endata.gov.cz/standardy:csv" TargetMode="External"/><Relationship Id="rId17" Type="http://schemas.openxmlformats.org/officeDocument/2006/relationships/hyperlink" Target="https://www.w3.org/TR/xmlschema-2/" TargetMode="External"/><Relationship Id="rId2" Type="http://schemas.openxmlformats.org/officeDocument/2006/relationships/numbering" Target="numbering.xml"/><Relationship Id="rId16" Type="http://schemas.openxmlformats.org/officeDocument/2006/relationships/hyperlink" Target="https://www.w3.org/TR/xmlschema-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cz/graphql" TargetMode="External"/><Relationship Id="rId5" Type="http://schemas.openxmlformats.org/officeDocument/2006/relationships/webSettings" Target="webSettings.xml"/><Relationship Id="rId15" Type="http://schemas.openxmlformats.org/officeDocument/2006/relationships/hyperlink" Target="https://www.w3.org/TR/xmlschema-2/" TargetMode="External"/><Relationship Id="rId10" Type="http://schemas.openxmlformats.org/officeDocument/2006/relationships/hyperlink" Target="https://data.gov.cz/ldf/" TargetMode="External"/><Relationship Id="rId19" Type="http://schemas.openxmlformats.org/officeDocument/2006/relationships/hyperlink" Target="https://www.w3.org/TR/tabular-metadata/" TargetMode="External"/><Relationship Id="rId4" Type="http://schemas.openxmlformats.org/officeDocument/2006/relationships/settings" Target="settings.xml"/><Relationship Id="rId9" Type="http://schemas.openxmlformats.org/officeDocument/2006/relationships/hyperlink" Target="https://data.gov.cz/sparql" TargetMode="External"/><Relationship Id="rId14" Type="http://schemas.openxmlformats.org/officeDocument/2006/relationships/hyperlink" Target="https://opendata.gov.cz/standardy:csv:chybn%C3%A9-datum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1A96-9CF8-4709-921A-9272711F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5584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KOPKÁŠOVÁ Marika</dc:creator>
  <cp:keywords/>
  <dc:description/>
  <cp:lastModifiedBy>Svoboda Tomáš</cp:lastModifiedBy>
  <cp:revision>2</cp:revision>
  <cp:lastPrinted>2025-03-27T14:18:00Z</cp:lastPrinted>
  <dcterms:created xsi:type="dcterms:W3CDTF">2025-06-18T11:21:00Z</dcterms:created>
  <dcterms:modified xsi:type="dcterms:W3CDTF">2025-06-18T11:21:00Z</dcterms:modified>
</cp:coreProperties>
</file>