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463F5" w14:textId="0403F0AF" w:rsidR="006A3831" w:rsidRPr="00EF20E4" w:rsidRDefault="001E03D3" w:rsidP="00026BDC">
      <w:pPr>
        <w:pStyle w:val="Odstavecseseznamem"/>
        <w:spacing w:after="120" w:line="240" w:lineRule="auto"/>
        <w:ind w:left="708" w:hanging="139"/>
        <w:contextualSpacing w:val="0"/>
        <w:jc w:val="center"/>
        <w:rPr>
          <w:b/>
          <w:sz w:val="28"/>
          <w:szCs w:val="28"/>
        </w:rPr>
      </w:pPr>
      <w:bookmarkStart w:id="0" w:name="_GoBack"/>
      <w:bookmarkEnd w:id="0"/>
      <w:r>
        <w:rPr>
          <w:b/>
          <w:sz w:val="28"/>
          <w:szCs w:val="28"/>
        </w:rPr>
        <w:t>Návrh na z</w:t>
      </w:r>
      <w:r w:rsidR="006A3831" w:rsidRPr="00EF20E4">
        <w:rPr>
          <w:b/>
          <w:sz w:val="28"/>
          <w:szCs w:val="28"/>
        </w:rPr>
        <w:t>měn</w:t>
      </w:r>
      <w:r>
        <w:rPr>
          <w:b/>
          <w:sz w:val="28"/>
          <w:szCs w:val="28"/>
        </w:rPr>
        <w:t>u</w:t>
      </w:r>
      <w:r w:rsidR="006A3831" w:rsidRPr="00EF20E4">
        <w:rPr>
          <w:b/>
          <w:sz w:val="28"/>
          <w:szCs w:val="28"/>
        </w:rPr>
        <w:t xml:space="preserve"> zákona č. 416/2009 Sb., o urychlení výstavby dopravní, vodní a energetické infrastruktury a infrastruktury elektronických komunikací</w:t>
      </w:r>
    </w:p>
    <w:p w14:paraId="04EE2B75" w14:textId="77777777" w:rsidR="006A3831" w:rsidRPr="00E03077" w:rsidRDefault="006A3831" w:rsidP="00026BDC">
      <w:pPr>
        <w:pStyle w:val="Odstavecseseznamem"/>
        <w:spacing w:after="120" w:line="240" w:lineRule="auto"/>
        <w:ind w:left="567" w:firstLine="2"/>
        <w:contextualSpacing w:val="0"/>
        <w:jc w:val="center"/>
        <w:rPr>
          <w:b/>
        </w:rPr>
      </w:pPr>
    </w:p>
    <w:p w14:paraId="4005CF5E" w14:textId="27FFD7EA" w:rsidR="006A3831" w:rsidRDefault="001E03D3" w:rsidP="00026BDC">
      <w:pPr>
        <w:spacing w:after="120" w:line="240" w:lineRule="auto"/>
        <w:ind w:firstLine="569"/>
        <w:jc w:val="both"/>
      </w:pPr>
      <w:r>
        <w:t>V</w:t>
      </w:r>
      <w:r w:rsidRPr="000D3F86">
        <w:t xml:space="preserve"> § </w:t>
      </w:r>
      <w:r>
        <w:t xml:space="preserve">2i zákona č. 416/2009 Sb., </w:t>
      </w:r>
      <w:r w:rsidRPr="001E03D3">
        <w:t>o urychlení výstavby dopravní, vodní a energetické infrastruktury a infrastruktury elektronických komunikací</w:t>
      </w:r>
      <w:r>
        <w:t xml:space="preserve">, ve znění zákona č. </w:t>
      </w:r>
      <w:r w:rsidR="00026BDC">
        <w:t>169</w:t>
      </w:r>
      <w:r>
        <w:t>/20</w:t>
      </w:r>
      <w:r w:rsidR="00026BDC">
        <w:t>18</w:t>
      </w:r>
      <w:r>
        <w:t xml:space="preserve"> Sb., </w:t>
      </w:r>
      <w:r w:rsidR="00A22499">
        <w:t xml:space="preserve">se </w:t>
      </w:r>
      <w:r w:rsidR="006A3831">
        <w:t>doplňuj</w:t>
      </w:r>
      <w:r w:rsidR="00A22499">
        <w:t>í</w:t>
      </w:r>
      <w:r w:rsidR="006A3831">
        <w:t xml:space="preserve"> odstav</w:t>
      </w:r>
      <w:r w:rsidR="00A22499">
        <w:t>ce</w:t>
      </w:r>
      <w:r w:rsidR="006A3831" w:rsidRPr="00DF1CD4">
        <w:t xml:space="preserve"> </w:t>
      </w:r>
      <w:r w:rsidR="00A22499">
        <w:t xml:space="preserve">3 až </w:t>
      </w:r>
      <w:r w:rsidR="006A3831" w:rsidRPr="00DF1CD4">
        <w:t>6</w:t>
      </w:r>
      <w:r w:rsidR="006A3831" w:rsidRPr="000D3F86">
        <w:t>, kter</w:t>
      </w:r>
      <w:r w:rsidR="00A22499">
        <w:t>é znějí</w:t>
      </w:r>
      <w:r w:rsidR="006A3831">
        <w:t>:</w:t>
      </w:r>
    </w:p>
    <w:p w14:paraId="29380919" w14:textId="59DF9F15" w:rsidR="001E03D3" w:rsidRPr="001E03D3" w:rsidRDefault="003664AF" w:rsidP="00026BDC">
      <w:pPr>
        <w:spacing w:after="120" w:line="240" w:lineRule="auto"/>
        <w:ind w:firstLine="708"/>
        <w:jc w:val="both"/>
      </w:pPr>
      <w:r w:rsidRPr="009223F8">
        <w:t>„</w:t>
      </w:r>
      <w:bookmarkStart w:id="1" w:name="_Hlk526346090"/>
      <w:r w:rsidR="001E03D3" w:rsidRPr="001E03D3">
        <w:t>(3) Při výstavbě pozemní komunikace, dráhy</w:t>
      </w:r>
      <w:r w:rsidR="0043775F">
        <w:t xml:space="preserve"> nebo</w:t>
      </w:r>
      <w:r w:rsidR="001E03D3" w:rsidRPr="001E03D3">
        <w:t xml:space="preserve"> vodního díla nebo při podstatné změně</w:t>
      </w:r>
      <w:r w:rsidR="0043775F">
        <w:t xml:space="preserve"> </w:t>
      </w:r>
      <w:r w:rsidR="00642AD7">
        <w:t>nebo</w:t>
      </w:r>
      <w:r w:rsidR="0043775F">
        <w:t xml:space="preserve"> </w:t>
      </w:r>
      <w:r w:rsidR="001E03D3" w:rsidRPr="001E03D3">
        <w:t>významné renovaci takové stavby jsou stát, kraj nebo právnická osoba zřízená státem, krajem nebo zřízená zákonem nebo na základě zákona</w:t>
      </w:r>
      <w:r w:rsidR="009E486A">
        <w:t>, s výjimkou obce,</w:t>
      </w:r>
      <w:r w:rsidR="001E03D3" w:rsidRPr="001E03D3">
        <w:t xml:space="preserve"> (dále jen „osoba povinná vkládat fyzickou infrastrukturu“) povinni vkládat fyzickou </w:t>
      </w:r>
      <w:r w:rsidR="00C562E9" w:rsidRPr="001E03D3">
        <w:t>infrastruktur</w:t>
      </w:r>
      <w:r w:rsidR="00C562E9">
        <w:t>u</w:t>
      </w:r>
      <w:r w:rsidR="00C562E9" w:rsidRPr="001E03D3">
        <w:t xml:space="preserve"> </w:t>
      </w:r>
      <w:r w:rsidR="001E03D3" w:rsidRPr="001E03D3">
        <w:t>vhodnou pro zavedení sítí elektronických komunikací a poskytnout k této fyzické infrastruktuře přístup za nákladově orientovanou cenu podle zákona o elektronických komunikacích.</w:t>
      </w:r>
    </w:p>
    <w:p w14:paraId="65C1BB28" w14:textId="77777777" w:rsidR="001E03D3" w:rsidRPr="001E03D3" w:rsidRDefault="001E03D3" w:rsidP="00026BDC">
      <w:pPr>
        <w:spacing w:after="120" w:line="240" w:lineRule="auto"/>
        <w:ind w:firstLine="708"/>
        <w:jc w:val="both"/>
      </w:pPr>
      <w:r w:rsidRPr="001E03D3">
        <w:t xml:space="preserve">(4) Osoba povinná vkládat fyzickou infrastrukturu je povinna vést o vložené fyzické infrastruktuře podle odstavce 3 údaje nezbytné pro účely zavádění prvků vysokorychlostních sítí elektronických komunikací a oznámit je Českému telekomunikačnímu úřadu elektronicky do 30 dnů ode dne, kdy je stavbu možné užívat na základě kolaudačního souhlasu nebo kolaudačního rozhodnutí. </w:t>
      </w:r>
    </w:p>
    <w:bookmarkEnd w:id="1"/>
    <w:p w14:paraId="5435CB6A" w14:textId="1F83DF09" w:rsidR="001E03D3" w:rsidRPr="001E03D3" w:rsidRDefault="001E03D3" w:rsidP="00026BDC">
      <w:pPr>
        <w:spacing w:after="120" w:line="240" w:lineRule="auto"/>
        <w:ind w:firstLine="708"/>
        <w:jc w:val="both"/>
      </w:pPr>
      <w:r w:rsidRPr="001E03D3">
        <w:t xml:space="preserve">(5) Český telekomunikační úřad na základě žádosti osoby povinné vkládat fyzickou infrastrukturu rozhodne, že nemusí postupovat podle odstavce 3, pokud je takový postup ekonomicky nebo technicky nedůvodný. V opačném případě žádost zamítne. </w:t>
      </w:r>
    </w:p>
    <w:p w14:paraId="2EC99234" w14:textId="02665B61" w:rsidR="001E03D3" w:rsidRPr="001E03D3" w:rsidRDefault="001E03D3" w:rsidP="00026BDC">
      <w:pPr>
        <w:spacing w:after="120" w:line="240" w:lineRule="auto"/>
        <w:ind w:firstLine="708"/>
        <w:jc w:val="both"/>
      </w:pPr>
      <w:r w:rsidRPr="001E03D3">
        <w:t>(6) Není-li splněna podmínka podle odstavce 3 nebo není-li udělena výjimka podle odstavce 5, nelze pro příslušnou stavbu vydat kolaudační souhlas nebo kolaudační rozhodnutí.</w:t>
      </w:r>
      <w:r>
        <w:t>“.</w:t>
      </w:r>
    </w:p>
    <w:p w14:paraId="7A651C2A" w14:textId="77777777" w:rsidR="00026BDC" w:rsidRDefault="00026BDC" w:rsidP="00026BDC">
      <w:pPr>
        <w:spacing w:after="120" w:line="240" w:lineRule="auto"/>
        <w:jc w:val="both"/>
        <w:rPr>
          <w:b/>
        </w:rPr>
      </w:pPr>
    </w:p>
    <w:p w14:paraId="4828B41D" w14:textId="14AAE021" w:rsidR="001E03D3" w:rsidRPr="00026BDC" w:rsidRDefault="001E03D3" w:rsidP="00026BDC">
      <w:pPr>
        <w:spacing w:after="120" w:line="240" w:lineRule="auto"/>
        <w:jc w:val="both"/>
        <w:rPr>
          <w:b/>
        </w:rPr>
      </w:pPr>
      <w:r w:rsidRPr="00026BDC">
        <w:rPr>
          <w:b/>
        </w:rPr>
        <w:t>Přechodné ustanovení:</w:t>
      </w:r>
    </w:p>
    <w:p w14:paraId="5C92AA4E" w14:textId="77777777" w:rsidR="001E03D3" w:rsidRPr="00026BDC" w:rsidRDefault="001E03D3" w:rsidP="00026BDC">
      <w:pPr>
        <w:spacing w:after="120" w:line="240" w:lineRule="auto"/>
        <w:jc w:val="both"/>
      </w:pPr>
      <w:r w:rsidRPr="00026BDC">
        <w:t>Řízení zahájená přede dnem nabytí účinnosti tohoto zákona se dokončí a práva a povinnosti se posoudí podle zákona č. 416/2009 Sb., ve znění účinném přede dnem nabytí účinnosti tohoto zákona.</w:t>
      </w:r>
    </w:p>
    <w:p w14:paraId="0BFA95D3" w14:textId="77777777" w:rsidR="006A3831" w:rsidRDefault="006A3831" w:rsidP="00026BDC">
      <w:pPr>
        <w:pStyle w:val="Textkomente"/>
        <w:spacing w:after="120"/>
        <w:ind w:left="993"/>
        <w:jc w:val="both"/>
        <w:rPr>
          <w:rFonts w:asciiTheme="minorHAnsi" w:hAnsiTheme="minorHAnsi" w:cs="Arial"/>
          <w:b/>
        </w:rPr>
      </w:pPr>
    </w:p>
    <w:p w14:paraId="6A190A99" w14:textId="77777777" w:rsidR="00026BDC" w:rsidRDefault="00026BDC">
      <w:pPr>
        <w:rPr>
          <w:b/>
          <w:sz w:val="24"/>
        </w:rPr>
      </w:pPr>
      <w:r>
        <w:rPr>
          <w:b/>
          <w:sz w:val="24"/>
        </w:rPr>
        <w:br w:type="page"/>
      </w:r>
    </w:p>
    <w:p w14:paraId="2CB2A6D2" w14:textId="5DB88332" w:rsidR="006A3831" w:rsidRPr="00026BDC" w:rsidRDefault="006A3831" w:rsidP="00026BDC">
      <w:pPr>
        <w:spacing w:after="120" w:line="240" w:lineRule="auto"/>
        <w:jc w:val="center"/>
        <w:rPr>
          <w:b/>
          <w:sz w:val="28"/>
        </w:rPr>
      </w:pPr>
      <w:r w:rsidRPr="00026BDC">
        <w:rPr>
          <w:b/>
          <w:sz w:val="28"/>
        </w:rPr>
        <w:lastRenderedPageBreak/>
        <w:t>Odůvodnění</w:t>
      </w:r>
    </w:p>
    <w:p w14:paraId="62D6DE6E" w14:textId="77777777" w:rsidR="006A3831" w:rsidRPr="00026BDC" w:rsidRDefault="006A3831" w:rsidP="00026BDC">
      <w:pPr>
        <w:spacing w:after="120" w:line="240" w:lineRule="auto"/>
        <w:jc w:val="both"/>
        <w:rPr>
          <w:b/>
          <w:sz w:val="24"/>
        </w:rPr>
      </w:pPr>
      <w:r w:rsidRPr="00026BDC">
        <w:rPr>
          <w:b/>
          <w:sz w:val="24"/>
        </w:rPr>
        <w:t>Obecná část:</w:t>
      </w:r>
    </w:p>
    <w:p w14:paraId="0234AC23" w14:textId="30701FE0" w:rsidR="00AA2870" w:rsidRDefault="00AA2870" w:rsidP="00026BDC">
      <w:pPr>
        <w:spacing w:after="120" w:line="240" w:lineRule="auto"/>
        <w:jc w:val="both"/>
      </w:pPr>
      <w:r>
        <w:t xml:space="preserve">Cílem návrhu je usnadnění výstavby sítí elektronických komunikací prostřednictvím plně optické sítě pro malé obce, ve kterých by k rozvinutí těchto sítí z ekonomického hlediska nemuselo </w:t>
      </w:r>
      <w:r w:rsidR="00605A3B">
        <w:t xml:space="preserve">vůbec </w:t>
      </w:r>
      <w:r>
        <w:t>dojít.</w:t>
      </w:r>
    </w:p>
    <w:p w14:paraId="2667A987" w14:textId="2FF197EF" w:rsidR="00AA2870" w:rsidRDefault="00AA2870" w:rsidP="00026BDC">
      <w:pPr>
        <w:spacing w:after="120" w:line="240" w:lineRule="auto"/>
        <w:jc w:val="both"/>
      </w:pPr>
      <w:r>
        <w:t xml:space="preserve">Podle zákona č. 194/2017 Sb., </w:t>
      </w:r>
      <w:r w:rsidRPr="00AA2870">
        <w:t>o opatřeních ke snížení nákladů na zavádění vysokorychlostních sítí elektronických komunikací</w:t>
      </w:r>
      <w:r>
        <w:t>, ve znění pozdějších předpisů</w:t>
      </w:r>
      <w:r w:rsidR="00A72E92">
        <w:t xml:space="preserve"> (dále jen „zákon o snížení nákladů“)</w:t>
      </w:r>
      <w:r>
        <w:t xml:space="preserve">, je povinná osoba povinna umožnit u stavebních prací </w:t>
      </w:r>
      <w:r w:rsidRPr="00AA2870">
        <w:t xml:space="preserve">zcela nebo zčásti financovaných z veřejných prostředků </w:t>
      </w:r>
      <w:r>
        <w:t xml:space="preserve">koordinaci stavebních prací za účelem zavedení vysokorychlostní sítě elektronických komunikací. Pokud v době přípravy projektu ke koordinaci nedojde, </w:t>
      </w:r>
      <w:r w:rsidR="00751648">
        <w:t>fyzická</w:t>
      </w:r>
      <w:r>
        <w:t xml:space="preserve"> infrastruktura pro zavedení sítě elektronických komunikací (např. HDPE trubky, které slouží jako chráničky optických kabelů)</w:t>
      </w:r>
      <w:r w:rsidR="002504C6">
        <w:t xml:space="preserve"> není vložena. Pokud by nový investor, který neměl možnost v době přípravy projektu provést koordinaci</w:t>
      </w:r>
      <w:r w:rsidR="00605A3B">
        <w:t xml:space="preserve"> stavebních prací</w:t>
      </w:r>
      <w:r w:rsidR="002504C6">
        <w:t>, chtěl následně do této stavby zavést infrastrukturu sít</w:t>
      </w:r>
      <w:r w:rsidR="00572A53">
        <w:t>í</w:t>
      </w:r>
      <w:r w:rsidR="002504C6">
        <w:t xml:space="preserve"> elektronick</w:t>
      </w:r>
      <w:r w:rsidR="00572A53">
        <w:t>ých</w:t>
      </w:r>
      <w:r w:rsidR="002504C6">
        <w:t xml:space="preserve"> komunikac</w:t>
      </w:r>
      <w:r w:rsidR="00572A53">
        <w:t>í</w:t>
      </w:r>
      <w:r w:rsidR="002504C6">
        <w:t>, musel by příslušné dílo narušit nákladným a</w:t>
      </w:r>
      <w:r w:rsidR="00026BDC">
        <w:t> </w:t>
      </w:r>
      <w:r w:rsidR="002504C6">
        <w:t xml:space="preserve">nešetrným způsobem. </w:t>
      </w:r>
      <w:r w:rsidR="00605A3B">
        <w:t xml:space="preserve">Investice do tohoto </w:t>
      </w:r>
      <w:r w:rsidR="002504C6">
        <w:t>způsob</w:t>
      </w:r>
      <w:r w:rsidR="00605A3B">
        <w:t>u</w:t>
      </w:r>
      <w:r w:rsidR="002504C6">
        <w:t xml:space="preserve"> narušení </w:t>
      </w:r>
      <w:r w:rsidR="00605A3B">
        <w:t>stavby (např. povrchu vozovky)</w:t>
      </w:r>
      <w:r w:rsidR="002504C6">
        <w:t xml:space="preserve"> však není ekonomicky racionální.</w:t>
      </w:r>
      <w:r w:rsidR="00605A3B">
        <w:t xml:space="preserve"> Nový investor tak zpravidla dojde k závěru, že do takové sítě elektronických komunikací nebude investovat.</w:t>
      </w:r>
    </w:p>
    <w:p w14:paraId="1C576E16" w14:textId="38751001" w:rsidR="002504C6" w:rsidRDefault="002504C6" w:rsidP="00026BDC">
      <w:pPr>
        <w:spacing w:after="120" w:line="240" w:lineRule="auto"/>
        <w:jc w:val="both"/>
      </w:pPr>
      <w:r>
        <w:t>Navrhovaná změna tak přináší řešení pro připojení plně optickou sítí malých obcí, ve kterých by k rozvoji takové infrastruktury jinak nedošlo. Aby bylo zřejmé, že se nejedná o ojedinělý případ jedné nebo dvou obcí, je třeba uvést, že například ve Středočeském kraji je celkem 1 085 obcí, které mají méně než 1 000 obyvatel</w:t>
      </w:r>
      <w:r w:rsidR="00D264EE">
        <w:t xml:space="preserve"> (Česká republika má něco přes 6 200 obcí)</w:t>
      </w:r>
      <w:r w:rsidR="00605A3B">
        <w:t>.</w:t>
      </w:r>
      <w:r>
        <w:t xml:space="preserve"> </w:t>
      </w:r>
      <w:r w:rsidR="00605A3B">
        <w:t>V</w:t>
      </w:r>
      <w:r>
        <w:t xml:space="preserve">ětšina </w:t>
      </w:r>
      <w:r w:rsidR="00605A3B">
        <w:t xml:space="preserve">z těchto obcí </w:t>
      </w:r>
      <w:r>
        <w:t xml:space="preserve">má méně 500 obyvatel. Obdobná situace je </w:t>
      </w:r>
      <w:r w:rsidR="00605A3B">
        <w:t>například</w:t>
      </w:r>
      <w:r>
        <w:t xml:space="preserve"> v Plzeňském kraji.</w:t>
      </w:r>
    </w:p>
    <w:p w14:paraId="238C68E9" w14:textId="71A9974D" w:rsidR="00605A3B" w:rsidRDefault="00605A3B" w:rsidP="00026BDC">
      <w:pPr>
        <w:spacing w:after="120" w:line="240" w:lineRule="auto"/>
        <w:jc w:val="both"/>
      </w:pPr>
      <w:r w:rsidRPr="007C45AC">
        <w:t>Navržená právní úprava navazuje na některé již dříve iniciované kroky státu k rozvoji sítí elektronických komunikací v České republice, zejména pak Akční plán k provedení nedotačních opatření pro podporu plánování a výstavby sítí elektronických komunikací, který dne 10. května 2017 schválila vláda České republiky.</w:t>
      </w:r>
      <w:r>
        <w:t xml:space="preserve"> Rozvoj vysokorychlostní sítě elektronických komunikací je také prioritou na úrovni Evropské unie (např. </w:t>
      </w:r>
      <w:proofErr w:type="spellStart"/>
      <w:r w:rsidRPr="00647168">
        <w:t>European</w:t>
      </w:r>
      <w:proofErr w:type="spellEnd"/>
      <w:r w:rsidRPr="00647168">
        <w:t xml:space="preserve"> Gigabit society, 5G </w:t>
      </w:r>
      <w:proofErr w:type="spellStart"/>
      <w:r w:rsidRPr="00647168">
        <w:t>strategies</w:t>
      </w:r>
      <w:proofErr w:type="spellEnd"/>
      <w:r w:rsidRPr="00647168">
        <w:t xml:space="preserve"> EU).</w:t>
      </w:r>
    </w:p>
    <w:p w14:paraId="6F4E93AE" w14:textId="6B8BC88E" w:rsidR="002504C6" w:rsidRDefault="002014B8" w:rsidP="00026BDC">
      <w:pPr>
        <w:spacing w:after="120" w:line="240" w:lineRule="auto"/>
        <w:jc w:val="both"/>
      </w:pPr>
      <w:r>
        <w:t>Případně z</w:t>
      </w:r>
      <w:r w:rsidR="00605A3B">
        <w:t xml:space="preserve">výšení ceny projektu stavby se očekává pouze v minimální výši. </w:t>
      </w:r>
      <w:r>
        <w:t xml:space="preserve">Je to dáno nízkou cenou </w:t>
      </w:r>
      <w:r w:rsidR="002504C6">
        <w:t xml:space="preserve">samotné </w:t>
      </w:r>
      <w:r w:rsidR="00751648">
        <w:t>fyzické</w:t>
      </w:r>
      <w:r w:rsidR="002504C6">
        <w:t xml:space="preserve"> infrastruktury </w:t>
      </w:r>
      <w:r>
        <w:t xml:space="preserve">ve vztahu k celkové ceně projektu. </w:t>
      </w:r>
      <w:r w:rsidR="002504C6">
        <w:t>Navýšení ceny projektu lze očekávat pouze v řádu 1/1000 promile z ceny projektu.</w:t>
      </w:r>
      <w:r>
        <w:t xml:space="preserve"> Navrhované minimální zvýšení nákladů na realizaci stavby je opodstatněné cílem, jehož se navrhovaná změna snaží dosáhnout, který je v souladu s cílem vládní i unijní politiky.</w:t>
      </w:r>
    </w:p>
    <w:p w14:paraId="1FB37077" w14:textId="77777777" w:rsidR="00026BDC" w:rsidRDefault="00026BDC" w:rsidP="00026BDC">
      <w:pPr>
        <w:spacing w:after="120" w:line="240" w:lineRule="auto"/>
        <w:jc w:val="both"/>
        <w:rPr>
          <w:b/>
          <w:sz w:val="24"/>
        </w:rPr>
      </w:pPr>
    </w:p>
    <w:p w14:paraId="4B6240C5" w14:textId="03A65910" w:rsidR="006A3831" w:rsidRPr="00026BDC" w:rsidRDefault="006A3831" w:rsidP="00026BDC">
      <w:pPr>
        <w:spacing w:after="120" w:line="240" w:lineRule="auto"/>
        <w:jc w:val="both"/>
        <w:rPr>
          <w:b/>
          <w:sz w:val="24"/>
        </w:rPr>
      </w:pPr>
      <w:r w:rsidRPr="00026BDC">
        <w:rPr>
          <w:b/>
          <w:sz w:val="24"/>
        </w:rPr>
        <w:t>Zvláštní část</w:t>
      </w:r>
    </w:p>
    <w:p w14:paraId="135B9A50" w14:textId="2A19072E" w:rsidR="00DA5A49" w:rsidRDefault="00DA5A49" w:rsidP="00026BDC">
      <w:pPr>
        <w:spacing w:after="120" w:line="240" w:lineRule="auto"/>
        <w:jc w:val="both"/>
        <w:rPr>
          <w:b/>
        </w:rPr>
      </w:pPr>
      <w:bookmarkStart w:id="2" w:name="_Hlk526864910"/>
      <w:r w:rsidRPr="000557DF">
        <w:rPr>
          <w:b/>
        </w:rPr>
        <w:t>K </w:t>
      </w:r>
      <w:r>
        <w:rPr>
          <w:b/>
        </w:rPr>
        <w:t xml:space="preserve">§ </w:t>
      </w:r>
      <w:r w:rsidR="002014B8">
        <w:rPr>
          <w:b/>
        </w:rPr>
        <w:t>2i</w:t>
      </w:r>
      <w:r>
        <w:rPr>
          <w:b/>
        </w:rPr>
        <w:t xml:space="preserve"> odst. </w:t>
      </w:r>
      <w:r w:rsidR="002014B8">
        <w:rPr>
          <w:b/>
        </w:rPr>
        <w:t>3</w:t>
      </w:r>
    </w:p>
    <w:bookmarkEnd w:id="2"/>
    <w:p w14:paraId="6D00B7D1" w14:textId="509C398F" w:rsidR="001E03D3" w:rsidRDefault="001E03D3" w:rsidP="00026BDC">
      <w:pPr>
        <w:spacing w:after="120" w:line="240" w:lineRule="auto"/>
        <w:jc w:val="both"/>
      </w:pPr>
      <w:r>
        <w:t>Nově vkládaný odstavec 3 zavádí povinnost pro stát, kraje a právnické osoby jimi zřízené nebo zřízené na základě zákona (např. Ředitelství silnic a dálnic, Správa železniční a dopravní cesty, povodí řek, správci státního a krajského majetku jako např. Krajská správa a údržba silnic), které uskutečňují výstavbu pozemních komunikací, drah nebo vodních děl, resp. jejich významnou změnu, aby vkládali fyzickou infrastrukturu vhodnou pro zavedení sítě elektronických komunikací. Tou lze rozumět například HDPE trubky, které slouží jako chráničky optických kabelů, které do budoucna umožní jednoduché zavedení sítě elektronických komunikací, bude-li to potřeba.</w:t>
      </w:r>
      <w:r w:rsidR="006E7447">
        <w:t xml:space="preserve"> Touto povinností nebudou zatěžovány obce vzhledem k rozsahu jimi prováděných staveb.</w:t>
      </w:r>
    </w:p>
    <w:p w14:paraId="4F98C329" w14:textId="5094C0FD" w:rsidR="001E03D3" w:rsidRDefault="001E03D3" w:rsidP="00026BDC">
      <w:pPr>
        <w:spacing w:after="120" w:line="240" w:lineRule="auto"/>
        <w:jc w:val="both"/>
      </w:pPr>
      <w:r>
        <w:t>Z hlediska terminologie lze uvést následující. Pojem „pozemní komunikace“ je definován v ustanovení § 2 zákona č. 13/1997 Sb., o pozemních komunikacích, ve znění pozdějších předpisů a rozumí se jím dálnice, silnice, místní komunikace a účelová komunikace (součás</w:t>
      </w:r>
      <w:r w:rsidR="00026BDC">
        <w:t>t</w:t>
      </w:r>
      <w:r>
        <w:t>í tohoto pojmu jsou například i</w:t>
      </w:r>
      <w:r w:rsidR="00026BDC">
        <w:t> </w:t>
      </w:r>
      <w:r>
        <w:t xml:space="preserve">cyklostezky). Termín „dráha“ lze nalézt v zákoně č. 266/1994 Sb., o drahách, ve znění pozdějších předpisů. „Vodní dílo“ je pro změnu vymezeno v zákoně č. 254/2001 Sb., o vodách a o změně některých </w:t>
      </w:r>
      <w:r>
        <w:lastRenderedPageBreak/>
        <w:t>zákonů (vodní zákon), ve znění pozdějších předpisů. Při stanovení povinnosti byly využity tyto obecné pojmy, avšak zdaleka se daná povinnost netýká všech těchto staveb. Daná povinnost je totiž uložena pouze omezenému okruhu subjektů. Pojem „fyzická infrastruktura“ je používán například zákonem o</w:t>
      </w:r>
      <w:r w:rsidR="00A72E92">
        <w:t> </w:t>
      </w:r>
      <w:r>
        <w:t>snížení nákladů.</w:t>
      </w:r>
    </w:p>
    <w:p w14:paraId="3283EE03" w14:textId="6777F564" w:rsidR="001E03D3" w:rsidRDefault="001E03D3" w:rsidP="00026BDC">
      <w:pPr>
        <w:spacing w:after="120" w:line="240" w:lineRule="auto"/>
        <w:jc w:val="both"/>
      </w:pPr>
      <w:r>
        <w:t>Další povinností je zpřístupnit tuto fyzickou infrastrukturu, a to za nákladově orientovanou cenu (co se rozumí nákladově orientovanou cenou vymezuje ustanovení § 55 odst. 2 zákona č. 127/2005 Sb., o</w:t>
      </w:r>
      <w:r w:rsidR="00026BDC">
        <w:t> </w:t>
      </w:r>
      <w:r>
        <w:t>elektronických komunikacích a o změně některých souvisejících zákonů (zákon o elektronických komunikacích), ve znění pozdějších předpisů).</w:t>
      </w:r>
    </w:p>
    <w:p w14:paraId="0A4EB512" w14:textId="77777777" w:rsidR="001E03D3" w:rsidRPr="00026BDC" w:rsidRDefault="001E03D3" w:rsidP="00026BDC">
      <w:pPr>
        <w:spacing w:before="120" w:after="120" w:line="240" w:lineRule="auto"/>
        <w:jc w:val="both"/>
        <w:rPr>
          <w:b/>
        </w:rPr>
      </w:pPr>
      <w:r w:rsidRPr="00026BDC">
        <w:rPr>
          <w:b/>
        </w:rPr>
        <w:t>K § 2i odst. 4</w:t>
      </w:r>
    </w:p>
    <w:p w14:paraId="08852E10" w14:textId="1DF1E5F6" w:rsidR="001E03D3" w:rsidRDefault="001E03D3" w:rsidP="00026BDC">
      <w:pPr>
        <w:spacing w:after="120" w:line="240" w:lineRule="auto"/>
        <w:jc w:val="both"/>
      </w:pPr>
      <w:r>
        <w:t xml:space="preserve">Kromě povinnosti vkládat fyzickou infrastrukturu se v odstavci 4 stanovuje povinnost vést údaje nezbytné pro účely zavádění prvků vysokorychlostních sítí elektronických komunikací (tento pojem je použit např. v § 3 odst. 3 písm. a) zákona o snížení nákladů). Jako příklad lze uvést polohopis položené fyzické infrastruktury. Kromě samotné evidence těchto </w:t>
      </w:r>
      <w:r w:rsidR="00E50A6E">
        <w:t xml:space="preserve">údajů </w:t>
      </w:r>
      <w:r>
        <w:t>se stanovuje povinnost poskytnout tyto údaje Českému telekomunikačnímu úřadu, a to do 30 dnů ode dne, kdy je stavbu možné užívat na základě kolaudačního souhlasu nebo kolaudačního rozhodnutí. Navrhuje se tyto údaje poskytovat Českému telekomunikačnímu úřadu skrze jeho roli jednotného informačního místa podle § 3 zákona o</w:t>
      </w:r>
      <w:r w:rsidR="00193D6A">
        <w:t> </w:t>
      </w:r>
      <w:r>
        <w:t>snížení nákladů. Český telekomunikační úřad tyto informace zveřejní podle § 3 odst. 3 písm. a) zákona o snížení nákladů.</w:t>
      </w:r>
    </w:p>
    <w:p w14:paraId="7844C9F7" w14:textId="77777777" w:rsidR="001E03D3" w:rsidRPr="00026BDC" w:rsidRDefault="001E03D3" w:rsidP="00026BDC">
      <w:pPr>
        <w:spacing w:before="120" w:after="120" w:line="240" w:lineRule="auto"/>
        <w:jc w:val="both"/>
        <w:rPr>
          <w:b/>
        </w:rPr>
      </w:pPr>
      <w:r w:rsidRPr="00026BDC">
        <w:rPr>
          <w:b/>
        </w:rPr>
        <w:t>K § 2i odst. 5</w:t>
      </w:r>
    </w:p>
    <w:p w14:paraId="020504BE" w14:textId="55C3F686" w:rsidR="001E03D3" w:rsidRDefault="001E03D3" w:rsidP="00026BDC">
      <w:pPr>
        <w:spacing w:after="120" w:line="240" w:lineRule="auto"/>
        <w:jc w:val="both"/>
      </w:pPr>
      <w:r>
        <w:t>Vzhledem k tomu, že mohou nastat případy, kdy vložení fyzické infrastruktury nemusí být z různých důvodů účelné, umožňuje navrhovaná úprava osobě povinné vkládat fyzickou infrastrukturu (neboli osobě, která má povinnost postupovat podle odstavce 3), aby požádala Český telekomunikační úřad o</w:t>
      </w:r>
      <w:r w:rsidR="00026BDC">
        <w:t> </w:t>
      </w:r>
      <w:r>
        <w:t>udělení z výjimky z povinnosti postupovat podle odstavce 3. Jako příklad důvodů pro výjimku lze uvést např. cyklostezka, která vede do polí, redundantní stavba, tedy několikanásobné vedení stejným směrem. Český telekomunikační úřad zváží důvody uvedené v žádosti a pokud jsou dány ekonomické nebo technické důvody, proč nepostupovat podle odstavce 3, výjimku udělí. V takovém případě se nebude muset fyzická infrastruktura umisťovat. Pokud Český telekomunikační úřad nedojde k závěru, že jsou dány důvody pro udělení výjimky, žádost zamítne. Při rozhodování o žádosti postupuje Český telekomunikační úřad podle správního řádu.</w:t>
      </w:r>
    </w:p>
    <w:p w14:paraId="159391D1" w14:textId="77777777" w:rsidR="001E03D3" w:rsidRPr="00026BDC" w:rsidRDefault="001E03D3" w:rsidP="00026BDC">
      <w:pPr>
        <w:spacing w:before="120" w:after="120" w:line="240" w:lineRule="auto"/>
        <w:jc w:val="both"/>
        <w:rPr>
          <w:b/>
        </w:rPr>
      </w:pPr>
      <w:r w:rsidRPr="00026BDC">
        <w:rPr>
          <w:b/>
        </w:rPr>
        <w:t>K § 2i odst. 6</w:t>
      </w:r>
    </w:p>
    <w:p w14:paraId="1196A5A2" w14:textId="6F5BDBAB" w:rsidR="003664AF" w:rsidRDefault="001E03D3" w:rsidP="00026BDC">
      <w:pPr>
        <w:spacing w:after="120" w:line="240" w:lineRule="auto"/>
        <w:jc w:val="both"/>
      </w:pPr>
      <w:r>
        <w:t>Vzhledem k účelu navrhované změny a její důležitosti se navrhuje nevydat kolaudační souhlas nebo kolaudační rozhodnutí podle stavebního zákona, pokud nebylo postupováno podle odstavce 3. Nevložení fyzické infrastruktury do příslušné stavby tak bude podmínkou, pro kterou nebude moct být příslušná stavba užívána. Samozřejmě v případě, že Český telekomunikační úřad udělí výjimku z</w:t>
      </w:r>
      <w:r w:rsidR="00026BDC">
        <w:t> </w:t>
      </w:r>
      <w:r>
        <w:t>ekonomických nebo technických důvodů pro nevkládání fyzické infrastruktury podle odstavce 5, nebude to důvodem pro nevydání kolaudačního souhlasu nebo kolaudačního rozhodnutí.</w:t>
      </w:r>
    </w:p>
    <w:p w14:paraId="1E603D15" w14:textId="19CB969E" w:rsidR="001E03D3" w:rsidRPr="00026BDC" w:rsidRDefault="001E03D3" w:rsidP="00026BDC">
      <w:pPr>
        <w:spacing w:after="120" w:line="240" w:lineRule="auto"/>
        <w:jc w:val="both"/>
        <w:rPr>
          <w:b/>
        </w:rPr>
      </w:pPr>
      <w:r w:rsidRPr="00026BDC">
        <w:rPr>
          <w:b/>
        </w:rPr>
        <w:t>Přechodné ustanovení:</w:t>
      </w:r>
    </w:p>
    <w:p w14:paraId="6D1401E1" w14:textId="77777777" w:rsidR="001E03D3" w:rsidRPr="001E03D3" w:rsidRDefault="001E03D3" w:rsidP="00026BDC">
      <w:pPr>
        <w:spacing w:after="120" w:line="240" w:lineRule="auto"/>
        <w:jc w:val="both"/>
      </w:pPr>
      <w:r w:rsidRPr="001E03D3">
        <w:t>Prostřednictvím přechodného ustanovení se navrhuje nově vloženou úpravu v § 2i odst. 3 až 6 zákona č. 416/2009 Sb. použít až na řízení, která byla zahájena až po nabytí účinnosti této úpravy, tedy aby tato povinnost neměla vliv na již běžící např. stavební řízení.</w:t>
      </w:r>
    </w:p>
    <w:p w14:paraId="3A746555" w14:textId="77777777" w:rsidR="001E03D3" w:rsidRDefault="001E03D3" w:rsidP="00026BDC">
      <w:pPr>
        <w:pStyle w:val="Odstavecseseznamem"/>
        <w:spacing w:after="120" w:line="240" w:lineRule="auto"/>
        <w:ind w:left="993"/>
        <w:contextualSpacing w:val="0"/>
        <w:jc w:val="both"/>
      </w:pPr>
    </w:p>
    <w:sectPr w:rsidR="001E03D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540D5" w14:textId="77777777" w:rsidR="00715010" w:rsidRDefault="00715010" w:rsidP="00026BDC">
      <w:pPr>
        <w:spacing w:after="0" w:line="240" w:lineRule="auto"/>
      </w:pPr>
      <w:r>
        <w:separator/>
      </w:r>
    </w:p>
  </w:endnote>
  <w:endnote w:type="continuationSeparator" w:id="0">
    <w:p w14:paraId="1990F36B" w14:textId="77777777" w:rsidR="00715010" w:rsidRDefault="00715010" w:rsidP="0002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8E31E" w14:textId="77777777" w:rsidR="00715010" w:rsidRDefault="00715010" w:rsidP="00026BDC">
      <w:pPr>
        <w:spacing w:after="0" w:line="240" w:lineRule="auto"/>
      </w:pPr>
      <w:r>
        <w:separator/>
      </w:r>
    </w:p>
  </w:footnote>
  <w:footnote w:type="continuationSeparator" w:id="0">
    <w:p w14:paraId="7F5D0CAB" w14:textId="77777777" w:rsidR="00715010" w:rsidRDefault="00715010" w:rsidP="00026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5A8B"/>
    <w:multiLevelType w:val="hybridMultilevel"/>
    <w:tmpl w:val="2D8E179E"/>
    <w:lvl w:ilvl="0" w:tplc="5F8280E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0190CB5"/>
    <w:multiLevelType w:val="hybridMultilevel"/>
    <w:tmpl w:val="778820B2"/>
    <w:lvl w:ilvl="0" w:tplc="6042205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940D2E"/>
    <w:multiLevelType w:val="hybridMultilevel"/>
    <w:tmpl w:val="8F10025A"/>
    <w:lvl w:ilvl="0" w:tplc="3B6E7F14">
      <w:start w:val="1"/>
      <w:numFmt w:val="lowerLetter"/>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 w15:restartNumberingAfterBreak="0">
    <w:nsid w:val="593B6BD6"/>
    <w:multiLevelType w:val="hybridMultilevel"/>
    <w:tmpl w:val="2D8E179E"/>
    <w:lvl w:ilvl="0" w:tplc="5F8280E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ECC04F6"/>
    <w:multiLevelType w:val="hybridMultilevel"/>
    <w:tmpl w:val="FCAE26E4"/>
    <w:lvl w:ilvl="0" w:tplc="6A5A7CC4">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65B87EC0"/>
    <w:multiLevelType w:val="hybridMultilevel"/>
    <w:tmpl w:val="B562E1F8"/>
    <w:lvl w:ilvl="0" w:tplc="8EEA1C3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8B18F6"/>
    <w:multiLevelType w:val="hybridMultilevel"/>
    <w:tmpl w:val="FCAE26E4"/>
    <w:lvl w:ilvl="0" w:tplc="6A5A7CC4">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726B44BB"/>
    <w:multiLevelType w:val="multilevel"/>
    <w:tmpl w:val="D9C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31"/>
    <w:rsid w:val="00001197"/>
    <w:rsid w:val="0001102E"/>
    <w:rsid w:val="00026BDC"/>
    <w:rsid w:val="0006718F"/>
    <w:rsid w:val="000A7C40"/>
    <w:rsid w:val="000E1889"/>
    <w:rsid w:val="000F4D22"/>
    <w:rsid w:val="000F69C1"/>
    <w:rsid w:val="00107234"/>
    <w:rsid w:val="00151662"/>
    <w:rsid w:val="0018540C"/>
    <w:rsid w:val="00193D6A"/>
    <w:rsid w:val="001A72D9"/>
    <w:rsid w:val="001E03D3"/>
    <w:rsid w:val="002014B8"/>
    <w:rsid w:val="00203009"/>
    <w:rsid w:val="002504C6"/>
    <w:rsid w:val="00273E9D"/>
    <w:rsid w:val="00293B8E"/>
    <w:rsid w:val="0029618E"/>
    <w:rsid w:val="002C1693"/>
    <w:rsid w:val="002D0EC9"/>
    <w:rsid w:val="0034655F"/>
    <w:rsid w:val="00350264"/>
    <w:rsid w:val="00361674"/>
    <w:rsid w:val="003664AF"/>
    <w:rsid w:val="0039122F"/>
    <w:rsid w:val="003E71CA"/>
    <w:rsid w:val="00417618"/>
    <w:rsid w:val="0043775F"/>
    <w:rsid w:val="00447B2F"/>
    <w:rsid w:val="00450C9F"/>
    <w:rsid w:val="00461337"/>
    <w:rsid w:val="00483964"/>
    <w:rsid w:val="00496D9C"/>
    <w:rsid w:val="004C3858"/>
    <w:rsid w:val="004E6C87"/>
    <w:rsid w:val="00513790"/>
    <w:rsid w:val="00572A53"/>
    <w:rsid w:val="00587AF7"/>
    <w:rsid w:val="005D3EAD"/>
    <w:rsid w:val="00605A3B"/>
    <w:rsid w:val="00625D46"/>
    <w:rsid w:val="00642AD7"/>
    <w:rsid w:val="00647168"/>
    <w:rsid w:val="00660BF6"/>
    <w:rsid w:val="00662AC8"/>
    <w:rsid w:val="006A3831"/>
    <w:rsid w:val="006E51F5"/>
    <w:rsid w:val="006E7447"/>
    <w:rsid w:val="006E783C"/>
    <w:rsid w:val="00715010"/>
    <w:rsid w:val="00720F4D"/>
    <w:rsid w:val="00732E6F"/>
    <w:rsid w:val="00751648"/>
    <w:rsid w:val="007529E4"/>
    <w:rsid w:val="00761136"/>
    <w:rsid w:val="007757EF"/>
    <w:rsid w:val="00782316"/>
    <w:rsid w:val="00795069"/>
    <w:rsid w:val="007C1A2D"/>
    <w:rsid w:val="007F1913"/>
    <w:rsid w:val="007F2CEB"/>
    <w:rsid w:val="007F5BD2"/>
    <w:rsid w:val="0081110C"/>
    <w:rsid w:val="008470B2"/>
    <w:rsid w:val="00882D69"/>
    <w:rsid w:val="008B4A47"/>
    <w:rsid w:val="008C2EB4"/>
    <w:rsid w:val="008E3F22"/>
    <w:rsid w:val="00934E89"/>
    <w:rsid w:val="00947BBD"/>
    <w:rsid w:val="00985D14"/>
    <w:rsid w:val="009C4637"/>
    <w:rsid w:val="009E486A"/>
    <w:rsid w:val="009F54B3"/>
    <w:rsid w:val="00A0283F"/>
    <w:rsid w:val="00A22499"/>
    <w:rsid w:val="00A31DC6"/>
    <w:rsid w:val="00A72E92"/>
    <w:rsid w:val="00A972E6"/>
    <w:rsid w:val="00AA2870"/>
    <w:rsid w:val="00AE7D7E"/>
    <w:rsid w:val="00B0323A"/>
    <w:rsid w:val="00B27F65"/>
    <w:rsid w:val="00B52327"/>
    <w:rsid w:val="00B62372"/>
    <w:rsid w:val="00B70BD5"/>
    <w:rsid w:val="00BC29AE"/>
    <w:rsid w:val="00BC3C76"/>
    <w:rsid w:val="00C41F71"/>
    <w:rsid w:val="00C42B34"/>
    <w:rsid w:val="00C562E9"/>
    <w:rsid w:val="00C90FAB"/>
    <w:rsid w:val="00CC746C"/>
    <w:rsid w:val="00D264EE"/>
    <w:rsid w:val="00D62702"/>
    <w:rsid w:val="00DA5A49"/>
    <w:rsid w:val="00DC140E"/>
    <w:rsid w:val="00E00E17"/>
    <w:rsid w:val="00E021A1"/>
    <w:rsid w:val="00E067F9"/>
    <w:rsid w:val="00E309C9"/>
    <w:rsid w:val="00E50A6E"/>
    <w:rsid w:val="00E85AF2"/>
    <w:rsid w:val="00E97FD9"/>
    <w:rsid w:val="00EB0832"/>
    <w:rsid w:val="00EB2533"/>
    <w:rsid w:val="00EB4B62"/>
    <w:rsid w:val="00EC4202"/>
    <w:rsid w:val="00EF7B30"/>
    <w:rsid w:val="00F03E30"/>
    <w:rsid w:val="00F2381E"/>
    <w:rsid w:val="00F33042"/>
    <w:rsid w:val="00F50646"/>
    <w:rsid w:val="00FA3053"/>
    <w:rsid w:val="00FB1ED5"/>
    <w:rsid w:val="00FC08CB"/>
    <w:rsid w:val="00FE46F1"/>
    <w:rsid w:val="00FE7DE1"/>
    <w:rsid w:val="00FF4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1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38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A3831"/>
    <w:pPr>
      <w:ind w:left="720"/>
      <w:contextualSpacing/>
    </w:pPr>
  </w:style>
  <w:style w:type="character" w:customStyle="1" w:styleId="TextkomenteChar">
    <w:name w:val="Text komentáře Char"/>
    <w:link w:val="Textkomente"/>
    <w:uiPriority w:val="99"/>
    <w:qFormat/>
    <w:rsid w:val="006A3831"/>
    <w:rPr>
      <w:rFonts w:ascii="Calibri" w:eastAsia="Calibri" w:hAnsi="Calibri"/>
    </w:rPr>
  </w:style>
  <w:style w:type="paragraph" w:styleId="Textkomente">
    <w:name w:val="annotation text"/>
    <w:basedOn w:val="Normln"/>
    <w:link w:val="TextkomenteChar"/>
    <w:uiPriority w:val="99"/>
    <w:qFormat/>
    <w:rsid w:val="006A3831"/>
    <w:pPr>
      <w:spacing w:after="200" w:line="240" w:lineRule="auto"/>
    </w:pPr>
    <w:rPr>
      <w:rFonts w:ascii="Calibri" w:eastAsia="Calibri" w:hAnsi="Calibri"/>
    </w:rPr>
  </w:style>
  <w:style w:type="character" w:customStyle="1" w:styleId="CommentTextChar1">
    <w:name w:val="Comment Text Char1"/>
    <w:basedOn w:val="Standardnpsmoodstavce"/>
    <w:uiPriority w:val="99"/>
    <w:semiHidden/>
    <w:rsid w:val="006A3831"/>
    <w:rPr>
      <w:sz w:val="20"/>
      <w:szCs w:val="20"/>
    </w:rPr>
  </w:style>
  <w:style w:type="paragraph" w:customStyle="1" w:styleId="nadpiszkona">
    <w:name w:val="nadpis zákona"/>
    <w:basedOn w:val="Normln"/>
    <w:qFormat/>
    <w:rsid w:val="006A3831"/>
    <w:pPr>
      <w:keepNext/>
      <w:keepLines/>
      <w:spacing w:before="120" w:after="200" w:line="276" w:lineRule="auto"/>
      <w:jc w:val="center"/>
      <w:outlineLvl w:val="0"/>
    </w:pPr>
    <w:rPr>
      <w:rFonts w:ascii="Calibri" w:eastAsia="Calibri" w:hAnsi="Calibri" w:cs="Calibri"/>
      <w:b/>
      <w:lang w:val="en-US"/>
    </w:rPr>
  </w:style>
  <w:style w:type="character" w:customStyle="1" w:styleId="OdstavecseseznamemChar">
    <w:name w:val="Odstavec se seznamem Char"/>
    <w:link w:val="Odstavecseseznamem"/>
    <w:uiPriority w:val="34"/>
    <w:locked/>
    <w:rsid w:val="006A3831"/>
  </w:style>
  <w:style w:type="paragraph" w:styleId="Textpoznpodarou">
    <w:name w:val="footnote text"/>
    <w:basedOn w:val="Normln"/>
    <w:link w:val="TextpoznpodarouChar"/>
    <w:uiPriority w:val="99"/>
    <w:semiHidden/>
    <w:unhideWhenUsed/>
    <w:rsid w:val="006A3831"/>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6A3831"/>
    <w:rPr>
      <w:rFonts w:ascii="Calibri" w:eastAsia="Calibri" w:hAnsi="Calibri" w:cs="Times New Roman"/>
      <w:sz w:val="20"/>
      <w:szCs w:val="20"/>
    </w:rPr>
  </w:style>
  <w:style w:type="character" w:styleId="Odkaznakoment">
    <w:name w:val="annotation reference"/>
    <w:basedOn w:val="Standardnpsmoodstavce"/>
    <w:uiPriority w:val="99"/>
    <w:unhideWhenUsed/>
    <w:rsid w:val="00587AF7"/>
    <w:rPr>
      <w:sz w:val="16"/>
      <w:szCs w:val="16"/>
    </w:rPr>
  </w:style>
  <w:style w:type="paragraph" w:styleId="Pedmtkomente">
    <w:name w:val="annotation subject"/>
    <w:basedOn w:val="Textkomente"/>
    <w:next w:val="Textkomente"/>
    <w:link w:val="PedmtkomenteChar"/>
    <w:uiPriority w:val="99"/>
    <w:semiHidden/>
    <w:unhideWhenUsed/>
    <w:rsid w:val="00587AF7"/>
    <w:pPr>
      <w:spacing w:after="160"/>
    </w:pPr>
    <w:rPr>
      <w:rFonts w:asciiTheme="minorHAnsi" w:eastAsiaTheme="minorHAnsi" w:hAnsiTheme="minorHAnsi"/>
      <w:b/>
      <w:bCs/>
      <w:sz w:val="20"/>
      <w:szCs w:val="20"/>
    </w:rPr>
  </w:style>
  <w:style w:type="character" w:customStyle="1" w:styleId="PedmtkomenteChar">
    <w:name w:val="Předmět komentáře Char"/>
    <w:basedOn w:val="TextkomenteChar"/>
    <w:link w:val="Pedmtkomente"/>
    <w:uiPriority w:val="99"/>
    <w:semiHidden/>
    <w:rsid w:val="00587AF7"/>
    <w:rPr>
      <w:rFonts w:ascii="Calibri" w:eastAsia="Calibri" w:hAnsi="Calibri"/>
      <w:b/>
      <w:bCs/>
      <w:sz w:val="20"/>
      <w:szCs w:val="20"/>
    </w:rPr>
  </w:style>
  <w:style w:type="paragraph" w:styleId="Textbubliny">
    <w:name w:val="Balloon Text"/>
    <w:basedOn w:val="Normln"/>
    <w:link w:val="TextbublinyChar"/>
    <w:uiPriority w:val="99"/>
    <w:semiHidden/>
    <w:unhideWhenUsed/>
    <w:rsid w:val="00587A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7AF7"/>
    <w:rPr>
      <w:rFonts w:ascii="Tahoma" w:hAnsi="Tahoma" w:cs="Tahoma"/>
      <w:sz w:val="16"/>
      <w:szCs w:val="16"/>
    </w:rPr>
  </w:style>
  <w:style w:type="paragraph" w:customStyle="1" w:styleId="odstavec">
    <w:name w:val="odstavec"/>
    <w:basedOn w:val="Normln"/>
    <w:rsid w:val="00A972E6"/>
    <w:pPr>
      <w:spacing w:before="120" w:after="0" w:line="240" w:lineRule="auto"/>
      <w:ind w:firstLine="482"/>
      <w:jc w:val="both"/>
    </w:pPr>
    <w:rPr>
      <w:rFonts w:ascii="Times New Roman" w:eastAsia="Times New Roman" w:hAnsi="Times New Roman" w:cs="Times New Roman"/>
      <w:noProof/>
      <w:sz w:val="24"/>
      <w:szCs w:val="24"/>
      <w:lang w:eastAsia="cs-CZ"/>
    </w:rPr>
  </w:style>
  <w:style w:type="paragraph" w:styleId="Zhlav">
    <w:name w:val="header"/>
    <w:basedOn w:val="Normln"/>
    <w:link w:val="ZhlavChar"/>
    <w:uiPriority w:val="99"/>
    <w:unhideWhenUsed/>
    <w:rsid w:val="00026B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6BDC"/>
  </w:style>
  <w:style w:type="paragraph" w:styleId="Zpat">
    <w:name w:val="footer"/>
    <w:basedOn w:val="Normln"/>
    <w:link w:val="ZpatChar"/>
    <w:uiPriority w:val="99"/>
    <w:unhideWhenUsed/>
    <w:rsid w:val="00026BDC"/>
    <w:pPr>
      <w:tabs>
        <w:tab w:val="center" w:pos="4536"/>
        <w:tab w:val="right" w:pos="9072"/>
      </w:tabs>
      <w:spacing w:after="0" w:line="240" w:lineRule="auto"/>
    </w:pPr>
  </w:style>
  <w:style w:type="character" w:customStyle="1" w:styleId="ZpatChar">
    <w:name w:val="Zápatí Char"/>
    <w:basedOn w:val="Standardnpsmoodstavce"/>
    <w:link w:val="Zpat"/>
    <w:uiPriority w:val="99"/>
    <w:rsid w:val="00026BDC"/>
  </w:style>
  <w:style w:type="paragraph" w:styleId="Textvysvtlivek">
    <w:name w:val="endnote text"/>
    <w:basedOn w:val="Normln"/>
    <w:link w:val="TextvysvtlivekChar"/>
    <w:uiPriority w:val="99"/>
    <w:semiHidden/>
    <w:unhideWhenUsed/>
    <w:rsid w:val="00A72E9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72E92"/>
    <w:rPr>
      <w:sz w:val="20"/>
      <w:szCs w:val="20"/>
    </w:rPr>
  </w:style>
  <w:style w:type="character" w:styleId="Odkaznavysvtlivky">
    <w:name w:val="endnote reference"/>
    <w:basedOn w:val="Standardnpsmoodstavce"/>
    <w:uiPriority w:val="99"/>
    <w:semiHidden/>
    <w:unhideWhenUsed/>
    <w:rsid w:val="00A72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7741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2018-12-02T13:24:00Z</dcterms:created>
  <dcterms:modified xsi:type="dcterms:W3CDTF">2018-12-02T13:25:00Z</dcterms:modified>
</cp:coreProperties>
</file>