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D2F173" w14:textId="258BD5DF" w:rsidR="00D70D7B" w:rsidRDefault="00D70D7B" w:rsidP="00F83E42">
      <w:pPr>
        <w:spacing w:before="240"/>
        <w:rPr>
          <w:b/>
          <w:color w:val="000000" w:themeColor="text1"/>
          <w:sz w:val="28"/>
          <w:szCs w:val="22"/>
        </w:rPr>
      </w:pPr>
      <w:bookmarkStart w:id="0" w:name="_Toc444261891"/>
      <w:bookmarkStart w:id="1" w:name="_Toc448138035"/>
      <w:bookmarkStart w:id="2" w:name="_Toc34309617"/>
      <w:bookmarkStart w:id="3" w:name="_Toc34768163"/>
      <w:r w:rsidRPr="00D70D7B">
        <w:rPr>
          <w:b/>
          <w:color w:val="000000" w:themeColor="text1"/>
          <w:sz w:val="28"/>
          <w:szCs w:val="22"/>
        </w:rPr>
        <w:t xml:space="preserve">Národní program reforem – energetika </w:t>
      </w:r>
      <w:r>
        <w:rPr>
          <w:b/>
          <w:color w:val="000000" w:themeColor="text1"/>
          <w:sz w:val="28"/>
          <w:szCs w:val="22"/>
        </w:rPr>
        <w:t xml:space="preserve">a životní prostředí </w:t>
      </w:r>
    </w:p>
    <w:p w14:paraId="00989705" w14:textId="77777777" w:rsidR="00D70D7B" w:rsidRPr="00D70D7B" w:rsidRDefault="00D70D7B" w:rsidP="00F83E42">
      <w:pPr>
        <w:spacing w:before="240"/>
        <w:rPr>
          <w:b/>
          <w:color w:val="000000" w:themeColor="text1"/>
          <w:sz w:val="28"/>
          <w:szCs w:val="22"/>
        </w:rPr>
      </w:pPr>
    </w:p>
    <w:p w14:paraId="1A262CCA" w14:textId="491AB7C4" w:rsidR="00F83E42" w:rsidRPr="00D70D7B" w:rsidRDefault="00F83E42" w:rsidP="00F83E42">
      <w:pPr>
        <w:spacing w:before="240"/>
        <w:rPr>
          <w:b/>
          <w:color w:val="000000" w:themeColor="text1"/>
          <w:szCs w:val="22"/>
        </w:rPr>
      </w:pPr>
      <w:r w:rsidRPr="00D70D7B">
        <w:rPr>
          <w:b/>
          <w:color w:val="000000" w:themeColor="text1"/>
          <w:szCs w:val="22"/>
        </w:rPr>
        <w:t>Novela stavebního zákona</w:t>
      </w:r>
    </w:p>
    <w:p w14:paraId="45911441" w14:textId="77777777" w:rsidR="00F83E42" w:rsidRPr="00D70D7B" w:rsidRDefault="00F83E42" w:rsidP="00F83E42">
      <w:pPr>
        <w:spacing w:before="240"/>
        <w:rPr>
          <w:color w:val="000000" w:themeColor="text1"/>
          <w:szCs w:val="22"/>
        </w:rPr>
      </w:pPr>
      <w:r w:rsidRPr="00D70D7B">
        <w:rPr>
          <w:color w:val="000000" w:themeColor="text1"/>
          <w:szCs w:val="22"/>
        </w:rPr>
        <w:t xml:space="preserve">Projednávaná vládní novela zákona č. 416/2009 Sb., znamená podstatné změny i ve </w:t>
      </w:r>
      <w:r w:rsidRPr="00D70D7B">
        <w:rPr>
          <w:b/>
          <w:color w:val="000000" w:themeColor="text1"/>
          <w:szCs w:val="22"/>
        </w:rPr>
        <w:t>stavebním zákoně</w:t>
      </w:r>
      <w:r w:rsidRPr="00D70D7B">
        <w:rPr>
          <w:color w:val="000000" w:themeColor="text1"/>
          <w:szCs w:val="22"/>
        </w:rPr>
        <w:t xml:space="preserve">. Kupříkladu jde o zavedení tzv. fikce souhlasného závazného stanoviska, což v praxi znamená, že pokud se dotčený orgán nevyjádří do stanovené lhůty, platí, že vydal souhlasné závazné stanovisko bez dalších podmínek. Předmětem navrhovaných změn je i úprava lhůty pro vydávání závazných stanovisek a také jejich následný možný přezkum. </w:t>
      </w:r>
    </w:p>
    <w:p w14:paraId="69C2D767" w14:textId="77777777" w:rsidR="00F83E42" w:rsidRPr="00D70D7B" w:rsidRDefault="00F83E42" w:rsidP="00F83E42">
      <w:pPr>
        <w:spacing w:before="240"/>
        <w:rPr>
          <w:b/>
          <w:color w:val="000000" w:themeColor="text1"/>
          <w:szCs w:val="22"/>
        </w:rPr>
      </w:pPr>
      <w:r w:rsidRPr="00D70D7B">
        <w:rPr>
          <w:b/>
          <w:color w:val="000000" w:themeColor="text1"/>
          <w:szCs w:val="22"/>
        </w:rPr>
        <w:t xml:space="preserve">Rekodifikace veřejného stavebního práva </w:t>
      </w:r>
    </w:p>
    <w:p w14:paraId="72CE89CB" w14:textId="77777777" w:rsidR="00F83E42" w:rsidRPr="00D70D7B" w:rsidRDefault="00F83E42" w:rsidP="00F83E42">
      <w:pPr>
        <w:spacing w:before="240"/>
        <w:rPr>
          <w:color w:val="000000" w:themeColor="text1"/>
          <w:szCs w:val="22"/>
        </w:rPr>
      </w:pPr>
      <w:r w:rsidRPr="00D70D7B">
        <w:rPr>
          <w:color w:val="000000" w:themeColor="text1"/>
          <w:szCs w:val="22"/>
        </w:rPr>
        <w:t xml:space="preserve">Prioritou vlády je komplexní rekodifikace veřejného stavebního práva. Vedle dalšího počítá rekodifikace s </w:t>
      </w:r>
      <w:r w:rsidRPr="00D70D7B">
        <w:rPr>
          <w:b/>
          <w:color w:val="000000" w:themeColor="text1"/>
          <w:szCs w:val="22"/>
        </w:rPr>
        <w:t>organizačními změnami v rámci stavební správy</w:t>
      </w:r>
      <w:r w:rsidRPr="00D70D7B">
        <w:rPr>
          <w:color w:val="000000" w:themeColor="text1"/>
          <w:szCs w:val="22"/>
        </w:rPr>
        <w:t xml:space="preserve">, jejichž cílem je zrychlení a zefektivnění výkonu stavební agendy v ČR. V odůvodněných případech je rovněž předpokládána redukce počtu dotčených orgánů a integrace vybraných agend dotčených orgánů do rozhodování stavebních úřadů, avšak je třeba jasně vymezit veřejný zájem, stanovit věcnou působnost dotčených orgánů a nastavit účinný mechanismus vzájemné spolupráce. Cílem je též další urychlení povolovacích řízení, kdy je navrhováno sloučení dosavadních povolovacích procesů do jednoho řízení. V neposlední řadě rekodifikace počítá s revizí řady hmotněprávních předpisů upravujících obecné požadavky na výstavbu a dokumentaci. Cílem této revize je </w:t>
      </w:r>
      <w:r w:rsidRPr="00D70D7B">
        <w:rPr>
          <w:b/>
          <w:color w:val="000000" w:themeColor="text1"/>
          <w:szCs w:val="22"/>
        </w:rPr>
        <w:t>konsolidace hmotněprávních požadavků na výstavbu</w:t>
      </w:r>
      <w:r w:rsidRPr="00D70D7B">
        <w:rPr>
          <w:color w:val="000000" w:themeColor="text1"/>
          <w:szCs w:val="22"/>
        </w:rPr>
        <w:t xml:space="preserve"> do (pokud možno) jediného právního předpisu, který bude platný na celém území ČR. </w:t>
      </w:r>
    </w:p>
    <w:p w14:paraId="788928DA" w14:textId="77777777" w:rsidR="00F83E42" w:rsidRPr="00D70D7B" w:rsidRDefault="00F83E42" w:rsidP="00F83E42">
      <w:pPr>
        <w:spacing w:before="240"/>
        <w:rPr>
          <w:color w:val="000000" w:themeColor="text1"/>
          <w:szCs w:val="22"/>
        </w:rPr>
      </w:pPr>
      <w:r w:rsidRPr="00D70D7B">
        <w:rPr>
          <w:color w:val="000000" w:themeColor="text1"/>
          <w:szCs w:val="22"/>
        </w:rPr>
        <w:t xml:space="preserve">Věcný záměr nového stavebního zákona schválila vláda dne 24. 6. 2019. Změny, jež věcný záměr stavebního zákona přináší, jsou často přelomové. Paragrafové znění nového stavebního zákona a souvisejícího změnového zákona bylo připraveno ve spolupráci s Hospodářskou komorou ČR (HK) a pracovními skupinami zřízenými MMR v průběhu měsíců červen až listopad 2019. MPŘ proběhlo od 25. 11. 2019 do 23. 12. 2019. Výsledná podoba návrhu paragrafového znění a podoby rekodifikace stavebního práva bude závislá na výsledcích vypořádání připomínkového řízení se všemi dotčenými rezorty, a může se proto ještě podstatně měnit. </w:t>
      </w:r>
    </w:p>
    <w:p w14:paraId="40F139FE" w14:textId="77777777" w:rsidR="00F83E42" w:rsidRPr="00D70D7B" w:rsidRDefault="00F83E42" w:rsidP="00F83E42">
      <w:pPr>
        <w:spacing w:before="240"/>
        <w:rPr>
          <w:color w:val="000000" w:themeColor="text1"/>
          <w:szCs w:val="22"/>
        </w:rPr>
      </w:pPr>
      <w:r w:rsidRPr="00D70D7B">
        <w:rPr>
          <w:color w:val="000000" w:themeColor="text1"/>
          <w:szCs w:val="22"/>
        </w:rPr>
        <w:t xml:space="preserve">Pro </w:t>
      </w:r>
      <w:r w:rsidRPr="00D70D7B">
        <w:rPr>
          <w:b/>
          <w:color w:val="000000" w:themeColor="text1"/>
          <w:szCs w:val="22"/>
        </w:rPr>
        <w:t>předložení nového stavebního zákona do vlády je stanoven termín do 31. 3. 2020</w:t>
      </w:r>
      <w:r w:rsidRPr="00D70D7B">
        <w:rPr>
          <w:color w:val="000000" w:themeColor="text1"/>
          <w:szCs w:val="22"/>
        </w:rPr>
        <w:t>. Předpokládá se platnost nového stavebního zákona na jaře roku 2021 a jeho postupné nabývání účinnosti do 1. 7. 2023.</w:t>
      </w:r>
    </w:p>
    <w:p w14:paraId="2F562D88" w14:textId="77777777" w:rsidR="00925B2A" w:rsidRPr="00D70D7B" w:rsidRDefault="008E2664" w:rsidP="00925B2A">
      <w:pPr>
        <w:pStyle w:val="Nadpis3"/>
        <w:rPr>
          <w:color w:val="000000" w:themeColor="text1"/>
          <w:sz w:val="22"/>
          <w:szCs w:val="22"/>
          <w:lang w:val="cs-CZ"/>
        </w:rPr>
      </w:pPr>
      <w:r w:rsidRPr="00D70D7B">
        <w:rPr>
          <w:color w:val="000000" w:themeColor="text1"/>
          <w:sz w:val="22"/>
          <w:szCs w:val="22"/>
          <w:lang w:val="cs-CZ"/>
        </w:rPr>
        <w:t>3.</w:t>
      </w:r>
      <w:r w:rsidR="009B3BE9" w:rsidRPr="00D70D7B">
        <w:rPr>
          <w:color w:val="000000" w:themeColor="text1"/>
          <w:sz w:val="22"/>
          <w:szCs w:val="22"/>
          <w:lang w:val="cs-CZ"/>
        </w:rPr>
        <w:t>4</w:t>
      </w:r>
      <w:r w:rsidR="005B44E8" w:rsidRPr="00D70D7B">
        <w:rPr>
          <w:color w:val="000000" w:themeColor="text1"/>
          <w:sz w:val="22"/>
          <w:szCs w:val="22"/>
          <w:lang w:val="cs-CZ"/>
        </w:rPr>
        <w:t>.</w:t>
      </w:r>
      <w:r w:rsidR="009B3BE9" w:rsidRPr="00D70D7B">
        <w:rPr>
          <w:color w:val="000000" w:themeColor="text1"/>
          <w:sz w:val="22"/>
          <w:szCs w:val="22"/>
          <w:lang w:val="cs-CZ"/>
        </w:rPr>
        <w:t>1</w:t>
      </w:r>
      <w:r w:rsidR="005B44E8" w:rsidRPr="00D70D7B">
        <w:rPr>
          <w:color w:val="000000" w:themeColor="text1"/>
          <w:sz w:val="22"/>
          <w:szCs w:val="22"/>
          <w:lang w:val="cs-CZ"/>
        </w:rPr>
        <w:t xml:space="preserve"> </w:t>
      </w:r>
      <w:bookmarkEnd w:id="0"/>
      <w:bookmarkEnd w:id="1"/>
      <w:r w:rsidR="009B3BE9" w:rsidRPr="00D70D7B">
        <w:rPr>
          <w:color w:val="000000" w:themeColor="text1"/>
          <w:sz w:val="22"/>
          <w:szCs w:val="22"/>
          <w:lang w:val="cs-CZ"/>
        </w:rPr>
        <w:t>Změna klimatu, životní prostředí a zemědělství</w:t>
      </w:r>
      <w:bookmarkEnd w:id="2"/>
      <w:bookmarkEnd w:id="3"/>
    </w:p>
    <w:p w14:paraId="5205EDFC" w14:textId="77777777" w:rsidR="00637C9F" w:rsidRPr="00D70D7B" w:rsidRDefault="00637C9F" w:rsidP="00637C9F">
      <w:pPr>
        <w:autoSpaceDE w:val="0"/>
        <w:autoSpaceDN w:val="0"/>
        <w:adjustRightInd w:val="0"/>
        <w:spacing w:before="240"/>
        <w:rPr>
          <w:b/>
          <w:iCs/>
          <w:color w:val="000000" w:themeColor="text1"/>
          <w:szCs w:val="22"/>
        </w:rPr>
      </w:pPr>
      <w:bookmarkStart w:id="4" w:name="_Toc444261892"/>
      <w:bookmarkStart w:id="5" w:name="_Toc448138036"/>
      <w:r w:rsidRPr="00D70D7B">
        <w:rPr>
          <w:b/>
          <w:iCs/>
          <w:color w:val="000000" w:themeColor="text1"/>
          <w:szCs w:val="22"/>
        </w:rPr>
        <w:t>Změna klimatu</w:t>
      </w:r>
    </w:p>
    <w:p w14:paraId="162D6DBB" w14:textId="79F4D7A4" w:rsidR="000F4EF9" w:rsidRPr="00D70D7B" w:rsidRDefault="00637C9F" w:rsidP="00637C9F">
      <w:pPr>
        <w:autoSpaceDE w:val="0"/>
        <w:autoSpaceDN w:val="0"/>
        <w:adjustRightInd w:val="0"/>
        <w:spacing w:before="240"/>
        <w:rPr>
          <w:color w:val="000000" w:themeColor="text1"/>
          <w:szCs w:val="22"/>
        </w:rPr>
      </w:pPr>
      <w:r w:rsidRPr="00D70D7B">
        <w:rPr>
          <w:iCs/>
          <w:color w:val="000000" w:themeColor="text1"/>
          <w:szCs w:val="22"/>
        </w:rPr>
        <w:t xml:space="preserve">V roce 2020 bude pokračovat implementace Politiky ochrany klimatu v </w:t>
      </w:r>
      <w:r w:rsidR="008519B8" w:rsidRPr="00D70D7B">
        <w:rPr>
          <w:iCs/>
          <w:color w:val="000000" w:themeColor="text1"/>
          <w:szCs w:val="22"/>
        </w:rPr>
        <w:t>ČR</w:t>
      </w:r>
      <w:r w:rsidRPr="00D70D7B">
        <w:rPr>
          <w:iCs/>
          <w:color w:val="000000" w:themeColor="text1"/>
          <w:szCs w:val="22"/>
        </w:rPr>
        <w:t xml:space="preserve"> (Politika)</w:t>
      </w:r>
      <w:r w:rsidRPr="00D70D7B">
        <w:rPr>
          <w:color w:val="000000" w:themeColor="text1"/>
          <w:szCs w:val="22"/>
        </w:rPr>
        <w:t xml:space="preserve">. Zároveň bude zahájena práce na vyhodnocení Politiky, které bude předloženo vládě do konce roku 2021. Na základě tohoto vyhodnocení bude následně do konce roku 2023 předložena vládě aktualizace Politiky. V návaznosti na cíl dosažení klimatické neutrality EU do roku 2050, schválený Evropskou radou v prosinci 2019, budou v roce 2020 zpracovány konkrétní scénáře, zhodnocení nákladů a potenciálu možných opatření k </w:t>
      </w:r>
      <w:r w:rsidRPr="00D70D7B">
        <w:rPr>
          <w:b/>
          <w:color w:val="000000" w:themeColor="text1"/>
          <w:szCs w:val="22"/>
        </w:rPr>
        <w:t>dosažení klimatické neutrality do roku 2050 na úrovni ČR</w:t>
      </w:r>
      <w:r w:rsidRPr="00D70D7B">
        <w:rPr>
          <w:color w:val="000000" w:themeColor="text1"/>
          <w:szCs w:val="22"/>
        </w:rPr>
        <w:t>. V roce 2020 bude dokončena disku</w:t>
      </w:r>
      <w:r w:rsidR="008B1827" w:rsidRPr="00D70D7B">
        <w:rPr>
          <w:color w:val="000000" w:themeColor="text1"/>
          <w:szCs w:val="22"/>
        </w:rPr>
        <w:t>z</w:t>
      </w:r>
      <w:r w:rsidRPr="00D70D7B">
        <w:rPr>
          <w:color w:val="000000" w:themeColor="text1"/>
          <w:szCs w:val="22"/>
        </w:rPr>
        <w:t>e k </w:t>
      </w:r>
      <w:r w:rsidRPr="00D70D7B">
        <w:rPr>
          <w:b/>
          <w:color w:val="000000" w:themeColor="text1"/>
          <w:szCs w:val="22"/>
        </w:rPr>
        <w:t>nastavení podpory v rámci Modernizačního fondu</w:t>
      </w:r>
      <w:r w:rsidRPr="00D70D7B">
        <w:rPr>
          <w:color w:val="000000" w:themeColor="text1"/>
          <w:szCs w:val="22"/>
        </w:rPr>
        <w:t xml:space="preserve">, který bude zásadním </w:t>
      </w:r>
      <w:r w:rsidRPr="00D70D7B">
        <w:rPr>
          <w:color w:val="000000" w:themeColor="text1"/>
          <w:szCs w:val="22"/>
        </w:rPr>
        <w:lastRenderedPageBreak/>
        <w:t>nástrojem k financování rozvoje obnovitelných zdrojů, energetické účinnosti a opatření ke snižování emisí skleníkových plynů od roku 2021. Probíhat bude rovněž diskuze k </w:t>
      </w:r>
      <w:r w:rsidR="008B1827" w:rsidRPr="00D70D7B">
        <w:rPr>
          <w:b/>
          <w:color w:val="000000" w:themeColor="text1"/>
          <w:szCs w:val="22"/>
        </w:rPr>
        <w:t>nastavení nového Fondu pro </w:t>
      </w:r>
      <w:r w:rsidRPr="00D70D7B">
        <w:rPr>
          <w:b/>
          <w:color w:val="000000" w:themeColor="text1"/>
          <w:szCs w:val="22"/>
        </w:rPr>
        <w:t xml:space="preserve">spravedlivou transformaci </w:t>
      </w:r>
      <w:r w:rsidRPr="00D70D7B">
        <w:rPr>
          <w:color w:val="000000" w:themeColor="text1"/>
          <w:szCs w:val="22"/>
        </w:rPr>
        <w:t>a příprava podpory k dosažení cílů v oblasti energetiky a klimatu v rámci nového programového období 2021</w:t>
      </w:r>
      <w:r w:rsidR="008B1827" w:rsidRPr="00D70D7B">
        <w:rPr>
          <w:color w:val="000000" w:themeColor="text1"/>
          <w:szCs w:val="22"/>
        </w:rPr>
        <w:t xml:space="preserve"> - </w:t>
      </w:r>
      <w:r w:rsidRPr="00D70D7B">
        <w:rPr>
          <w:color w:val="000000" w:themeColor="text1"/>
          <w:szCs w:val="22"/>
        </w:rPr>
        <w:t xml:space="preserve">2027. </w:t>
      </w:r>
    </w:p>
    <w:p w14:paraId="1B5E0F44" w14:textId="77777777" w:rsidR="00637C9F" w:rsidRPr="00D70D7B" w:rsidRDefault="00637C9F" w:rsidP="00637C9F">
      <w:pPr>
        <w:spacing w:before="240"/>
        <w:rPr>
          <w:b/>
          <w:color w:val="000000" w:themeColor="text1"/>
          <w:szCs w:val="22"/>
        </w:rPr>
      </w:pPr>
      <w:r w:rsidRPr="00D70D7B">
        <w:rPr>
          <w:b/>
          <w:color w:val="000000" w:themeColor="text1"/>
          <w:szCs w:val="22"/>
        </w:rPr>
        <w:t>Ochrana klimatu a adaptace na jeho změnu</w:t>
      </w:r>
    </w:p>
    <w:p w14:paraId="027C66B1" w14:textId="3AD13F6D" w:rsidR="00637C9F" w:rsidRPr="00D70D7B" w:rsidRDefault="00637C9F" w:rsidP="00637C9F">
      <w:pPr>
        <w:spacing w:before="240"/>
        <w:rPr>
          <w:color w:val="000000" w:themeColor="text1"/>
          <w:szCs w:val="22"/>
        </w:rPr>
      </w:pPr>
      <w:r w:rsidRPr="00D70D7B">
        <w:rPr>
          <w:color w:val="000000" w:themeColor="text1"/>
          <w:szCs w:val="22"/>
        </w:rPr>
        <w:t>V roce 2020 bude pokračovat plnění Národního akčního plánu adaptace na změnu klimatu</w:t>
      </w:r>
      <w:r w:rsidRPr="00D70D7B">
        <w:rPr>
          <w:color w:val="000000" w:themeColor="text1"/>
          <w:szCs w:val="22"/>
          <w:vertAlign w:val="superscript"/>
        </w:rPr>
        <w:footnoteReference w:id="2"/>
      </w:r>
      <w:r w:rsidRPr="00D70D7B">
        <w:rPr>
          <w:color w:val="000000" w:themeColor="text1"/>
          <w:szCs w:val="22"/>
        </w:rPr>
        <w:t xml:space="preserve"> (NAP adaptace), který je implementačním dokumentem Strategie přizpůsobení se změn</w:t>
      </w:r>
      <w:r w:rsidR="006B673F" w:rsidRPr="00D70D7B">
        <w:rPr>
          <w:color w:val="000000" w:themeColor="text1"/>
          <w:szCs w:val="22"/>
        </w:rPr>
        <w:t>ě klimatu v </w:t>
      </w:r>
      <w:r w:rsidRPr="00D70D7B">
        <w:rPr>
          <w:color w:val="000000" w:themeColor="text1"/>
          <w:szCs w:val="22"/>
        </w:rPr>
        <w:t>podmínkách ČR</w:t>
      </w:r>
      <w:r w:rsidRPr="00D70D7B">
        <w:rPr>
          <w:color w:val="000000" w:themeColor="text1"/>
          <w:szCs w:val="22"/>
          <w:vertAlign w:val="superscript"/>
        </w:rPr>
        <w:footnoteReference w:id="3"/>
      </w:r>
      <w:r w:rsidRPr="00D70D7B">
        <w:rPr>
          <w:color w:val="000000" w:themeColor="text1"/>
          <w:szCs w:val="22"/>
        </w:rPr>
        <w:t>. Oba uvedené strategické dokumenty vytvářej</w:t>
      </w:r>
      <w:r w:rsidR="006B673F" w:rsidRPr="00D70D7B">
        <w:rPr>
          <w:color w:val="000000" w:themeColor="text1"/>
          <w:szCs w:val="22"/>
        </w:rPr>
        <w:t>í celostátní rámec opatření pro </w:t>
      </w:r>
      <w:r w:rsidRPr="00D70D7B">
        <w:rPr>
          <w:color w:val="000000" w:themeColor="text1"/>
          <w:szCs w:val="22"/>
        </w:rPr>
        <w:t xml:space="preserve">adaptaci na změnu klimatu s cílem snížení rizik a negativních dopadů změny klimatu na území ČR. </w:t>
      </w:r>
    </w:p>
    <w:p w14:paraId="797C569C" w14:textId="158AC86B" w:rsidR="00637C9F" w:rsidRPr="00D70D7B" w:rsidRDefault="00637C9F" w:rsidP="00637C9F">
      <w:pPr>
        <w:spacing w:before="240"/>
        <w:rPr>
          <w:color w:val="000000" w:themeColor="text1"/>
          <w:szCs w:val="22"/>
          <w:lang w:eastAsia="x-none"/>
        </w:rPr>
      </w:pPr>
      <w:r w:rsidRPr="00D70D7B">
        <w:rPr>
          <w:color w:val="000000" w:themeColor="text1"/>
          <w:szCs w:val="22"/>
        </w:rPr>
        <w:t xml:space="preserve">Adaptační opatření jsou finančně podporována z prostředků fondů EU: Operační program Životní prostředí (OP ŽP), Program rozvoje venkova (PRV), program LIFE aj., a dále z národních programů, např. Podpora obnovy přirozených funkcí krajiny (POPFK), Program péče o krajinu (PPK) a NPŽP. V lednu 2020 bylo </w:t>
      </w:r>
      <w:r w:rsidR="006B673F" w:rsidRPr="00D70D7B">
        <w:rPr>
          <w:color w:val="000000" w:themeColor="text1"/>
          <w:szCs w:val="22"/>
        </w:rPr>
        <w:t>v</w:t>
      </w:r>
      <w:r w:rsidRPr="00D70D7B">
        <w:rPr>
          <w:color w:val="000000" w:themeColor="text1"/>
          <w:szCs w:val="22"/>
        </w:rPr>
        <w:t xml:space="preserve">ládě předloženo </w:t>
      </w:r>
      <w:r w:rsidRPr="00D70D7B">
        <w:rPr>
          <w:b/>
          <w:color w:val="000000" w:themeColor="text1"/>
          <w:szCs w:val="22"/>
        </w:rPr>
        <w:t>Vyhodnocení plnění Náro</w:t>
      </w:r>
      <w:r w:rsidR="006B673F" w:rsidRPr="00D70D7B">
        <w:rPr>
          <w:b/>
          <w:color w:val="000000" w:themeColor="text1"/>
          <w:szCs w:val="22"/>
        </w:rPr>
        <w:t>dního akčního plánu adaptace na </w:t>
      </w:r>
      <w:r w:rsidRPr="00D70D7B">
        <w:rPr>
          <w:b/>
          <w:color w:val="000000" w:themeColor="text1"/>
          <w:szCs w:val="22"/>
        </w:rPr>
        <w:t>změnu klimatu</w:t>
      </w:r>
      <w:r w:rsidRPr="00D70D7B">
        <w:rPr>
          <w:color w:val="000000" w:themeColor="text1"/>
          <w:szCs w:val="22"/>
        </w:rPr>
        <w:t xml:space="preserve">. Z něho vyplývá, že z celkem 350 úkolů NAP adaptace je aktuálně 70 % plněno průběžně či splněno, 19 </w:t>
      </w:r>
      <w:r w:rsidR="006B673F" w:rsidRPr="00D70D7B">
        <w:rPr>
          <w:color w:val="000000" w:themeColor="text1"/>
          <w:szCs w:val="22"/>
        </w:rPr>
        <w:t>%</w:t>
      </w:r>
      <w:r w:rsidRPr="00D70D7B">
        <w:rPr>
          <w:color w:val="000000" w:themeColor="text1"/>
          <w:szCs w:val="22"/>
        </w:rPr>
        <w:t xml:space="preserve"> jako částečně plněno a 11 </w:t>
      </w:r>
      <w:r w:rsidR="006B673F" w:rsidRPr="00D70D7B">
        <w:rPr>
          <w:color w:val="000000" w:themeColor="text1"/>
          <w:szCs w:val="22"/>
        </w:rPr>
        <w:t>%</w:t>
      </w:r>
      <w:r w:rsidRPr="00D70D7B">
        <w:rPr>
          <w:color w:val="000000" w:themeColor="text1"/>
          <w:szCs w:val="22"/>
        </w:rPr>
        <w:t xml:space="preserve"> jako neplněno. </w:t>
      </w:r>
      <w:r w:rsidRPr="00D70D7B">
        <w:rPr>
          <w:color w:val="000000" w:themeColor="text1"/>
          <w:szCs w:val="22"/>
          <w:lang w:eastAsia="x-none"/>
        </w:rPr>
        <w:t xml:space="preserve">Daří se zavádět např. opatření s cílem zadržet vodu v krajině i ve městech. </w:t>
      </w:r>
    </w:p>
    <w:p w14:paraId="3213955D" w14:textId="6FD5DDEC" w:rsidR="00637C9F" w:rsidRPr="00D70D7B" w:rsidRDefault="006B673F" w:rsidP="00637C9F">
      <w:pPr>
        <w:spacing w:before="240"/>
        <w:rPr>
          <w:b/>
          <w:color w:val="000000" w:themeColor="text1"/>
          <w:szCs w:val="22"/>
        </w:rPr>
      </w:pPr>
      <w:r w:rsidRPr="00D70D7B">
        <w:rPr>
          <w:color w:val="000000" w:themeColor="text1"/>
          <w:szCs w:val="22"/>
        </w:rPr>
        <w:t>V</w:t>
      </w:r>
      <w:r w:rsidR="00637C9F" w:rsidRPr="00D70D7B">
        <w:rPr>
          <w:color w:val="000000" w:themeColor="text1"/>
          <w:szCs w:val="22"/>
        </w:rPr>
        <w:t xml:space="preserve">zhledem k prohlubujícím se projevům změn klimatu a rozšířené znalostní i datové základně zahájilo </w:t>
      </w:r>
      <w:r w:rsidRPr="00D70D7B">
        <w:rPr>
          <w:color w:val="000000" w:themeColor="text1"/>
          <w:szCs w:val="22"/>
        </w:rPr>
        <w:t xml:space="preserve">MŽP </w:t>
      </w:r>
      <w:r w:rsidR="00637C9F" w:rsidRPr="00D70D7B">
        <w:rPr>
          <w:color w:val="000000" w:themeColor="text1"/>
          <w:szCs w:val="22"/>
        </w:rPr>
        <w:t>již v roce 2019 práce na aktualizaci Strategie přizpůsobení se změně klimatu v podmínkách ČR</w:t>
      </w:r>
      <w:r w:rsidRPr="00D70D7B">
        <w:rPr>
          <w:color w:val="000000" w:themeColor="text1"/>
          <w:szCs w:val="22"/>
        </w:rPr>
        <w:t xml:space="preserve"> a </w:t>
      </w:r>
      <w:r w:rsidR="00637C9F" w:rsidRPr="00D70D7B">
        <w:rPr>
          <w:color w:val="000000" w:themeColor="text1"/>
          <w:szCs w:val="22"/>
        </w:rPr>
        <w:t xml:space="preserve">NAP adaptace. </w:t>
      </w:r>
      <w:r w:rsidR="00637C9F" w:rsidRPr="00D70D7B">
        <w:rPr>
          <w:b/>
          <w:color w:val="000000" w:themeColor="text1"/>
          <w:szCs w:val="22"/>
        </w:rPr>
        <w:t>Oba aktualizované dokument</w:t>
      </w:r>
      <w:r w:rsidRPr="00D70D7B">
        <w:rPr>
          <w:b/>
          <w:color w:val="000000" w:themeColor="text1"/>
          <w:szCs w:val="22"/>
        </w:rPr>
        <w:t>y budou v roce 2020 předloženy vládě</w:t>
      </w:r>
      <w:r w:rsidR="00637C9F" w:rsidRPr="00D70D7B">
        <w:rPr>
          <w:color w:val="000000" w:themeColor="text1"/>
          <w:szCs w:val="22"/>
        </w:rPr>
        <w:t>. Vyhodnocení plnění NAP adaptace, spolu s Hodnocením zranitelnosti ČR vůči projevům změny klimatu a Aktualizací Komplexní studie dopadů, zranitelnosti a zdrojů rizik souvisejících se změnou klimatu v ČR, tvoří základní podklady pro aktualizaci výše uvedených strategických materiálů.</w:t>
      </w:r>
    </w:p>
    <w:p w14:paraId="3455D08D" w14:textId="77777777" w:rsidR="00637C9F" w:rsidRPr="00D70D7B" w:rsidRDefault="00637C9F" w:rsidP="00637C9F">
      <w:pPr>
        <w:spacing w:before="240"/>
        <w:rPr>
          <w:b/>
          <w:color w:val="000000" w:themeColor="text1"/>
          <w:szCs w:val="22"/>
        </w:rPr>
      </w:pPr>
      <w:r w:rsidRPr="00D70D7B">
        <w:rPr>
          <w:b/>
          <w:color w:val="000000" w:themeColor="text1"/>
          <w:szCs w:val="22"/>
        </w:rPr>
        <w:t>Modernizační fond</w:t>
      </w:r>
    </w:p>
    <w:p w14:paraId="4C866771" w14:textId="77777777" w:rsidR="006B673F" w:rsidRPr="00D70D7B" w:rsidRDefault="00637C9F" w:rsidP="00637C9F">
      <w:pPr>
        <w:spacing w:before="240"/>
        <w:rPr>
          <w:color w:val="000000" w:themeColor="text1"/>
          <w:szCs w:val="22"/>
        </w:rPr>
      </w:pPr>
      <w:r w:rsidRPr="00D70D7B">
        <w:rPr>
          <w:color w:val="000000" w:themeColor="text1"/>
          <w:szCs w:val="22"/>
        </w:rPr>
        <w:t xml:space="preserve">V návaznosti na úpravu evropské směrnice 2003/87/ES o systému obchodování s povolenkami na emise skleníkových plynů byl novelizován zákon č. 383/2012 </w:t>
      </w:r>
      <w:proofErr w:type="spellStart"/>
      <w:r w:rsidRPr="00D70D7B">
        <w:rPr>
          <w:color w:val="000000" w:themeColor="text1"/>
          <w:szCs w:val="22"/>
        </w:rPr>
        <w:t>Sb</w:t>
      </w:r>
      <w:proofErr w:type="spellEnd"/>
      <w:r w:rsidRPr="00D70D7B">
        <w:rPr>
          <w:color w:val="000000" w:themeColor="text1"/>
          <w:szCs w:val="22"/>
        </w:rPr>
        <w:t xml:space="preserve">, o podmínkách obchodování s povolenkami na emise skleníkových plynů (zákon č. 1/2020 Sb.).  </w:t>
      </w:r>
    </w:p>
    <w:p w14:paraId="2129F28D" w14:textId="29075C65" w:rsidR="00637C9F" w:rsidRPr="00D70D7B" w:rsidRDefault="00637C9F" w:rsidP="00637C9F">
      <w:pPr>
        <w:spacing w:before="240"/>
        <w:rPr>
          <w:color w:val="000000" w:themeColor="text1"/>
          <w:szCs w:val="22"/>
        </w:rPr>
      </w:pPr>
      <w:r w:rsidRPr="00D70D7B">
        <w:rPr>
          <w:color w:val="000000" w:themeColor="text1"/>
          <w:szCs w:val="22"/>
        </w:rPr>
        <w:t xml:space="preserve">Těmito změnami byl zakotven </w:t>
      </w:r>
      <w:r w:rsidRPr="00D70D7B">
        <w:rPr>
          <w:b/>
          <w:color w:val="000000" w:themeColor="text1"/>
          <w:szCs w:val="22"/>
        </w:rPr>
        <w:t>Modernizační fond</w:t>
      </w:r>
      <w:r w:rsidRPr="00D70D7B">
        <w:rPr>
          <w:color w:val="000000" w:themeColor="text1"/>
          <w:szCs w:val="22"/>
        </w:rPr>
        <w:t>, který je novým zdrojem finančních prostředků určených především na snižování emisí skleníkových plynů, zvyšování energetické účinnost a využití obnovitelných zdrojů energie.</w:t>
      </w:r>
      <w:r w:rsidR="000F4EF9" w:rsidRPr="00D70D7B">
        <w:rPr>
          <w:color w:val="000000" w:themeColor="text1"/>
          <w:szCs w:val="22"/>
        </w:rPr>
        <w:t xml:space="preserve"> </w:t>
      </w:r>
      <w:r w:rsidRPr="00D70D7B">
        <w:rPr>
          <w:color w:val="000000" w:themeColor="text1"/>
          <w:szCs w:val="22"/>
        </w:rPr>
        <w:t>Prostředky Modernizačního fondu budou příjmem Státního fondu životního prostředí, který je bude spravovat. Jejich celkový objem závisí na tržních cenách emisních povolenek, na období 2021</w:t>
      </w:r>
      <w:r w:rsidR="003C6E56" w:rsidRPr="00D70D7B">
        <w:rPr>
          <w:color w:val="000000" w:themeColor="text1"/>
          <w:szCs w:val="22"/>
        </w:rPr>
        <w:t xml:space="preserve"> - </w:t>
      </w:r>
      <w:r w:rsidRPr="00D70D7B">
        <w:rPr>
          <w:color w:val="000000" w:themeColor="text1"/>
          <w:szCs w:val="22"/>
        </w:rPr>
        <w:t>2030 se odhaduje částka 130 mld. Kč.</w:t>
      </w:r>
    </w:p>
    <w:p w14:paraId="614ACA29" w14:textId="355F7935" w:rsidR="00637C9F" w:rsidRPr="00D70D7B" w:rsidRDefault="00637C9F" w:rsidP="00637C9F">
      <w:pPr>
        <w:spacing w:before="240"/>
        <w:rPr>
          <w:color w:val="000000" w:themeColor="text1"/>
          <w:szCs w:val="22"/>
        </w:rPr>
      </w:pPr>
      <w:r w:rsidRPr="00D70D7B">
        <w:rPr>
          <w:color w:val="000000" w:themeColor="text1"/>
          <w:szCs w:val="22"/>
        </w:rPr>
        <w:t xml:space="preserve">Prostředky by měly být k dispozici od roku 2021, tj. v roce 2020 bude probíhat příprava implementační struktury a věcného zaměření. Věcné zaměření je plánováno komplementárně k relevantním operačním programům financovaným z fondů EU (Fond soudržnosti, </w:t>
      </w:r>
      <w:r w:rsidR="00C01546" w:rsidRPr="00D70D7B">
        <w:rPr>
          <w:color w:val="000000" w:themeColor="text1"/>
          <w:szCs w:val="22"/>
        </w:rPr>
        <w:t>EFRR</w:t>
      </w:r>
      <w:r w:rsidRPr="00D70D7B">
        <w:rPr>
          <w:color w:val="000000" w:themeColor="text1"/>
          <w:szCs w:val="22"/>
        </w:rPr>
        <w:t>, Fond pro spravedlivou transformaci) a dalším programům financovaným z dražeb povolenek na emise skleníkových plynů (nástupnický program programu Nová Zelená úsporám). Část prostředků Modernizačního fondu je prioritně určena provozovatelům zařízení na výrobu elektřiny za účelem modernizace, diverzifikace a dekarbonizace odvětví energetiky. Zvýhodnění by měly mít i projekty realizované v regionech postižených útlumem těžby uhlí.</w:t>
      </w:r>
    </w:p>
    <w:p w14:paraId="0D3A76EA" w14:textId="77777777" w:rsidR="00637C9F" w:rsidRPr="00D70D7B" w:rsidRDefault="00637C9F" w:rsidP="00637C9F">
      <w:pPr>
        <w:spacing w:before="240"/>
        <w:rPr>
          <w:b/>
          <w:color w:val="000000" w:themeColor="text1"/>
          <w:szCs w:val="22"/>
        </w:rPr>
      </w:pPr>
      <w:r w:rsidRPr="00D70D7B">
        <w:rPr>
          <w:b/>
          <w:color w:val="000000" w:themeColor="text1"/>
          <w:szCs w:val="22"/>
        </w:rPr>
        <w:lastRenderedPageBreak/>
        <w:t>Nová zelená úsporám</w:t>
      </w:r>
    </w:p>
    <w:p w14:paraId="16F0B7B1" w14:textId="1B50E94F" w:rsidR="00637C9F" w:rsidRPr="00D70D7B" w:rsidRDefault="00637C9F" w:rsidP="00637C9F">
      <w:pPr>
        <w:spacing w:before="240"/>
        <w:rPr>
          <w:color w:val="000000" w:themeColor="text1"/>
          <w:szCs w:val="22"/>
        </w:rPr>
      </w:pPr>
      <w:r w:rsidRPr="00D70D7B">
        <w:rPr>
          <w:color w:val="000000" w:themeColor="text1"/>
          <w:szCs w:val="22"/>
        </w:rPr>
        <w:t>Cílem programu Nová zelená úsporám je snížení energetické náročnosti budov a přispět ke snížení emisí CO</w:t>
      </w:r>
      <w:r w:rsidRPr="00D70D7B">
        <w:rPr>
          <w:color w:val="000000" w:themeColor="text1"/>
          <w:szCs w:val="22"/>
          <w:vertAlign w:val="subscript"/>
        </w:rPr>
        <w:t>2</w:t>
      </w:r>
      <w:r w:rsidRPr="00D70D7B">
        <w:rPr>
          <w:color w:val="000000" w:themeColor="text1"/>
          <w:szCs w:val="22"/>
        </w:rPr>
        <w:t>. Snahou MŽP je zvýšit zájem o podporu z tohoto programu a v důsledku toho snížit spotřebu energie na vytápění objektů a zvýšit podíl energie získané z obnovitel</w:t>
      </w:r>
      <w:r w:rsidR="003C6E56" w:rsidRPr="00D70D7B">
        <w:rPr>
          <w:color w:val="000000" w:themeColor="text1"/>
          <w:szCs w:val="22"/>
        </w:rPr>
        <w:t>ných zdrojů. Zvýšení zájmu o </w:t>
      </w:r>
      <w:r w:rsidRPr="00D70D7B">
        <w:rPr>
          <w:color w:val="000000" w:themeColor="text1"/>
          <w:szCs w:val="22"/>
        </w:rPr>
        <w:t>dotační program je dosahováno zjednodušením a zefektivně</w:t>
      </w:r>
      <w:r w:rsidR="003C6E56" w:rsidRPr="00D70D7B">
        <w:rPr>
          <w:color w:val="000000" w:themeColor="text1"/>
          <w:szCs w:val="22"/>
        </w:rPr>
        <w:t>ním administrace pro žadatele a </w:t>
      </w:r>
      <w:r w:rsidRPr="00D70D7B">
        <w:rPr>
          <w:color w:val="000000" w:themeColor="text1"/>
          <w:szCs w:val="22"/>
        </w:rPr>
        <w:t xml:space="preserve">rozšířením portfolia podporovaných opatření o podprogramy Adaptační a </w:t>
      </w:r>
      <w:proofErr w:type="spellStart"/>
      <w:r w:rsidRPr="00D70D7B">
        <w:rPr>
          <w:color w:val="000000" w:themeColor="text1"/>
          <w:szCs w:val="22"/>
        </w:rPr>
        <w:t>mitigační</w:t>
      </w:r>
      <w:proofErr w:type="spellEnd"/>
      <w:r w:rsidRPr="00D70D7B">
        <w:rPr>
          <w:color w:val="000000" w:themeColor="text1"/>
          <w:szCs w:val="22"/>
        </w:rPr>
        <w:t xml:space="preserve"> opatření </w:t>
      </w:r>
      <w:r w:rsidR="003C6E56" w:rsidRPr="00D70D7B">
        <w:rPr>
          <w:color w:val="000000" w:themeColor="text1"/>
          <w:szCs w:val="22"/>
        </w:rPr>
        <w:t>a </w:t>
      </w:r>
      <w:r w:rsidRPr="00D70D7B">
        <w:rPr>
          <w:color w:val="000000" w:themeColor="text1"/>
          <w:szCs w:val="22"/>
        </w:rPr>
        <w:t xml:space="preserve">Poskytnutí finančních záruk. V současné době se postupně ukončuje </w:t>
      </w:r>
      <w:r w:rsidR="003C6E56" w:rsidRPr="00D70D7B">
        <w:rPr>
          <w:color w:val="000000" w:themeColor="text1"/>
          <w:szCs w:val="22"/>
        </w:rPr>
        <w:t>stávající programovací období a </w:t>
      </w:r>
      <w:r w:rsidRPr="00D70D7B">
        <w:rPr>
          <w:color w:val="000000" w:themeColor="text1"/>
          <w:szCs w:val="22"/>
        </w:rPr>
        <w:t>připravuje se nástu</w:t>
      </w:r>
      <w:r w:rsidR="003C6E56" w:rsidRPr="00D70D7B">
        <w:rPr>
          <w:color w:val="000000" w:themeColor="text1"/>
          <w:szCs w:val="22"/>
        </w:rPr>
        <w:t>pnický program pro období 2021 -</w:t>
      </w:r>
      <w:r w:rsidRPr="00D70D7B">
        <w:rPr>
          <w:color w:val="000000" w:themeColor="text1"/>
          <w:szCs w:val="22"/>
        </w:rPr>
        <w:t xml:space="preserve"> 2030.</w:t>
      </w:r>
    </w:p>
    <w:p w14:paraId="2BC3BC1F" w14:textId="77777777" w:rsidR="00637C9F" w:rsidRPr="00D70D7B" w:rsidRDefault="00637C9F" w:rsidP="00637C9F">
      <w:pPr>
        <w:spacing w:before="240"/>
        <w:rPr>
          <w:b/>
          <w:color w:val="000000" w:themeColor="text1"/>
          <w:szCs w:val="22"/>
        </w:rPr>
      </w:pPr>
      <w:r w:rsidRPr="00D70D7B">
        <w:rPr>
          <w:b/>
          <w:color w:val="000000" w:themeColor="text1"/>
          <w:szCs w:val="22"/>
        </w:rPr>
        <w:t>Nakládání s odpady</w:t>
      </w:r>
    </w:p>
    <w:p w14:paraId="0F14BB4B" w14:textId="74422E47" w:rsidR="00637C9F" w:rsidRPr="00D70D7B" w:rsidRDefault="00637C9F" w:rsidP="00637C9F">
      <w:pPr>
        <w:spacing w:before="240"/>
        <w:rPr>
          <w:color w:val="000000" w:themeColor="text1"/>
          <w:szCs w:val="22"/>
        </w:rPr>
      </w:pPr>
      <w:r w:rsidRPr="00D70D7B">
        <w:rPr>
          <w:color w:val="000000" w:themeColor="text1"/>
          <w:szCs w:val="22"/>
        </w:rPr>
        <w:t xml:space="preserve">MŽP zpracovalo </w:t>
      </w:r>
      <w:r w:rsidRPr="00D70D7B">
        <w:rPr>
          <w:b/>
          <w:color w:val="000000" w:themeColor="text1"/>
          <w:szCs w:val="22"/>
        </w:rPr>
        <w:t>návrhy nového zákona o odpadech</w:t>
      </w:r>
      <w:r w:rsidRPr="00D70D7B">
        <w:rPr>
          <w:color w:val="000000" w:themeColor="text1"/>
          <w:szCs w:val="22"/>
        </w:rPr>
        <w:t>, zákona o výr</w:t>
      </w:r>
      <w:r w:rsidR="003C6E56" w:rsidRPr="00D70D7B">
        <w:rPr>
          <w:color w:val="000000" w:themeColor="text1"/>
          <w:szCs w:val="22"/>
        </w:rPr>
        <w:t>obcích s ukončenou životností a </w:t>
      </w:r>
      <w:r w:rsidRPr="00D70D7B">
        <w:rPr>
          <w:color w:val="000000" w:themeColor="text1"/>
          <w:szCs w:val="22"/>
        </w:rPr>
        <w:t>novelu zákona o obalech v návaznosti na nutnost transpozice revidovaných směrnic v oblasti odpadového hospodářství, které byly vydány v rámci tzv. balíčku k oběhovému hospodářství. Návrhy zákonů byly 9. 12. 2019 schváleny vládou a v roce 2020 bude pokračovat jejich projednání v </w:t>
      </w:r>
      <w:r w:rsidR="003C6E56" w:rsidRPr="00D70D7B">
        <w:rPr>
          <w:color w:val="000000" w:themeColor="text1"/>
          <w:szCs w:val="22"/>
        </w:rPr>
        <w:t>P</w:t>
      </w:r>
      <w:r w:rsidRPr="00D70D7B">
        <w:rPr>
          <w:color w:val="000000" w:themeColor="text1"/>
          <w:szCs w:val="22"/>
        </w:rPr>
        <w:t>ČR. Zároveň probíhá příprava prováděcích předpisů k novým zákonům a aktualizace Plánu odpadového h</w:t>
      </w:r>
      <w:r w:rsidR="003C6E56" w:rsidRPr="00D70D7B">
        <w:rPr>
          <w:color w:val="000000" w:themeColor="text1"/>
          <w:szCs w:val="22"/>
        </w:rPr>
        <w:t>ospodářství ČR pro období 2015 -</w:t>
      </w:r>
      <w:r w:rsidRPr="00D70D7B">
        <w:rPr>
          <w:color w:val="000000" w:themeColor="text1"/>
          <w:szCs w:val="22"/>
        </w:rPr>
        <w:t xml:space="preserve"> 2024.</w:t>
      </w:r>
    </w:p>
    <w:p w14:paraId="2961F168" w14:textId="560BC3EC" w:rsidR="00637C9F" w:rsidRPr="00D70D7B" w:rsidRDefault="00637C9F" w:rsidP="00637C9F">
      <w:pPr>
        <w:spacing w:before="240"/>
        <w:rPr>
          <w:color w:val="000000" w:themeColor="text1"/>
          <w:szCs w:val="22"/>
        </w:rPr>
      </w:pPr>
      <w:r w:rsidRPr="00D70D7B">
        <w:rPr>
          <w:color w:val="000000" w:themeColor="text1"/>
          <w:szCs w:val="22"/>
        </w:rPr>
        <w:t xml:space="preserve">Pokračuje </w:t>
      </w:r>
      <w:r w:rsidRPr="00D70D7B">
        <w:rPr>
          <w:b/>
          <w:color w:val="000000" w:themeColor="text1"/>
          <w:szCs w:val="22"/>
        </w:rPr>
        <w:t>příprava Strategického rámce oběhového hospodářství v ČR Cirkulární Česko 2040</w:t>
      </w:r>
      <w:r w:rsidRPr="00D70D7B">
        <w:rPr>
          <w:color w:val="000000" w:themeColor="text1"/>
          <w:szCs w:val="22"/>
        </w:rPr>
        <w:t>. Cílem strategického rámce bude analyzovat stávající situaci, definovat priority ČR v oblasti oběhového hospodářství, formulovat jednotlivé cíle v rámci těchto priorit a určit, jakými opatřeními a nástroji jich ČR má dosáhnout. V říjnu 2019 byl zahájen projekt k přípravě strategie oběhového hospodářství ČR financovaný z</w:t>
      </w:r>
      <w:r w:rsidR="00BC11D7" w:rsidRPr="00D70D7B">
        <w:rPr>
          <w:color w:val="000000" w:themeColor="text1"/>
          <w:szCs w:val="22"/>
        </w:rPr>
        <w:t> unijního SRSP</w:t>
      </w:r>
      <w:r w:rsidR="003C6E56" w:rsidRPr="00D70D7B">
        <w:rPr>
          <w:color w:val="000000" w:themeColor="text1"/>
          <w:szCs w:val="22"/>
        </w:rPr>
        <w:t xml:space="preserve">, </w:t>
      </w:r>
      <w:r w:rsidRPr="00D70D7B">
        <w:rPr>
          <w:color w:val="000000" w:themeColor="text1"/>
          <w:szCs w:val="22"/>
        </w:rPr>
        <w:t>v rámci kterého je do přípravy strategického rámce zapojeno také OECD. Přijetí dokumentu se očekává na začátku roku 2021.</w:t>
      </w:r>
    </w:p>
    <w:p w14:paraId="2D76EF5C" w14:textId="77777777" w:rsidR="00637C9F" w:rsidRPr="00D70D7B" w:rsidRDefault="00637C9F" w:rsidP="00637C9F">
      <w:pPr>
        <w:spacing w:before="240"/>
        <w:rPr>
          <w:b/>
          <w:color w:val="000000" w:themeColor="text1"/>
          <w:szCs w:val="22"/>
        </w:rPr>
      </w:pPr>
      <w:r w:rsidRPr="00D70D7B">
        <w:rPr>
          <w:b/>
          <w:color w:val="000000" w:themeColor="text1"/>
          <w:szCs w:val="22"/>
        </w:rPr>
        <w:t>Ochrana ovzduší</w:t>
      </w:r>
    </w:p>
    <w:p w14:paraId="46C96853" w14:textId="51A5220A" w:rsidR="00637C9F" w:rsidRPr="00D70D7B" w:rsidRDefault="00637C9F" w:rsidP="00637C9F">
      <w:pPr>
        <w:spacing w:before="240"/>
        <w:rPr>
          <w:color w:val="000000" w:themeColor="text1"/>
          <w:szCs w:val="22"/>
        </w:rPr>
      </w:pPr>
      <w:r w:rsidRPr="00D70D7B">
        <w:rPr>
          <w:color w:val="000000" w:themeColor="text1"/>
          <w:szCs w:val="22"/>
        </w:rPr>
        <w:t>Strategický rámec pro řízení kvality ovzduší je v </w:t>
      </w:r>
      <w:r w:rsidR="008519B8" w:rsidRPr="00D70D7B">
        <w:rPr>
          <w:color w:val="000000" w:themeColor="text1"/>
          <w:szCs w:val="22"/>
        </w:rPr>
        <w:t>ČR</w:t>
      </w:r>
      <w:r w:rsidRPr="00D70D7B">
        <w:rPr>
          <w:color w:val="000000" w:themeColor="text1"/>
          <w:szCs w:val="22"/>
        </w:rPr>
        <w:t xml:space="preserve"> určen především Národním programem snižování emisí ČR a programy zlepšování kvality ovzduší zpracovanými pro jednotlivé zóny a aglomerace v ČR, kde dochází k překračování imisních limitů. Oba typy dokumentů jsou zakotveny v zákoně č. 201/2012 Sb. o ochraně ovzduší, ve znění pozdějších předpisů, v souladu s požadavky evropské legislativy. </w:t>
      </w:r>
    </w:p>
    <w:p w14:paraId="37B41211" w14:textId="29F65773" w:rsidR="00637C9F" w:rsidRPr="00D70D7B" w:rsidRDefault="00637C9F" w:rsidP="00637C9F">
      <w:pPr>
        <w:spacing w:before="240"/>
        <w:rPr>
          <w:color w:val="000000" w:themeColor="text1"/>
          <w:szCs w:val="22"/>
        </w:rPr>
      </w:pPr>
      <w:r w:rsidRPr="00D70D7B">
        <w:rPr>
          <w:color w:val="000000" w:themeColor="text1"/>
          <w:szCs w:val="22"/>
        </w:rPr>
        <w:t>Národní program snižování emisí ČR byl v roce 2019 aktualizován.</w:t>
      </w:r>
      <w:r w:rsidRPr="00D70D7B">
        <w:rPr>
          <w:rStyle w:val="Znakapoznpodarou"/>
          <w:color w:val="000000" w:themeColor="text1"/>
          <w:szCs w:val="22"/>
        </w:rPr>
        <w:footnoteReference w:id="4"/>
      </w:r>
      <w:r w:rsidRPr="00D70D7B">
        <w:rPr>
          <w:color w:val="000000" w:themeColor="text1"/>
          <w:szCs w:val="22"/>
        </w:rPr>
        <w:t xml:space="preserve"> Harmonogram plnění opatření Národního programu snižování emisí je stanoven až do roku 2030. Programy zlepšování kvality ovzduší, které byly vydány v polovině roku 2016, se momentálně aktualizují, předpoklad ukončení aktualizace je přibližně polovina roku 2020. V rámci aktualizace programů zlepšování kvality ovzduší byla dokončena analytická část (imisní analýza, emisní analýza a analýza znečištění ovzduší) a dále byl zhodnocen vývoj kvality ovzduší se stávajícími opatřeními. Momentálně se zpracovávají návrhové části obsahující opatření. </w:t>
      </w:r>
      <w:r w:rsidRPr="00D70D7B">
        <w:rPr>
          <w:rFonts w:eastAsia="Calibri"/>
          <w:iCs/>
          <w:color w:val="000000" w:themeColor="text1"/>
          <w:szCs w:val="22"/>
          <w:lang w:eastAsia="en-US"/>
        </w:rPr>
        <w:t>Nové programy zlepšování kvality ovzduší obsahově naváží na programy předchozí, přičemž se zohlední vývoj kvality ovzduší a očekávané efekty opatření k jej</w:t>
      </w:r>
      <w:r w:rsidR="003C6E56" w:rsidRPr="00D70D7B">
        <w:rPr>
          <w:rFonts w:eastAsia="Calibri"/>
          <w:iCs/>
          <w:color w:val="000000" w:themeColor="text1"/>
          <w:szCs w:val="22"/>
          <w:lang w:eastAsia="en-US"/>
        </w:rPr>
        <w:t>ímu zlepšení v </w:t>
      </w:r>
      <w:r w:rsidR="00C01546" w:rsidRPr="00D70D7B">
        <w:rPr>
          <w:rFonts w:eastAsia="Calibri"/>
          <w:iCs/>
          <w:color w:val="000000" w:themeColor="text1"/>
          <w:szCs w:val="22"/>
          <w:lang w:eastAsia="en-US"/>
        </w:rPr>
        <w:t>horizontu 2020+.</w:t>
      </w:r>
    </w:p>
    <w:p w14:paraId="1225EED2" w14:textId="6A85A1C7" w:rsidR="00637C9F" w:rsidRPr="00D70D7B" w:rsidRDefault="00637C9F" w:rsidP="00637C9F">
      <w:pPr>
        <w:spacing w:before="240"/>
        <w:rPr>
          <w:color w:val="000000" w:themeColor="text1"/>
          <w:szCs w:val="22"/>
        </w:rPr>
      </w:pPr>
      <w:r w:rsidRPr="00D70D7B">
        <w:rPr>
          <w:color w:val="000000" w:themeColor="text1"/>
          <w:szCs w:val="22"/>
        </w:rPr>
        <w:t>V rámci výměny zastaralých spalovacích zařízení na pevná paliva v domácnostech z</w:t>
      </w:r>
      <w:r w:rsidR="0075461A" w:rsidRPr="00D70D7B">
        <w:rPr>
          <w:color w:val="000000" w:themeColor="text1"/>
          <w:szCs w:val="22"/>
        </w:rPr>
        <w:t> </w:t>
      </w:r>
      <w:r w:rsidRPr="00D70D7B">
        <w:rPr>
          <w:color w:val="000000" w:themeColor="text1"/>
          <w:szCs w:val="22"/>
        </w:rPr>
        <w:t>OP</w:t>
      </w:r>
      <w:r w:rsidR="0075461A" w:rsidRPr="00D70D7B">
        <w:rPr>
          <w:color w:val="000000" w:themeColor="text1"/>
          <w:szCs w:val="22"/>
        </w:rPr>
        <w:t xml:space="preserve"> </w:t>
      </w:r>
      <w:r w:rsidR="003C6E56" w:rsidRPr="00D70D7B">
        <w:rPr>
          <w:color w:val="000000" w:themeColor="text1"/>
          <w:szCs w:val="22"/>
        </w:rPr>
        <w:t>ŽP (tzv. </w:t>
      </w:r>
      <w:r w:rsidRPr="00D70D7B">
        <w:rPr>
          <w:color w:val="000000" w:themeColor="text1"/>
          <w:szCs w:val="22"/>
        </w:rPr>
        <w:t xml:space="preserve">kotlíkové dotace), byly již vyhlášeny tři výzvy pro kraje, které následně přerozdělují finanční prostředky přímo jednotlivým domácnostem. Během prvních dvou výzev již byla podpořena výměna </w:t>
      </w:r>
      <w:r w:rsidRPr="00D70D7B">
        <w:rPr>
          <w:color w:val="000000" w:themeColor="text1"/>
          <w:szCs w:val="22"/>
        </w:rPr>
        <w:lastRenderedPageBreak/>
        <w:t>cca 60 tisíc zastaralých spalovacích zdrojů a v rámci třetí výzvy se počítá s dalšími 30 tisíci výměn. Celkem dojde k vyčerpání cca 10 miliard Kč a ke značné úspoře emisí.</w:t>
      </w:r>
    </w:p>
    <w:p w14:paraId="3E96FD45" w14:textId="77777777" w:rsidR="009E406B" w:rsidRPr="00D70D7B" w:rsidRDefault="009E406B" w:rsidP="009E406B">
      <w:pPr>
        <w:spacing w:before="240"/>
        <w:rPr>
          <w:b/>
          <w:color w:val="000000" w:themeColor="text1"/>
          <w:szCs w:val="22"/>
        </w:rPr>
      </w:pPr>
      <w:bookmarkStart w:id="6" w:name="_Toc34309618"/>
      <w:r w:rsidRPr="00D70D7B">
        <w:rPr>
          <w:b/>
          <w:color w:val="000000" w:themeColor="text1"/>
          <w:szCs w:val="22"/>
        </w:rPr>
        <w:t xml:space="preserve">Snižování rizika povodní a dopadů sucha </w:t>
      </w:r>
    </w:p>
    <w:p w14:paraId="417F10EA" w14:textId="77777777" w:rsidR="009E406B" w:rsidRPr="00D70D7B" w:rsidRDefault="009E406B" w:rsidP="009E406B">
      <w:pPr>
        <w:spacing w:before="240"/>
        <w:rPr>
          <w:color w:val="000000" w:themeColor="text1"/>
          <w:szCs w:val="22"/>
        </w:rPr>
      </w:pPr>
      <w:r w:rsidRPr="00D70D7B">
        <w:rPr>
          <w:color w:val="000000" w:themeColor="text1"/>
          <w:szCs w:val="22"/>
        </w:rPr>
        <w:t>Výzvu pro ČR představuje další snižování rizika povodní především v oblastech s významným povodňovým rizikem. ČR hodlá i nadále uplatňovat zásady a cíle ze schválených plánů pro zvládání povodňových rizik a podporovat realizaci obecných opatření nestavebního charakteru a také přírodě blízkých a technických protipovodňových opatření. Zároveň probíhá první plánovací cyklus dle povodňové směrnice 2007/60/ES pro období 2015 až 2021. V roce 2021 dojde ke schválení aktualizace plánů pro zvládání povodňových rizik pro období 2021 až 2027.</w:t>
      </w:r>
    </w:p>
    <w:p w14:paraId="42B8BA79" w14:textId="77777777" w:rsidR="009E406B" w:rsidRPr="00D70D7B" w:rsidRDefault="009E406B" w:rsidP="009E406B">
      <w:pPr>
        <w:spacing w:before="240"/>
        <w:rPr>
          <w:color w:val="000000" w:themeColor="text1"/>
          <w:szCs w:val="22"/>
        </w:rPr>
      </w:pPr>
      <w:r w:rsidRPr="00D70D7B">
        <w:rPr>
          <w:color w:val="000000" w:themeColor="text1"/>
          <w:szCs w:val="22"/>
        </w:rPr>
        <w:t>Co se týče problematiky sucha a jeho dopadů, nadále je pokračováno v implementaci doporučených opatření vycházejících z Koncepce ochrany před následky sucha pro území ČR. Stav realizovaných opatření je součástí každoroční Poziční zprávy o pokroku při plnění Koncepce ochrany před následky sucha pro území ČR.</w:t>
      </w:r>
      <w:r w:rsidRPr="00D70D7B">
        <w:rPr>
          <w:rStyle w:val="Znakapoznpodarou"/>
          <w:color w:val="000000" w:themeColor="text1"/>
          <w:szCs w:val="22"/>
        </w:rPr>
        <w:footnoteReference w:id="5"/>
      </w:r>
    </w:p>
    <w:p w14:paraId="2B483446" w14:textId="77777777" w:rsidR="00DB7A45" w:rsidRPr="00D70D7B" w:rsidRDefault="00DB7A45" w:rsidP="00DB7A45">
      <w:pPr>
        <w:pStyle w:val="Nadpis3"/>
        <w:rPr>
          <w:color w:val="000000" w:themeColor="text1"/>
          <w:sz w:val="22"/>
          <w:szCs w:val="22"/>
          <w:lang w:val="cs-CZ"/>
        </w:rPr>
      </w:pPr>
      <w:bookmarkStart w:id="7" w:name="_Toc34309619"/>
      <w:bookmarkStart w:id="8" w:name="_Toc34768165"/>
      <w:bookmarkStart w:id="9" w:name="_Toc444261894"/>
      <w:bookmarkEnd w:id="4"/>
      <w:bookmarkEnd w:id="5"/>
      <w:bookmarkEnd w:id="6"/>
      <w:r w:rsidRPr="00D70D7B">
        <w:rPr>
          <w:color w:val="000000" w:themeColor="text1"/>
          <w:sz w:val="22"/>
          <w:szCs w:val="22"/>
          <w:lang w:val="cs-CZ"/>
        </w:rPr>
        <w:t>3.4.3 Energetika a suroviny</w:t>
      </w:r>
      <w:bookmarkEnd w:id="7"/>
      <w:bookmarkEnd w:id="8"/>
    </w:p>
    <w:p w14:paraId="0C0A2E16" w14:textId="77777777" w:rsidR="008A7E8D" w:rsidRPr="00D70D7B" w:rsidRDefault="008A7E8D" w:rsidP="009A2FD5">
      <w:pPr>
        <w:pStyle w:val="Nzvyopatennadpis"/>
        <w:spacing w:after="120"/>
        <w:rPr>
          <w:color w:val="000000" w:themeColor="text1"/>
          <w:szCs w:val="22"/>
        </w:rPr>
      </w:pPr>
      <w:r w:rsidRPr="00D70D7B">
        <w:rPr>
          <w:color w:val="000000" w:themeColor="text1"/>
          <w:szCs w:val="22"/>
        </w:rPr>
        <w:t>Energetická účinnost</w:t>
      </w:r>
    </w:p>
    <w:p w14:paraId="07294A2F" w14:textId="77777777" w:rsidR="0088006A" w:rsidRPr="00D70D7B" w:rsidRDefault="0088006A" w:rsidP="0088006A">
      <w:pPr>
        <w:spacing w:before="240"/>
        <w:rPr>
          <w:color w:val="000000" w:themeColor="text1"/>
          <w:szCs w:val="22"/>
        </w:rPr>
      </w:pPr>
      <w:r w:rsidRPr="00D70D7B">
        <w:rPr>
          <w:color w:val="000000" w:themeColor="text1"/>
          <w:szCs w:val="22"/>
        </w:rPr>
        <w:t xml:space="preserve">V </w:t>
      </w:r>
      <w:r w:rsidRPr="00D70D7B">
        <w:rPr>
          <w:b/>
          <w:color w:val="000000" w:themeColor="text1"/>
          <w:szCs w:val="22"/>
        </w:rPr>
        <w:t xml:space="preserve">legislativní oblasti </w:t>
      </w:r>
      <w:r w:rsidRPr="00D70D7B">
        <w:rPr>
          <w:color w:val="000000" w:themeColor="text1"/>
          <w:szCs w:val="22"/>
        </w:rPr>
        <w:t>byla schválena novela zákona č. 406/2000 Sb., o hospodaření energií, ve znění pozdějších předpisů, která upravuje oblast povinnosti realizovat energetický audit, upravuje oblast energetických specialistů s cílem zvýšení jejich kvalifikace a zkvalitnění jimi poskytovaných služeb. V souladu s právem EU novela zákona adaptuje nařízení o energetickém štítkování výrobků.</w:t>
      </w:r>
    </w:p>
    <w:p w14:paraId="560F98FB" w14:textId="17A2AB03" w:rsidR="0088006A" w:rsidRPr="00D70D7B" w:rsidRDefault="0088006A" w:rsidP="0088006A">
      <w:pPr>
        <w:spacing w:before="240"/>
        <w:rPr>
          <w:color w:val="000000" w:themeColor="text1"/>
          <w:szCs w:val="22"/>
        </w:rPr>
      </w:pPr>
      <w:r w:rsidRPr="00D70D7B">
        <w:rPr>
          <w:color w:val="000000" w:themeColor="text1"/>
          <w:szCs w:val="22"/>
        </w:rPr>
        <w:t>V oblasti podpory realizace energeticky úsporných opatření z operač</w:t>
      </w:r>
      <w:r w:rsidR="002B21CA" w:rsidRPr="00D70D7B">
        <w:rPr>
          <w:color w:val="000000" w:themeColor="text1"/>
          <w:szCs w:val="22"/>
        </w:rPr>
        <w:t>ních programů (zejména OP PIK a </w:t>
      </w:r>
      <w:r w:rsidRPr="00D70D7B">
        <w:rPr>
          <w:color w:val="000000" w:themeColor="text1"/>
          <w:szCs w:val="22"/>
        </w:rPr>
        <w:t xml:space="preserve">IROP) došlo ke </w:t>
      </w:r>
      <w:r w:rsidRPr="00D70D7B">
        <w:rPr>
          <w:b/>
          <w:color w:val="000000" w:themeColor="text1"/>
          <w:szCs w:val="22"/>
        </w:rPr>
        <w:t>zvýšení objemu poskytnutých prostředků</w:t>
      </w:r>
      <w:r w:rsidRPr="00D70D7B">
        <w:rPr>
          <w:color w:val="000000" w:themeColor="text1"/>
          <w:szCs w:val="22"/>
        </w:rPr>
        <w:t xml:space="preserve">, resp. zvýšenému zájmu ve formě vyššího počtu žádostí v důsledku odstranění hlavních překážek pro čerpání. </w:t>
      </w:r>
    </w:p>
    <w:p w14:paraId="2F6CBFF5" w14:textId="77777777" w:rsidR="0088006A" w:rsidRPr="00D70D7B" w:rsidRDefault="0088006A" w:rsidP="0088006A">
      <w:pPr>
        <w:spacing w:before="240"/>
        <w:rPr>
          <w:color w:val="000000" w:themeColor="text1"/>
          <w:szCs w:val="22"/>
        </w:rPr>
      </w:pPr>
      <w:r w:rsidRPr="00D70D7B">
        <w:rPr>
          <w:color w:val="000000" w:themeColor="text1"/>
          <w:szCs w:val="22"/>
        </w:rPr>
        <w:t xml:space="preserve">S cílem aktivovat trh s poskytováním energetických služeb zapojením třetích stran do zvyšování energetické účinnosti národního hospodářství bylo ve spolupráci s externími subjekty dohodnuto znění </w:t>
      </w:r>
      <w:r w:rsidRPr="00D70D7B">
        <w:rPr>
          <w:b/>
          <w:color w:val="000000" w:themeColor="text1"/>
          <w:szCs w:val="22"/>
        </w:rPr>
        <w:t>dobrovolné dohody</w:t>
      </w:r>
      <w:r w:rsidRPr="00D70D7B">
        <w:rPr>
          <w:color w:val="000000" w:themeColor="text1"/>
          <w:szCs w:val="22"/>
        </w:rPr>
        <w:t xml:space="preserve">. V roce 2020 se očekává podpis prvních dobrovolných dohod. </w:t>
      </w:r>
    </w:p>
    <w:p w14:paraId="7A0CED9F" w14:textId="77777777" w:rsidR="0088006A" w:rsidRPr="00D70D7B" w:rsidRDefault="0088006A" w:rsidP="0088006A">
      <w:pPr>
        <w:spacing w:before="240"/>
        <w:rPr>
          <w:color w:val="000000" w:themeColor="text1"/>
          <w:szCs w:val="22"/>
        </w:rPr>
      </w:pPr>
      <w:r w:rsidRPr="00D70D7B">
        <w:rPr>
          <w:color w:val="000000" w:themeColor="text1"/>
          <w:szCs w:val="22"/>
        </w:rPr>
        <w:t xml:space="preserve">V </w:t>
      </w:r>
      <w:r w:rsidRPr="00D70D7B">
        <w:rPr>
          <w:b/>
          <w:color w:val="000000" w:themeColor="text1"/>
          <w:szCs w:val="22"/>
        </w:rPr>
        <w:t>oblasti budov</w:t>
      </w:r>
      <w:r w:rsidRPr="00D70D7B">
        <w:rPr>
          <w:color w:val="000000" w:themeColor="text1"/>
          <w:szCs w:val="22"/>
        </w:rPr>
        <w:t xml:space="preserve"> se v ČR míra renovací, tj. kolik procent fondu budov je ročně renovováno, pohybuje dle aktuálního zjištění na úrovni 1,4 %, což je horní hranice intervalu průměru EU</w:t>
      </w:r>
      <w:r w:rsidRPr="00D70D7B">
        <w:rPr>
          <w:rStyle w:val="Znakapoznpodarou"/>
          <w:color w:val="000000" w:themeColor="text1"/>
          <w:szCs w:val="22"/>
        </w:rPr>
        <w:footnoteReference w:id="6"/>
      </w:r>
      <w:r w:rsidRPr="00D70D7B">
        <w:rPr>
          <w:color w:val="000000" w:themeColor="text1"/>
          <w:szCs w:val="22"/>
        </w:rPr>
        <w:t xml:space="preserve">. V roce 2020 budou dokončeny práce na </w:t>
      </w:r>
      <w:r w:rsidRPr="00D70D7B">
        <w:rPr>
          <w:b/>
          <w:color w:val="000000" w:themeColor="text1"/>
          <w:szCs w:val="22"/>
        </w:rPr>
        <w:t>Dlouhodobé strategii renovace budov</w:t>
      </w:r>
      <w:r w:rsidRPr="00D70D7B">
        <w:rPr>
          <w:color w:val="000000" w:themeColor="text1"/>
          <w:szCs w:val="22"/>
        </w:rPr>
        <w:t xml:space="preserve">, která je zpracovávána dle požadavku směrnice 2018/844, kterou se mění směrnice 2010/31/EU o energetické náročnosti budov. </w:t>
      </w:r>
    </w:p>
    <w:p w14:paraId="5D04E1E0" w14:textId="217E5B14" w:rsidR="0088006A" w:rsidRPr="00D70D7B" w:rsidRDefault="0088006A" w:rsidP="0088006A">
      <w:pPr>
        <w:spacing w:before="240"/>
        <w:rPr>
          <w:color w:val="000000" w:themeColor="text1"/>
          <w:szCs w:val="22"/>
        </w:rPr>
      </w:pPr>
      <w:r w:rsidRPr="00D70D7B">
        <w:rPr>
          <w:color w:val="000000" w:themeColor="text1"/>
          <w:szCs w:val="22"/>
        </w:rPr>
        <w:t xml:space="preserve">Pokračuje realizace </w:t>
      </w:r>
      <w:r w:rsidRPr="00D70D7B">
        <w:rPr>
          <w:b/>
          <w:color w:val="000000" w:themeColor="text1"/>
          <w:szCs w:val="22"/>
        </w:rPr>
        <w:t>programu ENERG</w:t>
      </w:r>
      <w:r w:rsidRPr="00D70D7B">
        <w:rPr>
          <w:color w:val="000000" w:themeColor="text1"/>
          <w:szCs w:val="22"/>
        </w:rPr>
        <w:t>, v jehož rámci jso</w:t>
      </w:r>
      <w:r w:rsidR="002B21CA" w:rsidRPr="00D70D7B">
        <w:rPr>
          <w:color w:val="000000" w:themeColor="text1"/>
          <w:szCs w:val="22"/>
        </w:rPr>
        <w:t>u poskytovány bezúročné úvěry k </w:t>
      </w:r>
      <w:r w:rsidRPr="00D70D7B">
        <w:rPr>
          <w:color w:val="000000" w:themeColor="text1"/>
          <w:szCs w:val="22"/>
        </w:rPr>
        <w:t xml:space="preserve">financování projektů energetických úspor pro podniky působící na území Prahy. Dne 1. </w:t>
      </w:r>
      <w:r w:rsidR="002B21CA" w:rsidRPr="00D70D7B">
        <w:rPr>
          <w:color w:val="000000" w:themeColor="text1"/>
          <w:szCs w:val="22"/>
        </w:rPr>
        <w:t>1.</w:t>
      </w:r>
      <w:r w:rsidRPr="00D70D7B">
        <w:rPr>
          <w:color w:val="000000" w:themeColor="text1"/>
          <w:szCs w:val="22"/>
        </w:rPr>
        <w:t xml:space="preserve"> 2020 </w:t>
      </w:r>
      <w:r w:rsidRPr="00D70D7B">
        <w:rPr>
          <w:b/>
          <w:color w:val="000000" w:themeColor="text1"/>
          <w:szCs w:val="22"/>
        </w:rPr>
        <w:t>byla vyhlášena 3. výzva k podávání žádostí o podporu</w:t>
      </w:r>
      <w:r w:rsidRPr="00D70D7B">
        <w:rPr>
          <w:color w:val="000000" w:themeColor="text1"/>
          <w:szCs w:val="22"/>
        </w:rPr>
        <w:t xml:space="preserve">. Na podporu investičních opatření a opatření neinvestičního charakteru se dlouhodobě zaměřuje </w:t>
      </w:r>
      <w:r w:rsidRPr="00D70D7B">
        <w:rPr>
          <w:b/>
          <w:color w:val="000000" w:themeColor="text1"/>
          <w:szCs w:val="22"/>
        </w:rPr>
        <w:t>program EFEKT</w:t>
      </w:r>
      <w:r w:rsidRPr="00D70D7B">
        <w:rPr>
          <w:color w:val="000000" w:themeColor="text1"/>
          <w:szCs w:val="22"/>
        </w:rPr>
        <w:t xml:space="preserve">. V průběhu roku 2020 budou probíhat </w:t>
      </w:r>
      <w:r w:rsidRPr="00D70D7B">
        <w:rPr>
          <w:b/>
          <w:color w:val="000000" w:themeColor="text1"/>
          <w:szCs w:val="22"/>
        </w:rPr>
        <w:t>přípravy na spuštění Státního programu na podporu úspor energie na období 2022 - 2026</w:t>
      </w:r>
      <w:r w:rsidRPr="00D70D7B">
        <w:rPr>
          <w:color w:val="000000" w:themeColor="text1"/>
          <w:szCs w:val="22"/>
        </w:rPr>
        <w:t xml:space="preserve">, tzv. program EFEKT III. Snižování energetické náročnosti je rovněž součástí komplexní </w:t>
      </w:r>
      <w:r w:rsidRPr="00D70D7B">
        <w:rPr>
          <w:b/>
          <w:color w:val="000000" w:themeColor="text1"/>
          <w:szCs w:val="22"/>
        </w:rPr>
        <w:t>renovace bytových domů</w:t>
      </w:r>
      <w:r w:rsidRPr="00D70D7B">
        <w:rPr>
          <w:color w:val="000000" w:themeColor="text1"/>
          <w:szCs w:val="22"/>
        </w:rPr>
        <w:t xml:space="preserve"> v rámci národního programu Panel 2013+. </w:t>
      </w:r>
    </w:p>
    <w:p w14:paraId="1F5A249F" w14:textId="41ACE52A" w:rsidR="0088006A" w:rsidRPr="00D70D7B" w:rsidRDefault="0088006A" w:rsidP="0088006A">
      <w:pPr>
        <w:pBdr>
          <w:top w:val="nil"/>
          <w:left w:val="nil"/>
          <w:bottom w:val="nil"/>
          <w:right w:val="nil"/>
          <w:between w:val="nil"/>
        </w:pBdr>
        <w:ind w:hanging="2"/>
        <w:rPr>
          <w:color w:val="000000" w:themeColor="text1"/>
          <w:szCs w:val="22"/>
        </w:rPr>
      </w:pPr>
      <w:r w:rsidRPr="00D70D7B">
        <w:rPr>
          <w:color w:val="000000" w:themeColor="text1"/>
          <w:szCs w:val="22"/>
        </w:rPr>
        <w:lastRenderedPageBreak/>
        <w:t xml:space="preserve">Nástrojem podpory VaVaI v oblasti energetiky je </w:t>
      </w:r>
      <w:r w:rsidRPr="00D70D7B">
        <w:rPr>
          <w:b/>
          <w:color w:val="000000" w:themeColor="text1"/>
          <w:szCs w:val="22"/>
        </w:rPr>
        <w:t>program THÉTA</w:t>
      </w:r>
      <w:r w:rsidRPr="00D70D7B">
        <w:rPr>
          <w:color w:val="000000" w:themeColor="text1"/>
          <w:szCs w:val="22"/>
        </w:rPr>
        <w:t xml:space="preserve"> poskytovaný TA ČR, jehož cílem je přispět ve střednědobém a dlouhodobém horizontu k naplnění vize transformace a modernizace energetického sektoru prostřednictvím podpory projektů zaměřující</w:t>
      </w:r>
      <w:r w:rsidR="002B21CA" w:rsidRPr="00D70D7B">
        <w:rPr>
          <w:color w:val="000000" w:themeColor="text1"/>
          <w:szCs w:val="22"/>
        </w:rPr>
        <w:t>ch</w:t>
      </w:r>
      <w:r w:rsidRPr="00D70D7B">
        <w:rPr>
          <w:color w:val="000000" w:themeColor="text1"/>
          <w:szCs w:val="22"/>
        </w:rPr>
        <w:t xml:space="preserve"> se na mo</w:t>
      </w:r>
      <w:r w:rsidR="002B21CA" w:rsidRPr="00D70D7B">
        <w:rPr>
          <w:color w:val="000000" w:themeColor="text1"/>
          <w:szCs w:val="22"/>
        </w:rPr>
        <w:t>dernizaci energetického sektoru</w:t>
      </w:r>
      <w:r w:rsidRPr="00D70D7B">
        <w:rPr>
          <w:color w:val="000000" w:themeColor="text1"/>
          <w:szCs w:val="22"/>
        </w:rPr>
        <w:t xml:space="preserve"> včetně výzkumu ve veřejném zájmu a energetických strategií. Program je realizován v letech 2018 - 2025, celkové výdaje státního rozpočtu činí 4 mld. Kč. V říjnu 2020 se předpokládá vyhlášení čtvrté veřejné soutěže tohoto programu.  </w:t>
      </w:r>
    </w:p>
    <w:p w14:paraId="603B9DDC" w14:textId="5B171A73" w:rsidR="0088006A" w:rsidRPr="00D70D7B" w:rsidRDefault="0088006A" w:rsidP="0088006A">
      <w:pPr>
        <w:spacing w:before="240"/>
        <w:rPr>
          <w:color w:val="000000" w:themeColor="text1"/>
          <w:szCs w:val="22"/>
        </w:rPr>
      </w:pPr>
      <w:r w:rsidRPr="00D70D7B">
        <w:rPr>
          <w:b/>
          <w:color w:val="000000" w:themeColor="text1"/>
          <w:szCs w:val="22"/>
        </w:rPr>
        <w:t>Opatření zaměřená na energetickou účinnost</w:t>
      </w:r>
      <w:r w:rsidRPr="00D70D7B">
        <w:rPr>
          <w:color w:val="000000" w:themeColor="text1"/>
          <w:szCs w:val="22"/>
        </w:rPr>
        <w:t xml:space="preserve"> jsou v OP ŽP 2014 </w:t>
      </w:r>
      <w:r w:rsidR="00D30FEB" w:rsidRPr="00D70D7B">
        <w:rPr>
          <w:color w:val="000000" w:themeColor="text1"/>
          <w:szCs w:val="22"/>
        </w:rPr>
        <w:t>-</w:t>
      </w:r>
      <w:r w:rsidRPr="00D70D7B">
        <w:rPr>
          <w:color w:val="000000" w:themeColor="text1"/>
          <w:szCs w:val="22"/>
        </w:rPr>
        <w:t xml:space="preserve"> 2020 podporována z prioritní osy 5 -</w:t>
      </w:r>
      <w:r w:rsidR="00D30FEB" w:rsidRPr="00D70D7B">
        <w:rPr>
          <w:color w:val="000000" w:themeColor="text1"/>
          <w:szCs w:val="22"/>
        </w:rPr>
        <w:t xml:space="preserve"> </w:t>
      </w:r>
      <w:r w:rsidRPr="00D70D7B">
        <w:rPr>
          <w:color w:val="000000" w:themeColor="text1"/>
          <w:szCs w:val="22"/>
        </w:rPr>
        <w:t xml:space="preserve">Energetické úspory. K 28. </w:t>
      </w:r>
      <w:r w:rsidR="00D30FEB" w:rsidRPr="00D70D7B">
        <w:rPr>
          <w:color w:val="000000" w:themeColor="text1"/>
          <w:szCs w:val="22"/>
        </w:rPr>
        <w:t>1.</w:t>
      </w:r>
      <w:r w:rsidRPr="00D70D7B">
        <w:rPr>
          <w:color w:val="000000" w:themeColor="text1"/>
          <w:szCs w:val="22"/>
        </w:rPr>
        <w:t xml:space="preserve"> 2020 bylo v rámci plnění SC 5.1 Snížit energetickou náročnost veřejných budov a zvýšit využití </w:t>
      </w:r>
      <w:r w:rsidR="00D30FEB" w:rsidRPr="00D70D7B">
        <w:rPr>
          <w:color w:val="000000" w:themeColor="text1"/>
          <w:szCs w:val="22"/>
        </w:rPr>
        <w:t>obnovitelných zdrojů energie (</w:t>
      </w:r>
      <w:r w:rsidRPr="00D70D7B">
        <w:rPr>
          <w:color w:val="000000" w:themeColor="text1"/>
          <w:szCs w:val="22"/>
        </w:rPr>
        <w:t>OZE</w:t>
      </w:r>
      <w:r w:rsidR="00D30FEB" w:rsidRPr="00D70D7B">
        <w:rPr>
          <w:color w:val="000000" w:themeColor="text1"/>
          <w:szCs w:val="22"/>
        </w:rPr>
        <w:t>)</w:t>
      </w:r>
      <w:r w:rsidRPr="00D70D7B">
        <w:rPr>
          <w:color w:val="000000" w:themeColor="text1"/>
          <w:szCs w:val="22"/>
        </w:rPr>
        <w:t xml:space="preserve"> schváleno 1843 projektů za cca 6,8 mld. Kč prostředků EU. V případě SC 5.2 Dosáhnout vysokého energetického standardu nových veřejných budov bylo dosud schváleno k realizaci 22 žádostí s požadavkem na podporu 584 mil. Kč z prostředků EU. Vzhledem k překročení alokace na tuto oblast podpory byla následně otevřena možnost podpory pasivních novostaveb v rámci SC 5.1. V rámci výzvy pro nový SC 5.3 zaměřený na budovy ústředních vládních institucí bylo k 3. 2. 2020 podáno celkem 32 projektů s požadavkem na prostředky EU ve výši 441 mil. Kč. V březnu 2020 je plánováno vyhlášení poslední výzvy pro SC 5.1.</w:t>
      </w:r>
    </w:p>
    <w:p w14:paraId="6A23E04E" w14:textId="77777777" w:rsidR="0088006A" w:rsidRPr="00D70D7B" w:rsidRDefault="0088006A" w:rsidP="0088006A">
      <w:pPr>
        <w:pStyle w:val="Nzvyopatennadpis"/>
        <w:spacing w:after="120"/>
        <w:rPr>
          <w:color w:val="000000" w:themeColor="text1"/>
          <w:szCs w:val="22"/>
        </w:rPr>
      </w:pPr>
      <w:r w:rsidRPr="00D70D7B">
        <w:rPr>
          <w:color w:val="000000" w:themeColor="text1"/>
          <w:szCs w:val="22"/>
        </w:rPr>
        <w:t xml:space="preserve">Obnovitelné zdroje energie </w:t>
      </w:r>
    </w:p>
    <w:p w14:paraId="7D60F2F0" w14:textId="205E8C57" w:rsidR="0088006A" w:rsidRPr="00D70D7B" w:rsidRDefault="0088006A" w:rsidP="0088006A">
      <w:pPr>
        <w:spacing w:before="240"/>
        <w:rPr>
          <w:color w:val="000000" w:themeColor="text1"/>
          <w:szCs w:val="22"/>
        </w:rPr>
      </w:pPr>
      <w:r w:rsidRPr="00D70D7B">
        <w:rPr>
          <w:color w:val="000000" w:themeColor="text1"/>
          <w:szCs w:val="22"/>
        </w:rPr>
        <w:t xml:space="preserve">ČR pokračuje v implementaci Státní energetické koncepce z května 2015, která podporuje plnění cílů v oblasti </w:t>
      </w:r>
      <w:r w:rsidR="00D30FEB" w:rsidRPr="00D70D7B">
        <w:rPr>
          <w:color w:val="000000" w:themeColor="text1"/>
          <w:szCs w:val="22"/>
        </w:rPr>
        <w:t>OZE</w:t>
      </w:r>
      <w:r w:rsidRPr="00D70D7B">
        <w:rPr>
          <w:color w:val="000000" w:themeColor="text1"/>
          <w:szCs w:val="22"/>
        </w:rPr>
        <w:t xml:space="preserve"> a energetické účinnosti, jejímž cílem je dosažení jejich podílu na výrobě elektřiny na úrovni nejméně 18 %. </w:t>
      </w:r>
    </w:p>
    <w:p w14:paraId="0B54E2E4" w14:textId="77777777" w:rsidR="0088006A" w:rsidRPr="00D70D7B" w:rsidRDefault="0088006A" w:rsidP="0088006A">
      <w:pPr>
        <w:spacing w:before="240"/>
        <w:rPr>
          <w:color w:val="000000" w:themeColor="text1"/>
          <w:szCs w:val="22"/>
        </w:rPr>
      </w:pPr>
      <w:r w:rsidRPr="00D70D7B">
        <w:rPr>
          <w:color w:val="000000" w:themeColor="text1"/>
          <w:szCs w:val="22"/>
        </w:rPr>
        <w:t xml:space="preserve">Dlouhodobě stabilní a udržitelné podmínky podpory výroby energie z OZE jsou nastaveny prostřednictvím Národního akčního plánu ČR pro energii z OZE (NAP), jehož aktualizace byla schválena v lednu 2016. Ten předpokládá v roce 2020 dosažení 15,3% podílu energie z obnovitelných zdrojů na hrubé konečné spotřebě energie a 10% podílu energie z obnovitelných zdrojů na hrubé konečné spotřebě v dopravě. </w:t>
      </w:r>
    </w:p>
    <w:p w14:paraId="5291087D" w14:textId="5D08E141" w:rsidR="0088006A" w:rsidRPr="00D70D7B" w:rsidRDefault="0088006A" w:rsidP="0088006A">
      <w:pPr>
        <w:spacing w:before="240"/>
        <w:rPr>
          <w:color w:val="000000" w:themeColor="text1"/>
          <w:szCs w:val="22"/>
        </w:rPr>
      </w:pPr>
      <w:r w:rsidRPr="00D70D7B">
        <w:rPr>
          <w:color w:val="000000" w:themeColor="text1"/>
          <w:szCs w:val="22"/>
        </w:rPr>
        <w:t>Další vývoj v oblasti OZE bude uveden ve Vnitrostátním plánu v oblasti energetiky a klimatu</w:t>
      </w:r>
      <w:r w:rsidR="00D30FEB" w:rsidRPr="00D70D7B">
        <w:rPr>
          <w:color w:val="000000" w:themeColor="text1"/>
          <w:szCs w:val="22"/>
        </w:rPr>
        <w:t xml:space="preserve"> (tzv. </w:t>
      </w:r>
      <w:r w:rsidRPr="00D70D7B">
        <w:rPr>
          <w:color w:val="000000" w:themeColor="text1"/>
          <w:szCs w:val="22"/>
        </w:rPr>
        <w:t>národním klimaticko-energetickém plánu), zpracovaném podle n</w:t>
      </w:r>
      <w:r w:rsidR="00E77EA3" w:rsidRPr="00D70D7B">
        <w:rPr>
          <w:color w:val="000000" w:themeColor="text1"/>
          <w:szCs w:val="22"/>
        </w:rPr>
        <w:t>ařízení Evropského parlamentu a R</w:t>
      </w:r>
      <w:r w:rsidRPr="00D70D7B">
        <w:rPr>
          <w:color w:val="000000" w:themeColor="text1"/>
          <w:szCs w:val="22"/>
        </w:rPr>
        <w:t>ady o správě Energetické unie přijatého v rámci zimního energeti</w:t>
      </w:r>
      <w:r w:rsidR="00E77EA3" w:rsidRPr="00D70D7B">
        <w:rPr>
          <w:color w:val="000000" w:themeColor="text1"/>
          <w:szCs w:val="22"/>
        </w:rPr>
        <w:t>ckého balíčku. Dokument byl 13. 1.</w:t>
      </w:r>
      <w:r w:rsidRPr="00D70D7B">
        <w:rPr>
          <w:color w:val="000000" w:themeColor="text1"/>
          <w:szCs w:val="22"/>
        </w:rPr>
        <w:t xml:space="preserve"> 2020 schválen vládou a následně zaslán E</w:t>
      </w:r>
      <w:r w:rsidR="00F7299D" w:rsidRPr="00D70D7B">
        <w:rPr>
          <w:color w:val="000000" w:themeColor="text1"/>
          <w:szCs w:val="22"/>
        </w:rPr>
        <w:t>K</w:t>
      </w:r>
      <w:r w:rsidRPr="00D70D7B">
        <w:rPr>
          <w:color w:val="000000" w:themeColor="text1"/>
          <w:szCs w:val="22"/>
        </w:rPr>
        <w:t>. Plán obsahuje cíle a politiky ve všech pěti rozměrech Energetické unie na období 2021</w:t>
      </w:r>
      <w:r w:rsidR="00E77EA3" w:rsidRPr="00D70D7B">
        <w:rPr>
          <w:color w:val="000000" w:themeColor="text1"/>
          <w:szCs w:val="22"/>
        </w:rPr>
        <w:t xml:space="preserve"> </w:t>
      </w:r>
      <w:r w:rsidRPr="00D70D7B">
        <w:rPr>
          <w:color w:val="000000" w:themeColor="text1"/>
          <w:szCs w:val="22"/>
        </w:rPr>
        <w:t>-</w:t>
      </w:r>
      <w:r w:rsidR="00E77EA3" w:rsidRPr="00D70D7B">
        <w:rPr>
          <w:color w:val="000000" w:themeColor="text1"/>
          <w:szCs w:val="22"/>
        </w:rPr>
        <w:t xml:space="preserve"> </w:t>
      </w:r>
      <w:r w:rsidRPr="00D70D7B">
        <w:rPr>
          <w:color w:val="000000" w:themeColor="text1"/>
          <w:szCs w:val="22"/>
        </w:rPr>
        <w:t>2030 s výhledem do roku 2050. Stěžejní část vnitrostátního plánu tvoří nastavení příspěvku ČR k tzv. klimaticko-energetickým cílům EU v oblasti snižování emisí, zvyšování podílu obnovitelných zdrojů energie a zvyšování energetické účinnosti. Vnitrostátní plán vychází ze dvou hlavních strategických dokumentů, Státní energetické koncepce ČR, schválené v roce 2015, a Politiky ochrany klimatu v ČR, schválené v roce 2017. Struktura a náležitosti vnitrostátního plánu respektují výše zmíněné nařízení.</w:t>
      </w:r>
    </w:p>
    <w:p w14:paraId="20FF7E13" w14:textId="46B2EDBA" w:rsidR="0088006A" w:rsidRPr="00D70D7B" w:rsidRDefault="0088006A" w:rsidP="0088006A">
      <w:pPr>
        <w:spacing w:before="240"/>
        <w:rPr>
          <w:color w:val="000000" w:themeColor="text1"/>
          <w:szCs w:val="22"/>
        </w:rPr>
      </w:pPr>
      <w:r w:rsidRPr="00D70D7B">
        <w:rPr>
          <w:color w:val="000000" w:themeColor="text1"/>
          <w:szCs w:val="22"/>
        </w:rPr>
        <w:t xml:space="preserve">V oblasti OZE byl odsouhlasen celoevropský cíl podílu obnovitelných zdrojů na hrubé konečné spotřebě energie do roku 2030 na úrovni 32 %. Přepracované znění směrnice 2018/2001 o podpoře využívání energie z obnovitelných zdrojů dále obsahuje požadavky na podcíle </w:t>
      </w:r>
      <w:r w:rsidR="00E77EA3" w:rsidRPr="00D70D7B">
        <w:rPr>
          <w:color w:val="000000" w:themeColor="text1"/>
          <w:szCs w:val="22"/>
        </w:rPr>
        <w:t>v sektoru vytápění a chlazení a </w:t>
      </w:r>
      <w:r w:rsidRPr="00D70D7B">
        <w:rPr>
          <w:color w:val="000000" w:themeColor="text1"/>
          <w:szCs w:val="22"/>
        </w:rPr>
        <w:t xml:space="preserve">sektoru dopravy. ČR navrhuje příspěvek k evropskému cíli do roku 2030 na úrovni 22 %, což je nárůst o 9 </w:t>
      </w:r>
      <w:proofErr w:type="spellStart"/>
      <w:proofErr w:type="gramStart"/>
      <w:r w:rsidR="00E77EA3" w:rsidRPr="00D70D7B">
        <w:rPr>
          <w:color w:val="000000" w:themeColor="text1"/>
          <w:szCs w:val="22"/>
        </w:rPr>
        <w:t>p.b</w:t>
      </w:r>
      <w:proofErr w:type="spellEnd"/>
      <w:r w:rsidR="00E77EA3" w:rsidRPr="00D70D7B">
        <w:rPr>
          <w:color w:val="000000" w:themeColor="text1"/>
          <w:szCs w:val="22"/>
        </w:rPr>
        <w:t>.</w:t>
      </w:r>
      <w:r w:rsidRPr="00D70D7B">
        <w:rPr>
          <w:color w:val="000000" w:themeColor="text1"/>
          <w:szCs w:val="22"/>
        </w:rPr>
        <w:t xml:space="preserve"> v porovnání</w:t>
      </w:r>
      <w:proofErr w:type="gramEnd"/>
      <w:r w:rsidRPr="00D70D7B">
        <w:rPr>
          <w:color w:val="000000" w:themeColor="text1"/>
          <w:szCs w:val="22"/>
        </w:rPr>
        <w:t xml:space="preserve"> s vnitrostátním cílem ČR na úrovni 13 % pro rok 2020, v sektoru vytápění a chlazení pak navrhuje meziroční růst o 1 %. V oblasti dopravy je cíl stanoven závazně pro všechny členské státy na úrovni 14 %.</w:t>
      </w:r>
    </w:p>
    <w:p w14:paraId="04947081" w14:textId="77777777" w:rsidR="0088006A" w:rsidRPr="00D70D7B" w:rsidRDefault="0088006A" w:rsidP="0088006A">
      <w:pPr>
        <w:rPr>
          <w:b/>
          <w:color w:val="000000" w:themeColor="text1"/>
          <w:szCs w:val="22"/>
        </w:rPr>
      </w:pPr>
      <w:r w:rsidRPr="00D70D7B">
        <w:rPr>
          <w:b/>
          <w:color w:val="000000" w:themeColor="text1"/>
          <w:szCs w:val="22"/>
        </w:rPr>
        <w:t>Uhelná komise</w:t>
      </w:r>
    </w:p>
    <w:p w14:paraId="4DACB0EC" w14:textId="362C7FB4" w:rsidR="0088006A" w:rsidRPr="00D70D7B" w:rsidRDefault="0088006A" w:rsidP="0088006A">
      <w:pPr>
        <w:rPr>
          <w:color w:val="000000" w:themeColor="text1"/>
          <w:szCs w:val="22"/>
        </w:rPr>
      </w:pPr>
      <w:r w:rsidRPr="00D70D7B">
        <w:rPr>
          <w:color w:val="000000" w:themeColor="text1"/>
          <w:szCs w:val="22"/>
        </w:rPr>
        <w:lastRenderedPageBreak/>
        <w:t xml:space="preserve">Usnesením vlády č. 565 ze dne 30. </w:t>
      </w:r>
      <w:r w:rsidR="00F16AD7" w:rsidRPr="00D70D7B">
        <w:rPr>
          <w:color w:val="000000" w:themeColor="text1"/>
          <w:szCs w:val="22"/>
        </w:rPr>
        <w:t>7.</w:t>
      </w:r>
      <w:r w:rsidRPr="00D70D7B">
        <w:rPr>
          <w:color w:val="000000" w:themeColor="text1"/>
          <w:szCs w:val="22"/>
        </w:rPr>
        <w:t xml:space="preserve"> 2019 byla zřízená tzv.</w:t>
      </w:r>
      <w:r w:rsidRPr="00D70D7B">
        <w:rPr>
          <w:b/>
          <w:color w:val="000000" w:themeColor="text1"/>
          <w:szCs w:val="22"/>
        </w:rPr>
        <w:t xml:space="preserve"> uhelná komise</w:t>
      </w:r>
      <w:r w:rsidRPr="00D70D7B">
        <w:rPr>
          <w:color w:val="000000" w:themeColor="text1"/>
          <w:szCs w:val="22"/>
        </w:rPr>
        <w:t xml:space="preserve">. Této komisi předsedá ministr průmyslu a obchodu společně s ministrem životního prostředí. Komise je složena z celkem 19 členů. Zastoupeny jsou klíčové </w:t>
      </w:r>
      <w:r w:rsidR="008519B8" w:rsidRPr="00D70D7B">
        <w:rPr>
          <w:color w:val="000000" w:themeColor="text1"/>
          <w:szCs w:val="22"/>
        </w:rPr>
        <w:t>rezort</w:t>
      </w:r>
      <w:r w:rsidRPr="00D70D7B">
        <w:rPr>
          <w:color w:val="000000" w:themeColor="text1"/>
          <w:szCs w:val="22"/>
        </w:rPr>
        <w:t xml:space="preserve">y a úřady, odborové a průmyslové/hospodářské svazy, neziskové organizace, kraje, </w:t>
      </w:r>
      <w:r w:rsidR="00A443FD" w:rsidRPr="00D70D7B">
        <w:rPr>
          <w:color w:val="000000" w:themeColor="text1"/>
          <w:szCs w:val="22"/>
        </w:rPr>
        <w:t>PSP</w:t>
      </w:r>
      <w:r w:rsidRPr="00D70D7B">
        <w:rPr>
          <w:color w:val="000000" w:themeColor="text1"/>
          <w:szCs w:val="22"/>
        </w:rPr>
        <w:t xml:space="preserve"> a akademická sféra. Působnost uhelné komise je vymezena následujícími výstupy: i) zhodnocení budoucích potřeb hnědého uhlí se zaměřením na posouzení jednotlivých velkých spalovacích </w:t>
      </w:r>
      <w:r w:rsidR="00F16AD7" w:rsidRPr="00D70D7B">
        <w:rPr>
          <w:color w:val="000000" w:themeColor="text1"/>
          <w:szCs w:val="22"/>
        </w:rPr>
        <w:t>zdrojů ve formě ucelené analýzy a</w:t>
      </w:r>
      <w:r w:rsidRPr="00D70D7B">
        <w:rPr>
          <w:color w:val="000000" w:themeColor="text1"/>
          <w:szCs w:val="22"/>
        </w:rPr>
        <w:t xml:space="preserve"> </w:t>
      </w:r>
      <w:proofErr w:type="spellStart"/>
      <w:r w:rsidRPr="00D70D7B">
        <w:rPr>
          <w:color w:val="000000" w:themeColor="text1"/>
          <w:szCs w:val="22"/>
        </w:rPr>
        <w:t>ii</w:t>
      </w:r>
      <w:proofErr w:type="spellEnd"/>
      <w:r w:rsidRPr="00D70D7B">
        <w:rPr>
          <w:color w:val="000000" w:themeColor="text1"/>
          <w:szCs w:val="22"/>
        </w:rPr>
        <w:t>) analýza možností budoucího odklonu od využití uhlí ve spalovacích zdrojích. Uhelná komise v návaznosti na zadané úkoly ustavila tři pracovní skupiny, jež se zabývají těmito tématy: i) stanovení</w:t>
      </w:r>
      <w:r w:rsidR="00F16AD7" w:rsidRPr="00D70D7B">
        <w:rPr>
          <w:color w:val="000000" w:themeColor="text1"/>
          <w:szCs w:val="22"/>
        </w:rPr>
        <w:t>m</w:t>
      </w:r>
      <w:r w:rsidRPr="00D70D7B">
        <w:rPr>
          <w:color w:val="000000" w:themeColor="text1"/>
          <w:szCs w:val="22"/>
        </w:rPr>
        <w:t xml:space="preserve"> harmonogramu útlumu využití uhlí, a to v celkovém kontextu energetického mixu ČR a ochrany klimatu; </w:t>
      </w:r>
      <w:proofErr w:type="spellStart"/>
      <w:r w:rsidRPr="00D70D7B">
        <w:rPr>
          <w:color w:val="000000" w:themeColor="text1"/>
          <w:szCs w:val="22"/>
        </w:rPr>
        <w:t>ii</w:t>
      </w:r>
      <w:proofErr w:type="spellEnd"/>
      <w:r w:rsidRPr="00D70D7B">
        <w:rPr>
          <w:color w:val="000000" w:themeColor="text1"/>
          <w:szCs w:val="22"/>
        </w:rPr>
        <w:t>) stanovení</w:t>
      </w:r>
      <w:r w:rsidR="00F16AD7" w:rsidRPr="00D70D7B">
        <w:rPr>
          <w:color w:val="000000" w:themeColor="text1"/>
          <w:szCs w:val="22"/>
        </w:rPr>
        <w:t>m</w:t>
      </w:r>
      <w:r w:rsidRPr="00D70D7B">
        <w:rPr>
          <w:color w:val="000000" w:themeColor="text1"/>
          <w:szCs w:val="22"/>
        </w:rPr>
        <w:t xml:space="preserve"> parame</w:t>
      </w:r>
      <w:r w:rsidR="00F16AD7" w:rsidRPr="00D70D7B">
        <w:rPr>
          <w:color w:val="000000" w:themeColor="text1"/>
          <w:szCs w:val="22"/>
        </w:rPr>
        <w:t>trů pro případný útlum zdrojů a problematikou</w:t>
      </w:r>
      <w:r w:rsidRPr="00D70D7B">
        <w:rPr>
          <w:color w:val="000000" w:themeColor="text1"/>
          <w:szCs w:val="22"/>
        </w:rPr>
        <w:t xml:space="preserve"> legislativy a </w:t>
      </w:r>
      <w:proofErr w:type="spellStart"/>
      <w:r w:rsidRPr="00D70D7B">
        <w:rPr>
          <w:color w:val="000000" w:themeColor="text1"/>
          <w:szCs w:val="22"/>
        </w:rPr>
        <w:t>iii</w:t>
      </w:r>
      <w:proofErr w:type="spellEnd"/>
      <w:r w:rsidRPr="00D70D7B">
        <w:rPr>
          <w:color w:val="000000" w:themeColor="text1"/>
          <w:szCs w:val="22"/>
        </w:rPr>
        <w:t xml:space="preserve">) </w:t>
      </w:r>
      <w:r w:rsidR="00F16AD7" w:rsidRPr="00D70D7B">
        <w:rPr>
          <w:color w:val="000000" w:themeColor="text1"/>
          <w:szCs w:val="22"/>
        </w:rPr>
        <w:t>identifikací</w:t>
      </w:r>
      <w:r w:rsidRPr="00D70D7B">
        <w:rPr>
          <w:color w:val="000000" w:themeColor="text1"/>
          <w:szCs w:val="22"/>
        </w:rPr>
        <w:t xml:space="preserve"> sociálních a ekonomických dopadů.</w:t>
      </w:r>
    </w:p>
    <w:p w14:paraId="750C2014" w14:textId="77777777" w:rsidR="0088006A" w:rsidRPr="00D70D7B" w:rsidRDefault="0088006A" w:rsidP="0088006A">
      <w:pPr>
        <w:rPr>
          <w:b/>
          <w:color w:val="000000" w:themeColor="text1"/>
          <w:szCs w:val="22"/>
        </w:rPr>
      </w:pPr>
      <w:r w:rsidRPr="00D70D7B">
        <w:rPr>
          <w:b/>
          <w:color w:val="000000" w:themeColor="text1"/>
          <w:szCs w:val="22"/>
        </w:rPr>
        <w:t>Nerostné suroviny</w:t>
      </w:r>
    </w:p>
    <w:p w14:paraId="6EDA5638" w14:textId="642BE5F8" w:rsidR="00EF78AF" w:rsidRPr="00D70D7B" w:rsidRDefault="0088006A" w:rsidP="0088006A">
      <w:pPr>
        <w:rPr>
          <w:color w:val="000000" w:themeColor="text1"/>
          <w:szCs w:val="22"/>
        </w:rPr>
      </w:pPr>
      <w:r w:rsidRPr="00D70D7B">
        <w:rPr>
          <w:b/>
          <w:color w:val="000000" w:themeColor="text1"/>
          <w:szCs w:val="22"/>
        </w:rPr>
        <w:t xml:space="preserve">Přechod na oběhové hospodářství </w:t>
      </w:r>
      <w:r w:rsidRPr="00D70D7B">
        <w:rPr>
          <w:color w:val="000000" w:themeColor="text1"/>
          <w:szCs w:val="22"/>
        </w:rPr>
        <w:t>v oblasti průmyslové výroby</w:t>
      </w:r>
      <w:r w:rsidRPr="00D70D7B">
        <w:rPr>
          <w:b/>
          <w:color w:val="000000" w:themeColor="text1"/>
          <w:szCs w:val="22"/>
        </w:rPr>
        <w:t xml:space="preserve"> </w:t>
      </w:r>
      <w:r w:rsidRPr="00D70D7B">
        <w:rPr>
          <w:color w:val="000000" w:themeColor="text1"/>
          <w:szCs w:val="22"/>
        </w:rPr>
        <w:t xml:space="preserve">je reálný za předpokladu udržitelného využívání zdrojů. Tohoto cíle lze dosáhnout snižováním materiálové náročnosti výroby a nahrazováním primárních přírodních zdrojů druhotnými surovinami. Nové úkoly stanovené v Politice druhotných surovin ČR pro období 2019 </w:t>
      </w:r>
      <w:r w:rsidR="004C305C" w:rsidRPr="00D70D7B">
        <w:rPr>
          <w:color w:val="000000" w:themeColor="text1"/>
          <w:szCs w:val="22"/>
        </w:rPr>
        <w:t>-</w:t>
      </w:r>
      <w:r w:rsidRPr="00D70D7B">
        <w:rPr>
          <w:color w:val="000000" w:themeColor="text1"/>
          <w:szCs w:val="22"/>
        </w:rPr>
        <w:t xml:space="preserve"> 2022 mají přispět k dosažení hodnoty indikátoru</w:t>
      </w:r>
      <w:r w:rsidRPr="00D70D7B">
        <w:rPr>
          <w:rStyle w:val="Znakapoznpodarou"/>
          <w:color w:val="000000" w:themeColor="text1"/>
          <w:szCs w:val="22"/>
        </w:rPr>
        <w:footnoteReference w:id="7"/>
      </w:r>
      <w:r w:rsidRPr="00D70D7B">
        <w:rPr>
          <w:color w:val="000000" w:themeColor="text1"/>
          <w:szCs w:val="22"/>
        </w:rPr>
        <w:t xml:space="preserve"> pro sledování přechodu z lineární ekonomiky na cirkulární ze současných 7,6 % za ČR na hodnotu průměru EU ve výši 11,7 % a postupně tuto hodnotu zvyšovat.</w:t>
      </w:r>
    </w:p>
    <w:p w14:paraId="492AA0AC" w14:textId="77777777" w:rsidR="0030397B" w:rsidRPr="00D70D7B" w:rsidRDefault="0030397B">
      <w:pPr>
        <w:spacing w:after="0" w:line="240" w:lineRule="auto"/>
        <w:jc w:val="left"/>
        <w:rPr>
          <w:color w:val="000000" w:themeColor="text1"/>
          <w:szCs w:val="22"/>
          <w:lang w:eastAsia="x-none"/>
        </w:rPr>
      </w:pPr>
      <w:r w:rsidRPr="00D70D7B">
        <w:rPr>
          <w:color w:val="000000" w:themeColor="text1"/>
          <w:szCs w:val="22"/>
          <w:lang w:eastAsia="x-none"/>
        </w:rPr>
        <w:br w:type="page"/>
      </w:r>
    </w:p>
    <w:p w14:paraId="0362C9EB" w14:textId="77777777" w:rsidR="00EB5896" w:rsidRPr="00D70D7B" w:rsidRDefault="00EB5896" w:rsidP="00EB5896">
      <w:pPr>
        <w:pStyle w:val="Styl1"/>
        <w:numPr>
          <w:ilvl w:val="0"/>
          <w:numId w:val="0"/>
        </w:numPr>
        <w:rPr>
          <w:color w:val="000000" w:themeColor="text1"/>
          <w:sz w:val="22"/>
          <w:szCs w:val="22"/>
          <w:lang w:val="cs-CZ"/>
        </w:rPr>
      </w:pPr>
      <w:bookmarkStart w:id="10" w:name="_Toc34309620"/>
      <w:bookmarkStart w:id="11" w:name="_Toc34768166"/>
      <w:bookmarkEnd w:id="9"/>
      <w:r w:rsidRPr="00D70D7B">
        <w:rPr>
          <w:color w:val="000000" w:themeColor="text1"/>
          <w:sz w:val="22"/>
          <w:szCs w:val="22"/>
          <w:lang w:val="cs-CZ"/>
        </w:rPr>
        <w:lastRenderedPageBreak/>
        <w:t>4. Pokrok v plnění národních cílů v rámci strategie Evropa 2020</w:t>
      </w:r>
      <w:bookmarkEnd w:id="10"/>
      <w:bookmarkEnd w:id="11"/>
    </w:p>
    <w:p w14:paraId="267CC70C" w14:textId="01D42A05" w:rsidR="0006140C" w:rsidRPr="00D70D7B" w:rsidRDefault="00856B86" w:rsidP="00856B86">
      <w:pPr>
        <w:pStyle w:val="Titulek"/>
        <w:rPr>
          <w:color w:val="000000" w:themeColor="text1"/>
          <w:szCs w:val="22"/>
        </w:rPr>
      </w:pPr>
      <w:bookmarkStart w:id="12" w:name="_Toc450807977"/>
      <w:r w:rsidRPr="00D70D7B">
        <w:rPr>
          <w:color w:val="000000" w:themeColor="text1"/>
          <w:szCs w:val="22"/>
        </w:rPr>
        <w:t xml:space="preserve">Tabulka </w:t>
      </w:r>
      <w:r w:rsidR="00AA2519" w:rsidRPr="00D70D7B">
        <w:rPr>
          <w:color w:val="000000" w:themeColor="text1"/>
          <w:szCs w:val="22"/>
        </w:rPr>
        <w:fldChar w:fldCharType="begin"/>
      </w:r>
      <w:r w:rsidR="00AA2519" w:rsidRPr="00D70D7B">
        <w:rPr>
          <w:color w:val="000000" w:themeColor="text1"/>
          <w:szCs w:val="22"/>
        </w:rPr>
        <w:instrText xml:space="preserve"> SEQ Tabulka \* ARABIC </w:instrText>
      </w:r>
      <w:r w:rsidR="00AA2519" w:rsidRPr="00D70D7B">
        <w:rPr>
          <w:color w:val="000000" w:themeColor="text1"/>
          <w:szCs w:val="22"/>
        </w:rPr>
        <w:fldChar w:fldCharType="separate"/>
      </w:r>
      <w:r w:rsidR="007403DD" w:rsidRPr="00D70D7B">
        <w:rPr>
          <w:color w:val="000000" w:themeColor="text1"/>
          <w:szCs w:val="22"/>
        </w:rPr>
        <w:t>1</w:t>
      </w:r>
      <w:r w:rsidR="00AA2519" w:rsidRPr="00D70D7B">
        <w:rPr>
          <w:color w:val="000000" w:themeColor="text1"/>
          <w:szCs w:val="22"/>
        </w:rPr>
        <w:fldChar w:fldCharType="end"/>
      </w:r>
      <w:r w:rsidRPr="00D70D7B">
        <w:rPr>
          <w:color w:val="000000" w:themeColor="text1"/>
          <w:szCs w:val="22"/>
        </w:rPr>
        <w:t xml:space="preserve">: </w:t>
      </w:r>
      <w:r w:rsidR="0006140C" w:rsidRPr="00D70D7B">
        <w:rPr>
          <w:color w:val="000000" w:themeColor="text1"/>
          <w:szCs w:val="22"/>
        </w:rPr>
        <w:t>Přehled plnění kvantitativních cílů</w:t>
      </w:r>
      <w:r w:rsidR="009F13CD" w:rsidRPr="00D70D7B">
        <w:rPr>
          <w:color w:val="000000" w:themeColor="text1"/>
          <w:szCs w:val="22"/>
        </w:rPr>
        <w:t xml:space="preserve"> strategie Evropa 2020</w:t>
      </w:r>
      <w:bookmarkEnd w:id="12"/>
      <w:r w:rsidR="00995C82" w:rsidRPr="00D70D7B">
        <w:rPr>
          <w:color w:val="000000" w:themeColor="text1"/>
          <w:szCs w:val="22"/>
        </w:rPr>
        <w:t xml:space="preserve"> (zdroj: ČSÚ, Eurostat)</w:t>
      </w:r>
    </w:p>
    <w:tbl>
      <w:tblPr>
        <w:tblW w:w="94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90"/>
        <w:gridCol w:w="4252"/>
        <w:gridCol w:w="1559"/>
        <w:gridCol w:w="1843"/>
      </w:tblGrid>
      <w:tr w:rsidR="00D70D7B" w:rsidRPr="00D70D7B" w14:paraId="1D5DBEB0" w14:textId="77777777" w:rsidTr="00187CC8">
        <w:trPr>
          <w:trHeight w:val="780"/>
        </w:trPr>
        <w:tc>
          <w:tcPr>
            <w:tcW w:w="1790" w:type="dxa"/>
            <w:shd w:val="clear" w:color="auto" w:fill="002060"/>
            <w:vAlign w:val="center"/>
          </w:tcPr>
          <w:p w14:paraId="1BECEF41" w14:textId="77777777" w:rsidR="0089587F" w:rsidRPr="00D70D7B" w:rsidRDefault="00EB3F90" w:rsidP="00BD5EFC">
            <w:pPr>
              <w:jc w:val="center"/>
              <w:rPr>
                <w:color w:val="000000" w:themeColor="text1"/>
                <w:szCs w:val="22"/>
              </w:rPr>
            </w:pPr>
            <w:r w:rsidRPr="00D70D7B">
              <w:rPr>
                <w:b/>
                <w:color w:val="000000" w:themeColor="text1"/>
                <w:szCs w:val="22"/>
              </w:rPr>
              <w:t>Oblast</w:t>
            </w:r>
          </w:p>
        </w:tc>
        <w:tc>
          <w:tcPr>
            <w:tcW w:w="4252" w:type="dxa"/>
            <w:shd w:val="clear" w:color="auto" w:fill="002060"/>
            <w:vAlign w:val="center"/>
          </w:tcPr>
          <w:p w14:paraId="6BA3468F" w14:textId="77777777" w:rsidR="0089587F" w:rsidRPr="00D70D7B" w:rsidRDefault="00EB3F90" w:rsidP="00BD5EFC">
            <w:pPr>
              <w:jc w:val="center"/>
              <w:rPr>
                <w:color w:val="000000" w:themeColor="text1"/>
                <w:szCs w:val="22"/>
              </w:rPr>
            </w:pPr>
            <w:r w:rsidRPr="00D70D7B">
              <w:rPr>
                <w:b/>
                <w:color w:val="000000" w:themeColor="text1"/>
                <w:szCs w:val="22"/>
              </w:rPr>
              <w:t>Národní cíl</w:t>
            </w:r>
          </w:p>
        </w:tc>
        <w:tc>
          <w:tcPr>
            <w:tcW w:w="1559" w:type="dxa"/>
            <w:shd w:val="clear" w:color="auto" w:fill="002060"/>
            <w:vAlign w:val="center"/>
          </w:tcPr>
          <w:p w14:paraId="71D6D3C2" w14:textId="77777777" w:rsidR="0089587F" w:rsidRPr="00D70D7B" w:rsidRDefault="00EB3F90" w:rsidP="00BD5EFC">
            <w:pPr>
              <w:jc w:val="center"/>
              <w:rPr>
                <w:color w:val="000000" w:themeColor="text1"/>
                <w:szCs w:val="22"/>
              </w:rPr>
            </w:pPr>
            <w:r w:rsidRPr="00D70D7B">
              <w:rPr>
                <w:b/>
                <w:color w:val="000000" w:themeColor="text1"/>
                <w:szCs w:val="22"/>
              </w:rPr>
              <w:t xml:space="preserve">Referenční hodnota </w:t>
            </w:r>
            <w:r w:rsidRPr="00D70D7B">
              <w:rPr>
                <w:color w:val="000000" w:themeColor="text1"/>
                <w:szCs w:val="22"/>
              </w:rPr>
              <w:t>(referenční rok)</w:t>
            </w:r>
          </w:p>
        </w:tc>
        <w:tc>
          <w:tcPr>
            <w:tcW w:w="1843" w:type="dxa"/>
            <w:shd w:val="clear" w:color="auto" w:fill="002060"/>
            <w:vAlign w:val="center"/>
          </w:tcPr>
          <w:p w14:paraId="5986A466" w14:textId="77777777" w:rsidR="0089587F" w:rsidRPr="00D70D7B" w:rsidRDefault="00EB3F90" w:rsidP="00BD5EFC">
            <w:pPr>
              <w:jc w:val="center"/>
              <w:rPr>
                <w:color w:val="000000" w:themeColor="text1"/>
                <w:szCs w:val="22"/>
              </w:rPr>
            </w:pPr>
            <w:r w:rsidRPr="00D70D7B">
              <w:rPr>
                <w:b/>
                <w:color w:val="000000" w:themeColor="text1"/>
                <w:szCs w:val="22"/>
              </w:rPr>
              <w:t xml:space="preserve">Aktuální stav plnění </w:t>
            </w:r>
            <w:r w:rsidRPr="00D70D7B">
              <w:rPr>
                <w:color w:val="000000" w:themeColor="text1"/>
                <w:szCs w:val="22"/>
              </w:rPr>
              <w:t>(k jakému období)</w:t>
            </w:r>
          </w:p>
        </w:tc>
      </w:tr>
      <w:tr w:rsidR="00D70D7B" w:rsidRPr="00D70D7B" w14:paraId="3A358316" w14:textId="77777777" w:rsidTr="00187CC8">
        <w:trPr>
          <w:trHeight w:val="100"/>
        </w:trPr>
        <w:tc>
          <w:tcPr>
            <w:tcW w:w="1790" w:type="dxa"/>
            <w:vMerge w:val="restart"/>
            <w:shd w:val="clear" w:color="auto" w:fill="auto"/>
            <w:vAlign w:val="center"/>
          </w:tcPr>
          <w:p w14:paraId="3069336A" w14:textId="77777777" w:rsidR="00187CC8" w:rsidRPr="00D70D7B" w:rsidRDefault="00187CC8" w:rsidP="00187CC8">
            <w:pPr>
              <w:jc w:val="center"/>
              <w:rPr>
                <w:color w:val="000000" w:themeColor="text1"/>
                <w:szCs w:val="22"/>
              </w:rPr>
            </w:pPr>
            <w:r w:rsidRPr="00D70D7B">
              <w:rPr>
                <w:color w:val="000000" w:themeColor="text1"/>
                <w:szCs w:val="22"/>
              </w:rPr>
              <w:t>1. Zaměstnanost</w:t>
            </w:r>
          </w:p>
          <w:p w14:paraId="4EE63C4E" w14:textId="77777777" w:rsidR="00187CC8" w:rsidRPr="00D70D7B" w:rsidRDefault="00187CC8" w:rsidP="00187CC8">
            <w:pPr>
              <w:jc w:val="center"/>
              <w:rPr>
                <w:color w:val="000000" w:themeColor="text1"/>
                <w:szCs w:val="22"/>
              </w:rPr>
            </w:pPr>
          </w:p>
        </w:tc>
        <w:tc>
          <w:tcPr>
            <w:tcW w:w="4252" w:type="dxa"/>
            <w:shd w:val="clear" w:color="auto" w:fill="auto"/>
            <w:vAlign w:val="center"/>
          </w:tcPr>
          <w:p w14:paraId="71A44B28" w14:textId="77777777" w:rsidR="00187CC8" w:rsidRPr="00D70D7B" w:rsidRDefault="00187CC8" w:rsidP="00187CC8">
            <w:pPr>
              <w:jc w:val="center"/>
              <w:rPr>
                <w:color w:val="000000" w:themeColor="text1"/>
                <w:szCs w:val="22"/>
              </w:rPr>
            </w:pPr>
            <w:r w:rsidRPr="00D70D7B">
              <w:rPr>
                <w:color w:val="000000" w:themeColor="text1"/>
                <w:szCs w:val="22"/>
              </w:rPr>
              <w:t>Zvýšení celkové míry zaměstnanosti osob ve věku 20–64 let na 75 %</w:t>
            </w:r>
          </w:p>
        </w:tc>
        <w:tc>
          <w:tcPr>
            <w:tcW w:w="1559" w:type="dxa"/>
            <w:shd w:val="clear" w:color="auto" w:fill="auto"/>
            <w:vAlign w:val="center"/>
          </w:tcPr>
          <w:p w14:paraId="46E44108" w14:textId="77777777" w:rsidR="00187CC8" w:rsidRPr="00D70D7B" w:rsidRDefault="00187CC8" w:rsidP="00187CC8">
            <w:pPr>
              <w:jc w:val="center"/>
              <w:rPr>
                <w:color w:val="000000" w:themeColor="text1"/>
                <w:szCs w:val="22"/>
              </w:rPr>
            </w:pPr>
            <w:r w:rsidRPr="00D70D7B">
              <w:rPr>
                <w:color w:val="000000" w:themeColor="text1"/>
                <w:szCs w:val="22"/>
              </w:rPr>
              <w:t>70,4 % (2010)</w:t>
            </w:r>
          </w:p>
        </w:tc>
        <w:tc>
          <w:tcPr>
            <w:tcW w:w="1843" w:type="dxa"/>
            <w:shd w:val="clear" w:color="auto" w:fill="auto"/>
            <w:vAlign w:val="center"/>
          </w:tcPr>
          <w:p w14:paraId="3D9FA15B" w14:textId="77777777" w:rsidR="00187CC8" w:rsidRPr="00D70D7B" w:rsidRDefault="00806F2D" w:rsidP="00187CC8">
            <w:pPr>
              <w:jc w:val="center"/>
              <w:rPr>
                <w:color w:val="000000" w:themeColor="text1"/>
                <w:szCs w:val="22"/>
              </w:rPr>
            </w:pPr>
            <w:r w:rsidRPr="00D70D7B">
              <w:rPr>
                <w:color w:val="000000" w:themeColor="text1"/>
                <w:szCs w:val="22"/>
              </w:rPr>
              <w:t>80,4</w:t>
            </w:r>
            <w:r w:rsidR="00187CC8" w:rsidRPr="00D70D7B">
              <w:rPr>
                <w:color w:val="000000" w:themeColor="text1"/>
                <w:szCs w:val="22"/>
              </w:rPr>
              <w:t xml:space="preserve"> %</w:t>
            </w:r>
          </w:p>
          <w:p w14:paraId="2FFDE48B" w14:textId="77777777" w:rsidR="00187CC8" w:rsidRPr="00D70D7B" w:rsidRDefault="00187CC8" w:rsidP="00187CC8">
            <w:pPr>
              <w:jc w:val="center"/>
              <w:rPr>
                <w:color w:val="000000" w:themeColor="text1"/>
                <w:szCs w:val="22"/>
              </w:rPr>
            </w:pPr>
            <w:r w:rsidRPr="00D70D7B">
              <w:rPr>
                <w:color w:val="000000" w:themeColor="text1"/>
                <w:szCs w:val="22"/>
              </w:rPr>
              <w:t>(2019)</w:t>
            </w:r>
          </w:p>
        </w:tc>
      </w:tr>
      <w:tr w:rsidR="00D70D7B" w:rsidRPr="00D70D7B" w14:paraId="62702430" w14:textId="77777777" w:rsidTr="00187CC8">
        <w:trPr>
          <w:trHeight w:val="100"/>
        </w:trPr>
        <w:tc>
          <w:tcPr>
            <w:tcW w:w="1790" w:type="dxa"/>
            <w:vMerge/>
            <w:shd w:val="clear" w:color="auto" w:fill="auto"/>
            <w:vAlign w:val="center"/>
          </w:tcPr>
          <w:p w14:paraId="31F2AD9F" w14:textId="77777777" w:rsidR="00187CC8" w:rsidRPr="00D70D7B" w:rsidRDefault="00187CC8" w:rsidP="00187CC8">
            <w:pPr>
              <w:jc w:val="center"/>
              <w:rPr>
                <w:color w:val="000000" w:themeColor="text1"/>
                <w:szCs w:val="22"/>
              </w:rPr>
            </w:pPr>
          </w:p>
        </w:tc>
        <w:tc>
          <w:tcPr>
            <w:tcW w:w="4252" w:type="dxa"/>
            <w:shd w:val="clear" w:color="auto" w:fill="auto"/>
            <w:vAlign w:val="center"/>
          </w:tcPr>
          <w:p w14:paraId="45FB834E" w14:textId="77777777" w:rsidR="00187CC8" w:rsidRPr="00D70D7B" w:rsidRDefault="00187CC8" w:rsidP="00187CC8">
            <w:pPr>
              <w:jc w:val="center"/>
              <w:rPr>
                <w:color w:val="000000" w:themeColor="text1"/>
                <w:szCs w:val="22"/>
              </w:rPr>
            </w:pPr>
            <w:r w:rsidRPr="00D70D7B">
              <w:rPr>
                <w:color w:val="000000" w:themeColor="text1"/>
                <w:szCs w:val="22"/>
              </w:rPr>
              <w:t>Zvýšení míry zaměstnanosti žen (20–64 let) na 65 %</w:t>
            </w:r>
          </w:p>
        </w:tc>
        <w:tc>
          <w:tcPr>
            <w:tcW w:w="1559" w:type="dxa"/>
            <w:shd w:val="clear" w:color="auto" w:fill="auto"/>
            <w:vAlign w:val="center"/>
          </w:tcPr>
          <w:p w14:paraId="5CE9194E" w14:textId="77777777" w:rsidR="00187CC8" w:rsidRPr="00D70D7B" w:rsidRDefault="00187CC8" w:rsidP="00187CC8">
            <w:pPr>
              <w:jc w:val="center"/>
              <w:rPr>
                <w:color w:val="000000" w:themeColor="text1"/>
                <w:szCs w:val="22"/>
              </w:rPr>
            </w:pPr>
            <w:r w:rsidRPr="00D70D7B">
              <w:rPr>
                <w:color w:val="000000" w:themeColor="text1"/>
                <w:szCs w:val="22"/>
              </w:rPr>
              <w:t>60,9 % (2010)</w:t>
            </w:r>
          </w:p>
        </w:tc>
        <w:tc>
          <w:tcPr>
            <w:tcW w:w="1843" w:type="dxa"/>
            <w:shd w:val="clear" w:color="auto" w:fill="auto"/>
            <w:vAlign w:val="center"/>
          </w:tcPr>
          <w:p w14:paraId="757CBA99" w14:textId="77777777" w:rsidR="00187CC8" w:rsidRPr="00D70D7B" w:rsidRDefault="00CA3E74" w:rsidP="00187CC8">
            <w:pPr>
              <w:jc w:val="center"/>
              <w:rPr>
                <w:color w:val="000000" w:themeColor="text1"/>
                <w:szCs w:val="22"/>
              </w:rPr>
            </w:pPr>
            <w:r w:rsidRPr="00D70D7B">
              <w:rPr>
                <w:color w:val="000000" w:themeColor="text1"/>
                <w:szCs w:val="22"/>
              </w:rPr>
              <w:t>72,7</w:t>
            </w:r>
            <w:r w:rsidR="00187CC8" w:rsidRPr="00D70D7B">
              <w:rPr>
                <w:color w:val="000000" w:themeColor="text1"/>
                <w:szCs w:val="22"/>
              </w:rPr>
              <w:t xml:space="preserve"> %</w:t>
            </w:r>
          </w:p>
          <w:p w14:paraId="4D0F63B0" w14:textId="77777777" w:rsidR="00187CC8" w:rsidRPr="00D70D7B" w:rsidRDefault="00187CC8" w:rsidP="00187CC8">
            <w:pPr>
              <w:jc w:val="center"/>
              <w:rPr>
                <w:color w:val="000000" w:themeColor="text1"/>
                <w:szCs w:val="22"/>
              </w:rPr>
            </w:pPr>
            <w:r w:rsidRPr="00D70D7B">
              <w:rPr>
                <w:color w:val="000000" w:themeColor="text1"/>
                <w:szCs w:val="22"/>
              </w:rPr>
              <w:t>(2019)</w:t>
            </w:r>
          </w:p>
        </w:tc>
      </w:tr>
      <w:tr w:rsidR="00D70D7B" w:rsidRPr="00D70D7B" w14:paraId="549F5E3D" w14:textId="77777777" w:rsidTr="00187CC8">
        <w:trPr>
          <w:trHeight w:val="100"/>
        </w:trPr>
        <w:tc>
          <w:tcPr>
            <w:tcW w:w="1790" w:type="dxa"/>
            <w:vMerge/>
            <w:shd w:val="clear" w:color="auto" w:fill="auto"/>
            <w:vAlign w:val="center"/>
          </w:tcPr>
          <w:p w14:paraId="032929B2" w14:textId="77777777" w:rsidR="00187CC8" w:rsidRPr="00D70D7B" w:rsidRDefault="00187CC8" w:rsidP="00187CC8">
            <w:pPr>
              <w:jc w:val="center"/>
              <w:rPr>
                <w:color w:val="000000" w:themeColor="text1"/>
                <w:szCs w:val="22"/>
              </w:rPr>
            </w:pPr>
          </w:p>
        </w:tc>
        <w:tc>
          <w:tcPr>
            <w:tcW w:w="4252" w:type="dxa"/>
            <w:shd w:val="clear" w:color="auto" w:fill="auto"/>
            <w:vAlign w:val="center"/>
          </w:tcPr>
          <w:p w14:paraId="5D31467D" w14:textId="77777777" w:rsidR="00187CC8" w:rsidRPr="00D70D7B" w:rsidRDefault="00187CC8" w:rsidP="00187CC8">
            <w:pPr>
              <w:jc w:val="center"/>
              <w:rPr>
                <w:color w:val="000000" w:themeColor="text1"/>
                <w:szCs w:val="22"/>
              </w:rPr>
            </w:pPr>
            <w:r w:rsidRPr="00D70D7B">
              <w:rPr>
                <w:color w:val="000000" w:themeColor="text1"/>
                <w:szCs w:val="22"/>
              </w:rPr>
              <w:t>Zvýšení míry zaměstnanosti starších osob (55–64 let) na 55 %</w:t>
            </w:r>
          </w:p>
        </w:tc>
        <w:tc>
          <w:tcPr>
            <w:tcW w:w="1559" w:type="dxa"/>
            <w:shd w:val="clear" w:color="auto" w:fill="auto"/>
            <w:vAlign w:val="center"/>
          </w:tcPr>
          <w:p w14:paraId="466A056D" w14:textId="77777777" w:rsidR="00187CC8" w:rsidRPr="00D70D7B" w:rsidRDefault="00187CC8" w:rsidP="00187CC8">
            <w:pPr>
              <w:jc w:val="center"/>
              <w:rPr>
                <w:color w:val="000000" w:themeColor="text1"/>
                <w:szCs w:val="22"/>
              </w:rPr>
            </w:pPr>
            <w:r w:rsidRPr="00D70D7B">
              <w:rPr>
                <w:color w:val="000000" w:themeColor="text1"/>
                <w:szCs w:val="22"/>
              </w:rPr>
              <w:t>46,5 % (2010)</w:t>
            </w:r>
          </w:p>
        </w:tc>
        <w:tc>
          <w:tcPr>
            <w:tcW w:w="1843" w:type="dxa"/>
            <w:shd w:val="clear" w:color="auto" w:fill="auto"/>
            <w:vAlign w:val="center"/>
          </w:tcPr>
          <w:p w14:paraId="6C5EF32C" w14:textId="77777777" w:rsidR="00187CC8" w:rsidRPr="00D70D7B" w:rsidRDefault="00187CC8" w:rsidP="00187CC8">
            <w:pPr>
              <w:jc w:val="center"/>
              <w:rPr>
                <w:color w:val="000000" w:themeColor="text1"/>
                <w:szCs w:val="22"/>
              </w:rPr>
            </w:pPr>
            <w:r w:rsidRPr="00D70D7B">
              <w:rPr>
                <w:color w:val="000000" w:themeColor="text1"/>
                <w:szCs w:val="22"/>
              </w:rPr>
              <w:t>66,</w:t>
            </w:r>
            <w:r w:rsidR="00E91A00" w:rsidRPr="00D70D7B">
              <w:rPr>
                <w:color w:val="000000" w:themeColor="text1"/>
                <w:szCs w:val="22"/>
              </w:rPr>
              <w:t>8</w:t>
            </w:r>
            <w:r w:rsidRPr="00D70D7B">
              <w:rPr>
                <w:color w:val="000000" w:themeColor="text1"/>
                <w:szCs w:val="22"/>
              </w:rPr>
              <w:t xml:space="preserve"> %</w:t>
            </w:r>
          </w:p>
          <w:p w14:paraId="11A3D141" w14:textId="77777777" w:rsidR="00187CC8" w:rsidRPr="00D70D7B" w:rsidRDefault="00187CC8" w:rsidP="00187CC8">
            <w:pPr>
              <w:jc w:val="center"/>
              <w:rPr>
                <w:color w:val="000000" w:themeColor="text1"/>
                <w:szCs w:val="22"/>
              </w:rPr>
            </w:pPr>
            <w:r w:rsidRPr="00D70D7B">
              <w:rPr>
                <w:color w:val="000000" w:themeColor="text1"/>
                <w:szCs w:val="22"/>
              </w:rPr>
              <w:t>(2019)</w:t>
            </w:r>
          </w:p>
        </w:tc>
      </w:tr>
      <w:tr w:rsidR="00D70D7B" w:rsidRPr="00D70D7B" w14:paraId="6E4E1BF6" w14:textId="77777777" w:rsidTr="00187CC8">
        <w:trPr>
          <w:trHeight w:val="100"/>
        </w:trPr>
        <w:tc>
          <w:tcPr>
            <w:tcW w:w="1790" w:type="dxa"/>
            <w:vMerge/>
            <w:shd w:val="clear" w:color="auto" w:fill="auto"/>
            <w:vAlign w:val="center"/>
          </w:tcPr>
          <w:p w14:paraId="00EF29C6" w14:textId="77777777" w:rsidR="00187CC8" w:rsidRPr="00D70D7B" w:rsidRDefault="00187CC8" w:rsidP="00187CC8">
            <w:pPr>
              <w:jc w:val="center"/>
              <w:rPr>
                <w:color w:val="000000" w:themeColor="text1"/>
                <w:szCs w:val="22"/>
              </w:rPr>
            </w:pPr>
          </w:p>
        </w:tc>
        <w:tc>
          <w:tcPr>
            <w:tcW w:w="4252" w:type="dxa"/>
            <w:shd w:val="clear" w:color="auto" w:fill="auto"/>
            <w:vAlign w:val="center"/>
          </w:tcPr>
          <w:p w14:paraId="72223BB6" w14:textId="77777777" w:rsidR="00187CC8" w:rsidRPr="00D70D7B" w:rsidRDefault="00187CC8" w:rsidP="00187CC8">
            <w:pPr>
              <w:jc w:val="center"/>
              <w:rPr>
                <w:color w:val="000000" w:themeColor="text1"/>
                <w:szCs w:val="22"/>
              </w:rPr>
            </w:pPr>
            <w:r w:rsidRPr="00D70D7B">
              <w:rPr>
                <w:color w:val="000000" w:themeColor="text1"/>
                <w:szCs w:val="22"/>
              </w:rPr>
              <w:t>Snížení míry nezaměstnanosti mladých osob (15–24 let) o třetinu proti roku 2010</w:t>
            </w:r>
          </w:p>
        </w:tc>
        <w:tc>
          <w:tcPr>
            <w:tcW w:w="1559" w:type="dxa"/>
            <w:shd w:val="clear" w:color="auto" w:fill="auto"/>
            <w:vAlign w:val="center"/>
          </w:tcPr>
          <w:p w14:paraId="2659AA75" w14:textId="77777777" w:rsidR="00187CC8" w:rsidRPr="00D70D7B" w:rsidRDefault="00187CC8" w:rsidP="00187CC8">
            <w:pPr>
              <w:jc w:val="center"/>
              <w:rPr>
                <w:color w:val="000000" w:themeColor="text1"/>
                <w:szCs w:val="22"/>
              </w:rPr>
            </w:pPr>
            <w:r w:rsidRPr="00D70D7B">
              <w:rPr>
                <w:color w:val="000000" w:themeColor="text1"/>
                <w:szCs w:val="22"/>
              </w:rPr>
              <w:t>18,3 % (2010)</w:t>
            </w:r>
          </w:p>
        </w:tc>
        <w:tc>
          <w:tcPr>
            <w:tcW w:w="1843" w:type="dxa"/>
            <w:shd w:val="clear" w:color="auto" w:fill="auto"/>
            <w:vAlign w:val="center"/>
          </w:tcPr>
          <w:p w14:paraId="58ED1AC0" w14:textId="77777777" w:rsidR="00187CC8" w:rsidRPr="00D70D7B" w:rsidRDefault="00EA26A1" w:rsidP="00187CC8">
            <w:pPr>
              <w:jc w:val="center"/>
              <w:rPr>
                <w:color w:val="000000" w:themeColor="text1"/>
                <w:szCs w:val="22"/>
              </w:rPr>
            </w:pPr>
            <w:r w:rsidRPr="00D70D7B">
              <w:rPr>
                <w:color w:val="000000" w:themeColor="text1"/>
                <w:szCs w:val="22"/>
              </w:rPr>
              <w:t>4,9</w:t>
            </w:r>
            <w:r w:rsidR="00187CC8" w:rsidRPr="00D70D7B">
              <w:rPr>
                <w:color w:val="000000" w:themeColor="text1"/>
                <w:szCs w:val="22"/>
              </w:rPr>
              <w:t xml:space="preserve"> %</w:t>
            </w:r>
          </w:p>
          <w:p w14:paraId="1B282632" w14:textId="77777777" w:rsidR="00187CC8" w:rsidRPr="00D70D7B" w:rsidRDefault="00187CC8" w:rsidP="00187CC8">
            <w:pPr>
              <w:jc w:val="center"/>
              <w:rPr>
                <w:color w:val="000000" w:themeColor="text1"/>
                <w:szCs w:val="22"/>
              </w:rPr>
            </w:pPr>
            <w:r w:rsidRPr="00D70D7B">
              <w:rPr>
                <w:color w:val="000000" w:themeColor="text1"/>
                <w:szCs w:val="22"/>
              </w:rPr>
              <w:t>(2019)</w:t>
            </w:r>
          </w:p>
        </w:tc>
      </w:tr>
      <w:tr w:rsidR="00D70D7B" w:rsidRPr="00D70D7B" w14:paraId="0DFDF9A6" w14:textId="77777777" w:rsidTr="00187CC8">
        <w:trPr>
          <w:trHeight w:val="100"/>
        </w:trPr>
        <w:tc>
          <w:tcPr>
            <w:tcW w:w="1790" w:type="dxa"/>
            <w:vMerge/>
            <w:tcBorders>
              <w:bottom w:val="single" w:sz="4" w:space="0" w:color="000000"/>
            </w:tcBorders>
            <w:shd w:val="clear" w:color="auto" w:fill="auto"/>
            <w:vAlign w:val="center"/>
          </w:tcPr>
          <w:p w14:paraId="4593975D" w14:textId="77777777" w:rsidR="00187CC8" w:rsidRPr="00D70D7B" w:rsidRDefault="00187CC8" w:rsidP="00187CC8">
            <w:pPr>
              <w:jc w:val="center"/>
              <w:rPr>
                <w:color w:val="000000" w:themeColor="text1"/>
                <w:szCs w:val="22"/>
              </w:rPr>
            </w:pPr>
          </w:p>
        </w:tc>
        <w:tc>
          <w:tcPr>
            <w:tcW w:w="4252" w:type="dxa"/>
            <w:tcBorders>
              <w:bottom w:val="single" w:sz="4" w:space="0" w:color="000000"/>
            </w:tcBorders>
            <w:shd w:val="clear" w:color="auto" w:fill="auto"/>
            <w:vAlign w:val="center"/>
          </w:tcPr>
          <w:p w14:paraId="4A22B34F" w14:textId="77777777" w:rsidR="00187CC8" w:rsidRPr="00D70D7B" w:rsidRDefault="00187CC8" w:rsidP="00187CC8">
            <w:pPr>
              <w:jc w:val="center"/>
              <w:rPr>
                <w:color w:val="000000" w:themeColor="text1"/>
                <w:szCs w:val="22"/>
              </w:rPr>
            </w:pPr>
            <w:r w:rsidRPr="00D70D7B">
              <w:rPr>
                <w:color w:val="000000" w:themeColor="text1"/>
                <w:szCs w:val="22"/>
              </w:rPr>
              <w:t>Snížení míry nezaměstnanosti osob s nízkou kvalifikací (stupeň ISCED 0–2) o čtvrtinu proti roku 2010</w:t>
            </w:r>
          </w:p>
        </w:tc>
        <w:tc>
          <w:tcPr>
            <w:tcW w:w="1559" w:type="dxa"/>
            <w:tcBorders>
              <w:bottom w:val="single" w:sz="4" w:space="0" w:color="000000"/>
            </w:tcBorders>
            <w:shd w:val="clear" w:color="auto" w:fill="auto"/>
            <w:vAlign w:val="center"/>
          </w:tcPr>
          <w:p w14:paraId="3045C673" w14:textId="77777777" w:rsidR="00187CC8" w:rsidRPr="00D70D7B" w:rsidRDefault="00187CC8" w:rsidP="00187CC8">
            <w:pPr>
              <w:jc w:val="center"/>
              <w:rPr>
                <w:color w:val="000000" w:themeColor="text1"/>
                <w:szCs w:val="22"/>
              </w:rPr>
            </w:pPr>
            <w:r w:rsidRPr="00D70D7B">
              <w:rPr>
                <w:color w:val="000000" w:themeColor="text1"/>
                <w:szCs w:val="22"/>
              </w:rPr>
              <w:t>25 % (2010)</w:t>
            </w:r>
          </w:p>
        </w:tc>
        <w:tc>
          <w:tcPr>
            <w:tcW w:w="1843" w:type="dxa"/>
            <w:tcBorders>
              <w:bottom w:val="single" w:sz="4" w:space="0" w:color="000000"/>
            </w:tcBorders>
            <w:shd w:val="clear" w:color="auto" w:fill="auto"/>
            <w:vAlign w:val="center"/>
          </w:tcPr>
          <w:p w14:paraId="7FDB0111" w14:textId="77777777" w:rsidR="00187CC8" w:rsidRPr="00D70D7B" w:rsidRDefault="007110E5" w:rsidP="00187CC8">
            <w:pPr>
              <w:jc w:val="center"/>
              <w:rPr>
                <w:color w:val="000000" w:themeColor="text1"/>
                <w:szCs w:val="22"/>
              </w:rPr>
            </w:pPr>
            <w:r w:rsidRPr="00D70D7B">
              <w:rPr>
                <w:color w:val="000000" w:themeColor="text1"/>
                <w:szCs w:val="22"/>
              </w:rPr>
              <w:t>10,7</w:t>
            </w:r>
            <w:r w:rsidR="00187CC8" w:rsidRPr="00D70D7B">
              <w:rPr>
                <w:color w:val="000000" w:themeColor="text1"/>
                <w:szCs w:val="22"/>
              </w:rPr>
              <w:t xml:space="preserve"> %</w:t>
            </w:r>
          </w:p>
          <w:p w14:paraId="0FC4DA78" w14:textId="77777777" w:rsidR="00187CC8" w:rsidRPr="00D70D7B" w:rsidRDefault="00187CC8" w:rsidP="00187CC8">
            <w:pPr>
              <w:jc w:val="center"/>
              <w:rPr>
                <w:color w:val="000000" w:themeColor="text1"/>
                <w:szCs w:val="22"/>
              </w:rPr>
            </w:pPr>
            <w:r w:rsidRPr="00D70D7B">
              <w:rPr>
                <w:color w:val="000000" w:themeColor="text1"/>
                <w:szCs w:val="22"/>
              </w:rPr>
              <w:t>(2019)</w:t>
            </w:r>
          </w:p>
        </w:tc>
      </w:tr>
      <w:tr w:rsidR="00D70D7B" w:rsidRPr="00D70D7B" w14:paraId="6F4DC0A8" w14:textId="77777777" w:rsidTr="00187CC8">
        <w:trPr>
          <w:trHeight w:val="100"/>
        </w:trPr>
        <w:tc>
          <w:tcPr>
            <w:tcW w:w="1790" w:type="dxa"/>
            <w:shd w:val="clear" w:color="auto" w:fill="B8CCE4"/>
            <w:vAlign w:val="center"/>
          </w:tcPr>
          <w:p w14:paraId="635F16CA" w14:textId="77777777" w:rsidR="00187CC8" w:rsidRPr="00D70D7B" w:rsidRDefault="00187CC8" w:rsidP="00187CC8">
            <w:pPr>
              <w:jc w:val="center"/>
              <w:rPr>
                <w:color w:val="000000" w:themeColor="text1"/>
                <w:szCs w:val="22"/>
              </w:rPr>
            </w:pPr>
            <w:r w:rsidRPr="00D70D7B">
              <w:rPr>
                <w:color w:val="000000" w:themeColor="text1"/>
                <w:szCs w:val="22"/>
              </w:rPr>
              <w:t>2. Chudoba a sociální vyloučení</w:t>
            </w:r>
          </w:p>
          <w:p w14:paraId="51FA3A25" w14:textId="77777777" w:rsidR="00187CC8" w:rsidRPr="00D70D7B" w:rsidRDefault="00187CC8" w:rsidP="00187CC8">
            <w:pPr>
              <w:jc w:val="center"/>
              <w:rPr>
                <w:color w:val="000000" w:themeColor="text1"/>
                <w:szCs w:val="22"/>
              </w:rPr>
            </w:pPr>
          </w:p>
        </w:tc>
        <w:tc>
          <w:tcPr>
            <w:tcW w:w="4252" w:type="dxa"/>
            <w:shd w:val="clear" w:color="auto" w:fill="B8CCE4"/>
            <w:vAlign w:val="center"/>
          </w:tcPr>
          <w:p w14:paraId="07957376" w14:textId="77777777" w:rsidR="00187CC8" w:rsidRPr="00D70D7B" w:rsidRDefault="00187CC8" w:rsidP="00187CC8">
            <w:pPr>
              <w:jc w:val="center"/>
              <w:rPr>
                <w:color w:val="000000" w:themeColor="text1"/>
                <w:szCs w:val="22"/>
              </w:rPr>
            </w:pPr>
            <w:r w:rsidRPr="00D70D7B">
              <w:rPr>
                <w:color w:val="000000" w:themeColor="text1"/>
                <w:szCs w:val="22"/>
              </w:rPr>
              <w:t>Snížení počtu osob ohrožených chudobou, materiální deprivací nebo žijících v domácnostech s velmi nízkou pracovní intenzitou o 100 000 osob oproti roku 2008</w:t>
            </w:r>
          </w:p>
        </w:tc>
        <w:tc>
          <w:tcPr>
            <w:tcW w:w="1559" w:type="dxa"/>
            <w:shd w:val="clear" w:color="auto" w:fill="B8CCE4"/>
            <w:vAlign w:val="center"/>
          </w:tcPr>
          <w:p w14:paraId="0B7B3D6D" w14:textId="77777777" w:rsidR="00187CC8" w:rsidRPr="00D70D7B" w:rsidRDefault="00187CC8" w:rsidP="00187CC8">
            <w:pPr>
              <w:jc w:val="center"/>
              <w:rPr>
                <w:color w:val="000000" w:themeColor="text1"/>
                <w:szCs w:val="22"/>
              </w:rPr>
            </w:pPr>
            <w:r w:rsidRPr="00D70D7B">
              <w:rPr>
                <w:color w:val="000000" w:themeColor="text1"/>
                <w:szCs w:val="22"/>
              </w:rPr>
              <w:t>1566 tis. (2008)</w:t>
            </w:r>
          </w:p>
        </w:tc>
        <w:tc>
          <w:tcPr>
            <w:tcW w:w="1843" w:type="dxa"/>
            <w:shd w:val="clear" w:color="auto" w:fill="B8CCE4"/>
            <w:vAlign w:val="center"/>
          </w:tcPr>
          <w:p w14:paraId="11F043FC" w14:textId="77777777" w:rsidR="00187CC8" w:rsidRPr="00D70D7B" w:rsidRDefault="00187CC8" w:rsidP="00187CC8">
            <w:pPr>
              <w:jc w:val="center"/>
              <w:rPr>
                <w:color w:val="000000" w:themeColor="text1"/>
                <w:szCs w:val="22"/>
              </w:rPr>
            </w:pPr>
            <w:r w:rsidRPr="00D70D7B">
              <w:rPr>
                <w:color w:val="000000" w:themeColor="text1"/>
                <w:szCs w:val="22"/>
              </w:rPr>
              <w:t>1.264,2 tis.</w:t>
            </w:r>
          </w:p>
          <w:p w14:paraId="496CD5AA" w14:textId="77777777" w:rsidR="00187CC8" w:rsidRPr="00D70D7B" w:rsidRDefault="00187CC8" w:rsidP="00187CC8">
            <w:pPr>
              <w:jc w:val="center"/>
              <w:rPr>
                <w:color w:val="000000" w:themeColor="text1"/>
                <w:szCs w:val="22"/>
              </w:rPr>
            </w:pPr>
            <w:r w:rsidRPr="00D70D7B">
              <w:rPr>
                <w:color w:val="000000" w:themeColor="text1"/>
                <w:szCs w:val="22"/>
              </w:rPr>
              <w:t>(2018)</w:t>
            </w:r>
          </w:p>
        </w:tc>
      </w:tr>
      <w:tr w:rsidR="00D70D7B" w:rsidRPr="00D70D7B" w14:paraId="5B50AB6C" w14:textId="77777777" w:rsidTr="00187CC8">
        <w:trPr>
          <w:trHeight w:val="100"/>
        </w:trPr>
        <w:tc>
          <w:tcPr>
            <w:tcW w:w="1790" w:type="dxa"/>
            <w:vMerge w:val="restart"/>
            <w:shd w:val="clear" w:color="auto" w:fill="auto"/>
            <w:vAlign w:val="center"/>
          </w:tcPr>
          <w:p w14:paraId="14E4EE6F" w14:textId="77777777" w:rsidR="00187CC8" w:rsidRPr="00D70D7B" w:rsidRDefault="00187CC8" w:rsidP="00187CC8">
            <w:pPr>
              <w:jc w:val="center"/>
              <w:rPr>
                <w:color w:val="000000" w:themeColor="text1"/>
                <w:szCs w:val="22"/>
              </w:rPr>
            </w:pPr>
            <w:r w:rsidRPr="00D70D7B">
              <w:rPr>
                <w:color w:val="000000" w:themeColor="text1"/>
                <w:szCs w:val="22"/>
              </w:rPr>
              <w:t>3. Vzdělávání</w:t>
            </w:r>
          </w:p>
          <w:p w14:paraId="2D9BE67A" w14:textId="77777777" w:rsidR="00187CC8" w:rsidRPr="00D70D7B" w:rsidRDefault="00187CC8" w:rsidP="00187CC8">
            <w:pPr>
              <w:jc w:val="center"/>
              <w:rPr>
                <w:color w:val="000000" w:themeColor="text1"/>
                <w:szCs w:val="22"/>
              </w:rPr>
            </w:pPr>
          </w:p>
        </w:tc>
        <w:tc>
          <w:tcPr>
            <w:tcW w:w="4252" w:type="dxa"/>
            <w:shd w:val="clear" w:color="auto" w:fill="auto"/>
            <w:vAlign w:val="center"/>
          </w:tcPr>
          <w:p w14:paraId="50E59B1B" w14:textId="77777777" w:rsidR="00187CC8" w:rsidRPr="00D70D7B" w:rsidRDefault="00187CC8" w:rsidP="00187CC8">
            <w:pPr>
              <w:jc w:val="center"/>
              <w:rPr>
                <w:color w:val="000000" w:themeColor="text1"/>
                <w:szCs w:val="22"/>
              </w:rPr>
            </w:pPr>
            <w:r w:rsidRPr="00D70D7B">
              <w:rPr>
                <w:color w:val="000000" w:themeColor="text1"/>
                <w:szCs w:val="22"/>
              </w:rPr>
              <w:t>Snížení počtu osob předčasně odcházejících ze vzdělávání na 5,5 %</w:t>
            </w:r>
          </w:p>
        </w:tc>
        <w:tc>
          <w:tcPr>
            <w:tcW w:w="1559" w:type="dxa"/>
            <w:shd w:val="clear" w:color="auto" w:fill="auto"/>
            <w:vAlign w:val="center"/>
          </w:tcPr>
          <w:p w14:paraId="137C2AE9" w14:textId="77777777" w:rsidR="00187CC8" w:rsidRPr="00D70D7B" w:rsidRDefault="00187CC8" w:rsidP="00187CC8">
            <w:pPr>
              <w:jc w:val="center"/>
              <w:rPr>
                <w:color w:val="000000" w:themeColor="text1"/>
                <w:szCs w:val="22"/>
              </w:rPr>
            </w:pPr>
            <w:r w:rsidRPr="00D70D7B">
              <w:rPr>
                <w:color w:val="000000" w:themeColor="text1"/>
                <w:szCs w:val="22"/>
              </w:rPr>
              <w:t>4,9 % (2010)</w:t>
            </w:r>
          </w:p>
        </w:tc>
        <w:tc>
          <w:tcPr>
            <w:tcW w:w="1843" w:type="dxa"/>
            <w:shd w:val="clear" w:color="auto" w:fill="auto"/>
            <w:vAlign w:val="center"/>
          </w:tcPr>
          <w:p w14:paraId="1D86E6CB" w14:textId="77777777" w:rsidR="00187CC8" w:rsidRPr="00D70D7B" w:rsidRDefault="00187CC8" w:rsidP="00187CC8">
            <w:pPr>
              <w:jc w:val="center"/>
              <w:rPr>
                <w:color w:val="000000" w:themeColor="text1"/>
                <w:szCs w:val="22"/>
              </w:rPr>
            </w:pPr>
            <w:r w:rsidRPr="00D70D7B">
              <w:rPr>
                <w:color w:val="000000" w:themeColor="text1"/>
                <w:szCs w:val="22"/>
              </w:rPr>
              <w:t>6,2 % (2018)</w:t>
            </w:r>
          </w:p>
        </w:tc>
      </w:tr>
      <w:tr w:rsidR="00D70D7B" w:rsidRPr="00D70D7B" w14:paraId="1269E906" w14:textId="77777777" w:rsidTr="00187CC8">
        <w:trPr>
          <w:trHeight w:val="100"/>
        </w:trPr>
        <w:tc>
          <w:tcPr>
            <w:tcW w:w="1790" w:type="dxa"/>
            <w:vMerge/>
            <w:tcBorders>
              <w:bottom w:val="single" w:sz="4" w:space="0" w:color="000000"/>
            </w:tcBorders>
            <w:shd w:val="clear" w:color="auto" w:fill="auto"/>
            <w:vAlign w:val="center"/>
          </w:tcPr>
          <w:p w14:paraId="40CD387C" w14:textId="77777777" w:rsidR="00187CC8" w:rsidRPr="00D70D7B" w:rsidRDefault="00187CC8" w:rsidP="00187CC8">
            <w:pPr>
              <w:jc w:val="center"/>
              <w:rPr>
                <w:color w:val="000000" w:themeColor="text1"/>
                <w:szCs w:val="22"/>
              </w:rPr>
            </w:pPr>
          </w:p>
        </w:tc>
        <w:tc>
          <w:tcPr>
            <w:tcW w:w="4252" w:type="dxa"/>
            <w:tcBorders>
              <w:bottom w:val="single" w:sz="4" w:space="0" w:color="000000"/>
            </w:tcBorders>
            <w:shd w:val="clear" w:color="auto" w:fill="auto"/>
            <w:vAlign w:val="center"/>
          </w:tcPr>
          <w:p w14:paraId="1BFCB641" w14:textId="77777777" w:rsidR="00187CC8" w:rsidRPr="00D70D7B" w:rsidRDefault="00187CC8" w:rsidP="00187CC8">
            <w:pPr>
              <w:jc w:val="center"/>
              <w:rPr>
                <w:color w:val="000000" w:themeColor="text1"/>
                <w:szCs w:val="22"/>
              </w:rPr>
            </w:pPr>
            <w:r w:rsidRPr="00D70D7B">
              <w:rPr>
                <w:color w:val="000000" w:themeColor="text1"/>
                <w:szCs w:val="22"/>
              </w:rPr>
              <w:t>Dosáhnout ve věkové kategorii od 30 do 34 let alespoň 32 % podílu obyvatelstva s terciárním vzděláním</w:t>
            </w:r>
          </w:p>
        </w:tc>
        <w:tc>
          <w:tcPr>
            <w:tcW w:w="1559" w:type="dxa"/>
            <w:tcBorders>
              <w:bottom w:val="single" w:sz="4" w:space="0" w:color="000000"/>
            </w:tcBorders>
            <w:shd w:val="clear" w:color="auto" w:fill="auto"/>
            <w:vAlign w:val="center"/>
          </w:tcPr>
          <w:p w14:paraId="48E8A0D9" w14:textId="77777777" w:rsidR="00187CC8" w:rsidRPr="00D70D7B" w:rsidRDefault="00187CC8" w:rsidP="00187CC8">
            <w:pPr>
              <w:jc w:val="center"/>
              <w:rPr>
                <w:color w:val="000000" w:themeColor="text1"/>
                <w:szCs w:val="22"/>
              </w:rPr>
            </w:pPr>
            <w:r w:rsidRPr="00D70D7B">
              <w:rPr>
                <w:color w:val="000000" w:themeColor="text1"/>
                <w:szCs w:val="22"/>
              </w:rPr>
              <w:t>20,4 % (2010)</w:t>
            </w:r>
          </w:p>
        </w:tc>
        <w:tc>
          <w:tcPr>
            <w:tcW w:w="1843" w:type="dxa"/>
            <w:tcBorders>
              <w:bottom w:val="single" w:sz="4" w:space="0" w:color="000000"/>
            </w:tcBorders>
            <w:shd w:val="clear" w:color="auto" w:fill="auto"/>
            <w:vAlign w:val="center"/>
          </w:tcPr>
          <w:p w14:paraId="1F6F7861" w14:textId="77777777" w:rsidR="00187CC8" w:rsidRPr="00D70D7B" w:rsidRDefault="00187CC8" w:rsidP="00187CC8">
            <w:pPr>
              <w:jc w:val="center"/>
              <w:rPr>
                <w:color w:val="000000" w:themeColor="text1"/>
                <w:szCs w:val="22"/>
              </w:rPr>
            </w:pPr>
            <w:r w:rsidRPr="00D70D7B">
              <w:rPr>
                <w:color w:val="000000" w:themeColor="text1"/>
                <w:szCs w:val="22"/>
              </w:rPr>
              <w:t>33,7 % (2018)</w:t>
            </w:r>
          </w:p>
        </w:tc>
      </w:tr>
      <w:tr w:rsidR="00D70D7B" w:rsidRPr="00D70D7B" w14:paraId="054E51DE" w14:textId="77777777" w:rsidTr="00187CC8">
        <w:trPr>
          <w:trHeight w:val="1020"/>
        </w:trPr>
        <w:tc>
          <w:tcPr>
            <w:tcW w:w="1790" w:type="dxa"/>
            <w:shd w:val="clear" w:color="auto" w:fill="B8CCE4"/>
            <w:vAlign w:val="center"/>
          </w:tcPr>
          <w:p w14:paraId="041D3F1C" w14:textId="77777777" w:rsidR="00187CC8" w:rsidRPr="00D70D7B" w:rsidRDefault="00187CC8" w:rsidP="00187CC8">
            <w:pPr>
              <w:jc w:val="center"/>
              <w:rPr>
                <w:color w:val="000000" w:themeColor="text1"/>
                <w:szCs w:val="22"/>
              </w:rPr>
            </w:pPr>
            <w:r w:rsidRPr="00D70D7B">
              <w:rPr>
                <w:color w:val="000000" w:themeColor="text1"/>
                <w:szCs w:val="22"/>
              </w:rPr>
              <w:t>4. Výzkum, vývoj a inovace</w:t>
            </w:r>
          </w:p>
          <w:p w14:paraId="710AC3ED" w14:textId="77777777" w:rsidR="00187CC8" w:rsidRPr="00D70D7B" w:rsidRDefault="00187CC8" w:rsidP="00187CC8">
            <w:pPr>
              <w:jc w:val="center"/>
              <w:rPr>
                <w:color w:val="000000" w:themeColor="text1"/>
                <w:szCs w:val="22"/>
              </w:rPr>
            </w:pPr>
          </w:p>
        </w:tc>
        <w:tc>
          <w:tcPr>
            <w:tcW w:w="4252" w:type="dxa"/>
            <w:shd w:val="clear" w:color="auto" w:fill="B8CCE4"/>
            <w:vAlign w:val="center"/>
          </w:tcPr>
          <w:p w14:paraId="450B4220" w14:textId="77777777" w:rsidR="00187CC8" w:rsidRPr="00D70D7B" w:rsidRDefault="00187CC8" w:rsidP="00187CC8">
            <w:pPr>
              <w:jc w:val="center"/>
              <w:rPr>
                <w:color w:val="000000" w:themeColor="text1"/>
                <w:szCs w:val="22"/>
              </w:rPr>
            </w:pPr>
            <w:r w:rsidRPr="00D70D7B">
              <w:rPr>
                <w:color w:val="000000" w:themeColor="text1"/>
                <w:szCs w:val="22"/>
              </w:rPr>
              <w:t>Dosáhnout úrovně veřejných výdajů na vědu, výzkum, vývoj a inovace v ČR ve výši 1 % HDP</w:t>
            </w:r>
          </w:p>
        </w:tc>
        <w:tc>
          <w:tcPr>
            <w:tcW w:w="1559" w:type="dxa"/>
            <w:shd w:val="clear" w:color="auto" w:fill="B8CCE4"/>
            <w:vAlign w:val="center"/>
          </w:tcPr>
          <w:p w14:paraId="5BF4962C" w14:textId="77777777" w:rsidR="00187CC8" w:rsidRPr="00D70D7B" w:rsidRDefault="00187CC8" w:rsidP="00187CC8">
            <w:pPr>
              <w:jc w:val="center"/>
              <w:rPr>
                <w:color w:val="000000" w:themeColor="text1"/>
                <w:szCs w:val="22"/>
              </w:rPr>
            </w:pPr>
            <w:r w:rsidRPr="00D70D7B">
              <w:rPr>
                <w:color w:val="000000" w:themeColor="text1"/>
                <w:szCs w:val="22"/>
              </w:rPr>
              <w:t>0,6</w:t>
            </w:r>
            <w:r w:rsidR="00AE0F17" w:rsidRPr="00D70D7B">
              <w:rPr>
                <w:color w:val="000000" w:themeColor="text1"/>
                <w:szCs w:val="22"/>
              </w:rPr>
              <w:t>5</w:t>
            </w:r>
            <w:r w:rsidRPr="00D70D7B">
              <w:rPr>
                <w:color w:val="000000" w:themeColor="text1"/>
                <w:szCs w:val="22"/>
              </w:rPr>
              <w:t> % (2010)</w:t>
            </w:r>
          </w:p>
        </w:tc>
        <w:tc>
          <w:tcPr>
            <w:tcW w:w="1843" w:type="dxa"/>
            <w:shd w:val="clear" w:color="auto" w:fill="B8CCE4"/>
            <w:vAlign w:val="center"/>
          </w:tcPr>
          <w:p w14:paraId="5131F9F0" w14:textId="77777777" w:rsidR="00187CC8" w:rsidRPr="00D70D7B" w:rsidRDefault="00187CC8" w:rsidP="00187CC8">
            <w:pPr>
              <w:jc w:val="center"/>
              <w:rPr>
                <w:color w:val="000000" w:themeColor="text1"/>
                <w:szCs w:val="22"/>
              </w:rPr>
            </w:pPr>
            <w:r w:rsidRPr="00D70D7B">
              <w:rPr>
                <w:color w:val="000000" w:themeColor="text1"/>
                <w:szCs w:val="22"/>
              </w:rPr>
              <w:t>0,78 % (2018)</w:t>
            </w:r>
          </w:p>
        </w:tc>
      </w:tr>
      <w:tr w:rsidR="00D70D7B" w:rsidRPr="00D70D7B" w14:paraId="35CF2756" w14:textId="77777777" w:rsidTr="00187CC8">
        <w:trPr>
          <w:trHeight w:val="100"/>
        </w:trPr>
        <w:tc>
          <w:tcPr>
            <w:tcW w:w="1790" w:type="dxa"/>
            <w:vMerge w:val="restart"/>
            <w:tcBorders>
              <w:top w:val="single" w:sz="4" w:space="0" w:color="000000"/>
              <w:left w:val="single" w:sz="4" w:space="0" w:color="000000"/>
              <w:right w:val="single" w:sz="4" w:space="0" w:color="000000"/>
            </w:tcBorders>
            <w:shd w:val="clear" w:color="auto" w:fill="auto"/>
            <w:vAlign w:val="center"/>
          </w:tcPr>
          <w:p w14:paraId="28A777C8" w14:textId="77777777" w:rsidR="00187CC8" w:rsidRPr="00D70D7B" w:rsidRDefault="00187CC8" w:rsidP="00187CC8">
            <w:pPr>
              <w:jc w:val="center"/>
              <w:rPr>
                <w:color w:val="000000" w:themeColor="text1"/>
                <w:szCs w:val="22"/>
              </w:rPr>
            </w:pPr>
            <w:r w:rsidRPr="00D70D7B">
              <w:rPr>
                <w:color w:val="000000" w:themeColor="text1"/>
                <w:szCs w:val="22"/>
              </w:rPr>
              <w:t>5. Klimaticko-energetická politika</w:t>
            </w:r>
          </w:p>
          <w:p w14:paraId="3BAB0E18" w14:textId="77777777" w:rsidR="00187CC8" w:rsidRPr="00D70D7B" w:rsidRDefault="00187CC8" w:rsidP="00187CC8">
            <w:pPr>
              <w:jc w:val="center"/>
              <w:rPr>
                <w:color w:val="000000" w:themeColor="text1"/>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891C7" w14:textId="77777777" w:rsidR="00187CC8" w:rsidRPr="00D70D7B" w:rsidRDefault="00187CC8" w:rsidP="00187CC8">
            <w:pPr>
              <w:jc w:val="center"/>
              <w:rPr>
                <w:color w:val="000000" w:themeColor="text1"/>
                <w:szCs w:val="22"/>
              </w:rPr>
            </w:pPr>
            <w:r w:rsidRPr="00D70D7B">
              <w:rPr>
                <w:color w:val="000000" w:themeColor="text1"/>
                <w:szCs w:val="22"/>
              </w:rPr>
              <w:t>Snížení emisí skleníkových plynů - maximální přípustný nárůst emisí mimo systém EU ETS 9 %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37B6" w14:textId="77777777" w:rsidR="00187CC8" w:rsidRPr="00D70D7B" w:rsidRDefault="00187CC8" w:rsidP="00187CC8">
            <w:pPr>
              <w:jc w:val="center"/>
              <w:rPr>
                <w:color w:val="000000" w:themeColor="text1"/>
                <w:szCs w:val="22"/>
              </w:rPr>
            </w:pPr>
            <w:r w:rsidRPr="00D70D7B">
              <w:rPr>
                <w:color w:val="000000" w:themeColor="text1"/>
                <w:szCs w:val="22"/>
              </w:rPr>
              <w:t>0,0 % (2005)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38B4" w14:textId="4C65F707" w:rsidR="00187CC8" w:rsidRPr="00D70D7B" w:rsidRDefault="00D913BB" w:rsidP="00187CC8">
            <w:pPr>
              <w:jc w:val="center"/>
              <w:rPr>
                <w:color w:val="000000" w:themeColor="text1"/>
                <w:szCs w:val="22"/>
              </w:rPr>
            </w:pPr>
            <w:r w:rsidRPr="00D70D7B">
              <w:rPr>
                <w:color w:val="000000" w:themeColor="text1"/>
                <w:szCs w:val="22"/>
              </w:rPr>
              <w:t>+3,6 % (2018</w:t>
            </w:r>
            <w:r w:rsidR="00187CC8" w:rsidRPr="00D70D7B">
              <w:rPr>
                <w:color w:val="000000" w:themeColor="text1"/>
                <w:szCs w:val="22"/>
              </w:rPr>
              <w:t>)</w:t>
            </w:r>
            <w:r w:rsidR="00995C82" w:rsidRPr="00D70D7B">
              <w:rPr>
                <w:rStyle w:val="Znakapoznpodarou"/>
                <w:color w:val="000000" w:themeColor="text1"/>
                <w:szCs w:val="22"/>
              </w:rPr>
              <w:footnoteReference w:id="8"/>
            </w:r>
          </w:p>
        </w:tc>
      </w:tr>
      <w:tr w:rsidR="00D70D7B" w:rsidRPr="00D70D7B" w14:paraId="35F0E45A" w14:textId="77777777" w:rsidTr="00187CC8">
        <w:trPr>
          <w:trHeight w:val="100"/>
        </w:trPr>
        <w:tc>
          <w:tcPr>
            <w:tcW w:w="1790" w:type="dxa"/>
            <w:vMerge/>
            <w:tcBorders>
              <w:top w:val="single" w:sz="4" w:space="0" w:color="000000"/>
              <w:left w:val="single" w:sz="4" w:space="0" w:color="000000"/>
              <w:right w:val="single" w:sz="4" w:space="0" w:color="000000"/>
            </w:tcBorders>
            <w:shd w:val="clear" w:color="auto" w:fill="auto"/>
            <w:vAlign w:val="center"/>
          </w:tcPr>
          <w:p w14:paraId="39A108D9" w14:textId="77777777" w:rsidR="00C743B6" w:rsidRPr="00D70D7B" w:rsidRDefault="00C743B6" w:rsidP="00187CC8">
            <w:pPr>
              <w:jc w:val="center"/>
              <w:rPr>
                <w:color w:val="000000" w:themeColor="text1"/>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D3848" w14:textId="77777777" w:rsidR="00C743B6" w:rsidRPr="00D70D7B" w:rsidRDefault="00C743B6" w:rsidP="00187CC8">
            <w:pPr>
              <w:jc w:val="center"/>
              <w:rPr>
                <w:color w:val="000000" w:themeColor="text1"/>
                <w:szCs w:val="22"/>
              </w:rPr>
            </w:pPr>
            <w:r w:rsidRPr="00D70D7B">
              <w:rPr>
                <w:color w:val="000000" w:themeColor="text1"/>
                <w:szCs w:val="22"/>
              </w:rPr>
              <w:t>Zvýšení podílu OZE na hrubé konečné spotřebě energie (13 %) a podíl obnovitelných zdrojů v dopravě (10 %)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1EFC" w14:textId="77777777" w:rsidR="00C743B6" w:rsidRPr="00D70D7B" w:rsidRDefault="00C743B6" w:rsidP="00187CC8">
            <w:pPr>
              <w:jc w:val="center"/>
              <w:rPr>
                <w:color w:val="000000" w:themeColor="text1"/>
                <w:szCs w:val="22"/>
              </w:rPr>
            </w:pPr>
            <w:r w:rsidRPr="00D70D7B">
              <w:rPr>
                <w:color w:val="000000" w:themeColor="text1"/>
                <w:szCs w:val="22"/>
              </w:rPr>
              <w:t>6 % (2005)</w:t>
            </w:r>
          </w:p>
          <w:p w14:paraId="7B429B0F" w14:textId="77777777" w:rsidR="00C743B6" w:rsidRPr="00D70D7B" w:rsidRDefault="00C743B6" w:rsidP="00187CC8">
            <w:pPr>
              <w:jc w:val="center"/>
              <w:rPr>
                <w:color w:val="000000" w:themeColor="text1"/>
                <w:szCs w:val="22"/>
              </w:rPr>
            </w:pPr>
            <w:r w:rsidRPr="00D70D7B">
              <w:rPr>
                <w:color w:val="000000" w:themeColor="text1"/>
                <w:szCs w:val="22"/>
              </w:rPr>
              <w:t>a 0,5 % (2005)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95C5" w14:textId="63B5B6C7" w:rsidR="00C743B6" w:rsidRPr="00D70D7B" w:rsidRDefault="00781717" w:rsidP="00187CC8">
            <w:pPr>
              <w:jc w:val="center"/>
              <w:rPr>
                <w:color w:val="000000" w:themeColor="text1"/>
                <w:szCs w:val="22"/>
              </w:rPr>
            </w:pPr>
            <w:r w:rsidRPr="00D70D7B">
              <w:rPr>
                <w:color w:val="000000" w:themeColor="text1"/>
                <w:szCs w:val="22"/>
              </w:rPr>
              <w:t>15,15 % (2018</w:t>
            </w:r>
            <w:r w:rsidR="00C743B6" w:rsidRPr="00D70D7B">
              <w:rPr>
                <w:color w:val="000000" w:themeColor="text1"/>
                <w:szCs w:val="22"/>
              </w:rPr>
              <w:t>)</w:t>
            </w:r>
          </w:p>
          <w:p w14:paraId="4CD58234" w14:textId="7EB521A5" w:rsidR="00C743B6" w:rsidRPr="00D70D7B" w:rsidRDefault="00FE0DC5" w:rsidP="00187CC8">
            <w:pPr>
              <w:jc w:val="center"/>
              <w:rPr>
                <w:color w:val="000000" w:themeColor="text1"/>
                <w:szCs w:val="22"/>
              </w:rPr>
            </w:pPr>
            <w:r w:rsidRPr="00D70D7B">
              <w:rPr>
                <w:color w:val="000000" w:themeColor="text1"/>
                <w:szCs w:val="22"/>
              </w:rPr>
              <w:t>a 6,52 % (2018</w:t>
            </w:r>
            <w:r w:rsidR="00C743B6" w:rsidRPr="00D70D7B">
              <w:rPr>
                <w:color w:val="000000" w:themeColor="text1"/>
                <w:szCs w:val="22"/>
              </w:rPr>
              <w:t>)</w:t>
            </w:r>
          </w:p>
        </w:tc>
      </w:tr>
      <w:tr w:rsidR="00D70D7B" w:rsidRPr="00D70D7B" w14:paraId="6F8C0417" w14:textId="77777777" w:rsidTr="00187CC8">
        <w:trPr>
          <w:trHeight w:val="100"/>
        </w:trPr>
        <w:tc>
          <w:tcPr>
            <w:tcW w:w="1790" w:type="dxa"/>
            <w:vMerge/>
            <w:tcBorders>
              <w:top w:val="single" w:sz="4" w:space="0" w:color="000000"/>
              <w:left w:val="single" w:sz="4" w:space="0" w:color="000000"/>
              <w:right w:val="single" w:sz="4" w:space="0" w:color="000000"/>
            </w:tcBorders>
            <w:shd w:val="clear" w:color="auto" w:fill="auto"/>
            <w:vAlign w:val="center"/>
          </w:tcPr>
          <w:p w14:paraId="757513E7" w14:textId="77777777" w:rsidR="00C743B6" w:rsidRPr="00D70D7B" w:rsidRDefault="00C743B6" w:rsidP="00187CC8">
            <w:pPr>
              <w:jc w:val="center"/>
              <w:rPr>
                <w:color w:val="000000" w:themeColor="text1"/>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8280" w14:textId="77777777" w:rsidR="00C743B6" w:rsidRPr="00D70D7B" w:rsidRDefault="00C743B6" w:rsidP="00187CC8">
            <w:pPr>
              <w:jc w:val="center"/>
              <w:rPr>
                <w:color w:val="000000" w:themeColor="text1"/>
                <w:szCs w:val="22"/>
              </w:rPr>
            </w:pPr>
            <w:r w:rsidRPr="00D70D7B">
              <w:rPr>
                <w:color w:val="000000" w:themeColor="text1"/>
                <w:szCs w:val="22"/>
              </w:rPr>
              <w:t xml:space="preserve">Zvyšování energetické účinnosti - vnitrostátní cíl energetické účinnosti, tzn. </w:t>
            </w:r>
            <w:r w:rsidRPr="00D70D7B">
              <w:rPr>
                <w:color w:val="000000" w:themeColor="text1"/>
                <w:szCs w:val="22"/>
              </w:rPr>
              <w:lastRenderedPageBreak/>
              <w:t>snížení konečné spotřeby energie na maximálně 25,3 mil. tun ropného ekvivalentu do roku 2020.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02C75" w14:textId="77777777" w:rsidR="00C743B6" w:rsidRPr="00D70D7B" w:rsidRDefault="00C743B6" w:rsidP="00187CC8">
            <w:pPr>
              <w:jc w:val="center"/>
              <w:rPr>
                <w:color w:val="000000" w:themeColor="text1"/>
                <w:szCs w:val="22"/>
              </w:rPr>
            </w:pPr>
            <w:r w:rsidRPr="00D70D7B">
              <w:rPr>
                <w:color w:val="000000" w:themeColor="text1"/>
                <w:szCs w:val="22"/>
              </w:rPr>
              <w:lastRenderedPageBreak/>
              <w:t>-</w:t>
            </w:r>
          </w:p>
          <w:p w14:paraId="41967B0A" w14:textId="77777777" w:rsidR="00C743B6" w:rsidRPr="00D70D7B" w:rsidRDefault="00C743B6" w:rsidP="00187CC8">
            <w:pPr>
              <w:spacing w:line="240" w:lineRule="auto"/>
              <w:jc w:val="center"/>
              <w:rPr>
                <w:color w:val="000000" w:themeColor="text1"/>
                <w:szCs w:val="22"/>
              </w:rPr>
            </w:pPr>
            <w:r w:rsidRPr="00D70D7B">
              <w:rPr>
                <w:color w:val="000000" w:themeColor="text1"/>
                <w:szCs w:val="22"/>
              </w:rPr>
              <w:lastRenderedPageBreak/>
              <w:t>(2014)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B161C" w14:textId="5DA526DF" w:rsidR="00C743B6" w:rsidRPr="00D70D7B" w:rsidRDefault="007B35D3" w:rsidP="00187CC8">
            <w:pPr>
              <w:spacing w:line="240" w:lineRule="auto"/>
              <w:jc w:val="center"/>
              <w:rPr>
                <w:color w:val="000000" w:themeColor="text1"/>
                <w:szCs w:val="22"/>
              </w:rPr>
            </w:pPr>
            <w:r w:rsidRPr="00D70D7B">
              <w:rPr>
                <w:color w:val="000000" w:themeColor="text1"/>
                <w:szCs w:val="22"/>
              </w:rPr>
              <w:lastRenderedPageBreak/>
              <w:t>25,32</w:t>
            </w:r>
            <w:r w:rsidR="00C743B6" w:rsidRPr="00D70D7B">
              <w:rPr>
                <w:color w:val="000000" w:themeColor="text1"/>
                <w:szCs w:val="22"/>
              </w:rPr>
              <w:t xml:space="preserve"> </w:t>
            </w:r>
            <w:proofErr w:type="spellStart"/>
            <w:r w:rsidR="00C743B6" w:rsidRPr="00D70D7B">
              <w:rPr>
                <w:color w:val="000000" w:themeColor="text1"/>
                <w:szCs w:val="22"/>
              </w:rPr>
              <w:t>Mtoe</w:t>
            </w:r>
            <w:proofErr w:type="spellEnd"/>
            <w:r w:rsidRPr="00D70D7B">
              <w:rPr>
                <w:color w:val="000000" w:themeColor="text1"/>
                <w:szCs w:val="22"/>
              </w:rPr>
              <w:t xml:space="preserve"> (2018</w:t>
            </w:r>
            <w:r w:rsidR="00C743B6" w:rsidRPr="00D70D7B">
              <w:rPr>
                <w:color w:val="000000" w:themeColor="text1"/>
                <w:szCs w:val="22"/>
              </w:rPr>
              <w:t>)</w:t>
            </w:r>
          </w:p>
        </w:tc>
      </w:tr>
    </w:tbl>
    <w:p w14:paraId="58BBABDD" w14:textId="7A253C21" w:rsidR="00F6536C" w:rsidRPr="00D70D7B" w:rsidRDefault="00F6536C" w:rsidP="00F3470A">
      <w:pPr>
        <w:pStyle w:val="Styl2"/>
        <w:rPr>
          <w:color w:val="000000" w:themeColor="text1"/>
          <w:sz w:val="22"/>
          <w:szCs w:val="22"/>
        </w:rPr>
      </w:pPr>
      <w:bookmarkStart w:id="13" w:name="h.26in1rg" w:colFirst="0" w:colLast="0"/>
      <w:bookmarkStart w:id="14" w:name="_Toc444261899"/>
      <w:bookmarkStart w:id="15" w:name="_Toc448138043"/>
      <w:bookmarkEnd w:id="13"/>
    </w:p>
    <w:p w14:paraId="32BD2E34" w14:textId="77777777" w:rsidR="0089587F" w:rsidRPr="00D70D7B" w:rsidRDefault="00EB3F90">
      <w:pPr>
        <w:pStyle w:val="Nadpis2"/>
        <w:rPr>
          <w:color w:val="000000" w:themeColor="text1"/>
          <w:sz w:val="22"/>
          <w:szCs w:val="22"/>
          <w:lang w:val="cs-CZ"/>
        </w:rPr>
      </w:pPr>
      <w:bookmarkStart w:id="16" w:name="_Toc34309625"/>
      <w:bookmarkStart w:id="17" w:name="_Toc34768171"/>
      <w:r w:rsidRPr="00D70D7B">
        <w:rPr>
          <w:color w:val="000000" w:themeColor="text1"/>
          <w:sz w:val="22"/>
          <w:szCs w:val="22"/>
          <w:lang w:val="cs-CZ"/>
        </w:rPr>
        <w:t>4.5 Klimaticko-energetická politika</w:t>
      </w:r>
      <w:bookmarkEnd w:id="14"/>
      <w:bookmarkEnd w:id="15"/>
      <w:bookmarkEnd w:id="16"/>
      <w:bookmarkEnd w:id="17"/>
      <w:r w:rsidRPr="00D70D7B">
        <w:rPr>
          <w:color w:val="000000" w:themeColor="text1"/>
          <w:sz w:val="22"/>
          <w:szCs w:val="22"/>
          <w:highlight w:val="yellow"/>
          <w:lang w:val="cs-CZ"/>
        </w:rPr>
        <w:t xml:space="preserve"> </w:t>
      </w:r>
    </w:p>
    <w:p w14:paraId="1EA25078" w14:textId="5F836AC7" w:rsidR="00F6536C" w:rsidRPr="00D70D7B" w:rsidRDefault="00F6536C" w:rsidP="00F6536C">
      <w:pPr>
        <w:rPr>
          <w:color w:val="000000" w:themeColor="text1"/>
          <w:szCs w:val="22"/>
          <w:lang w:eastAsia="x-none"/>
        </w:rPr>
      </w:pPr>
      <w:r w:rsidRPr="00D70D7B">
        <w:rPr>
          <w:color w:val="000000" w:themeColor="text1"/>
          <w:szCs w:val="22"/>
          <w:lang w:eastAsia="x-none"/>
        </w:rPr>
        <w:t>I přes určité navýšení emisí v sektorech, které nespadají do systému EU ETS (</w:t>
      </w:r>
      <w:r w:rsidR="00995C82" w:rsidRPr="00D70D7B">
        <w:rPr>
          <w:color w:val="000000" w:themeColor="text1"/>
          <w:szCs w:val="22"/>
          <w:lang w:eastAsia="x-none"/>
        </w:rPr>
        <w:t xml:space="preserve">předběžné výsledky </w:t>
      </w:r>
      <w:r w:rsidRPr="00D70D7B">
        <w:rPr>
          <w:color w:val="000000" w:themeColor="text1"/>
          <w:szCs w:val="22"/>
          <w:lang w:eastAsia="x-none"/>
        </w:rPr>
        <w:t>k</w:t>
      </w:r>
      <w:r w:rsidR="00995C82" w:rsidRPr="00D70D7B">
        <w:rPr>
          <w:color w:val="000000" w:themeColor="text1"/>
          <w:szCs w:val="22"/>
          <w:lang w:eastAsia="x-none"/>
        </w:rPr>
        <w:t> </w:t>
      </w:r>
      <w:r w:rsidRPr="00D70D7B">
        <w:rPr>
          <w:color w:val="000000" w:themeColor="text1"/>
          <w:szCs w:val="22"/>
          <w:lang w:eastAsia="x-none"/>
        </w:rPr>
        <w:t xml:space="preserve">roku 2018: + 3,6 %), by měla ČR bez problémů splnit cíl maximálního nárůstu těchto emisí o 9 % mezi roky 2005 a 2020. Ve srovnání s ostatními členskými státy EU se však ČR v růstu emisí mimo systém EU ETS oproti roku 2005 v roce 2018 umístila na 7. místě.  </w:t>
      </w:r>
    </w:p>
    <w:p w14:paraId="15202DAE" w14:textId="60B5B8FE" w:rsidR="00023EBB" w:rsidRPr="00D70D7B" w:rsidRDefault="00023EBB" w:rsidP="00023EBB">
      <w:pPr>
        <w:rPr>
          <w:color w:val="000000" w:themeColor="text1"/>
          <w:szCs w:val="22"/>
        </w:rPr>
      </w:pPr>
      <w:r w:rsidRPr="00D70D7B">
        <w:rPr>
          <w:color w:val="000000" w:themeColor="text1"/>
          <w:szCs w:val="22"/>
        </w:rPr>
        <w:t>Nařízení Evropského parlamentu a Rady (EU) 2018/842 o závazném každoročním snižování emisí skleníkových plynů členskými státy v období 2021</w:t>
      </w:r>
      <w:r w:rsidR="00202371" w:rsidRPr="00D70D7B">
        <w:rPr>
          <w:color w:val="000000" w:themeColor="text1"/>
          <w:szCs w:val="22"/>
        </w:rPr>
        <w:t xml:space="preserve"> </w:t>
      </w:r>
      <w:r w:rsidRPr="00D70D7B">
        <w:rPr>
          <w:color w:val="000000" w:themeColor="text1"/>
          <w:szCs w:val="22"/>
        </w:rPr>
        <w:t>-</w:t>
      </w:r>
      <w:r w:rsidR="00202371" w:rsidRPr="00D70D7B">
        <w:rPr>
          <w:color w:val="000000" w:themeColor="text1"/>
          <w:szCs w:val="22"/>
        </w:rPr>
        <w:t xml:space="preserve"> 2030</w:t>
      </w:r>
      <w:r w:rsidRPr="00D70D7B">
        <w:rPr>
          <w:color w:val="000000" w:themeColor="text1"/>
          <w:szCs w:val="22"/>
        </w:rPr>
        <w:t xml:space="preserve"> stanovuje pro ČR cíl snížení emisí skleníkových plynů, které nespadají do systému EU ETS, o 14 % mezi roky 2005 a 2030. Podle aktuálních emisních projekcí by i cíl do roku 2030 měl být splnitelný při efektivní implementaci ji</w:t>
      </w:r>
      <w:r w:rsidR="00143E89" w:rsidRPr="00D70D7B">
        <w:rPr>
          <w:color w:val="000000" w:themeColor="text1"/>
          <w:szCs w:val="22"/>
        </w:rPr>
        <w:t xml:space="preserve">ž přijatých politik a opatření. </w:t>
      </w:r>
      <w:r w:rsidRPr="00D70D7B">
        <w:rPr>
          <w:color w:val="000000" w:themeColor="text1"/>
          <w:szCs w:val="22"/>
        </w:rPr>
        <w:t xml:space="preserve">Pro EU ETS platí </w:t>
      </w:r>
      <w:proofErr w:type="spellStart"/>
      <w:r w:rsidRPr="00D70D7B">
        <w:rPr>
          <w:color w:val="000000" w:themeColor="text1"/>
          <w:szCs w:val="22"/>
        </w:rPr>
        <w:t>celounijní</w:t>
      </w:r>
      <w:proofErr w:type="spellEnd"/>
      <w:r w:rsidRPr="00D70D7B">
        <w:rPr>
          <w:color w:val="000000" w:themeColor="text1"/>
          <w:szCs w:val="22"/>
        </w:rPr>
        <w:t xml:space="preserve"> cíl snížení emisí o 21 % do roku 2020 a o 43 % do roku 2030 oproti referenčnímu roku 2005. Mezi roky 2017 a 2018 do</w:t>
      </w:r>
      <w:r w:rsidR="00202371" w:rsidRPr="00D70D7B">
        <w:rPr>
          <w:color w:val="000000" w:themeColor="text1"/>
          <w:szCs w:val="22"/>
        </w:rPr>
        <w:t>šlo ke snížení emisí zařízení v </w:t>
      </w:r>
      <w:r w:rsidRPr="00D70D7B">
        <w:rPr>
          <w:color w:val="000000" w:themeColor="text1"/>
          <w:szCs w:val="22"/>
        </w:rPr>
        <w:t>EU ETS o 62 tis. t CO</w:t>
      </w:r>
      <w:r w:rsidRPr="00D70D7B">
        <w:rPr>
          <w:color w:val="000000" w:themeColor="text1"/>
          <w:szCs w:val="22"/>
          <w:vertAlign w:val="subscript"/>
        </w:rPr>
        <w:t>2</w:t>
      </w:r>
      <w:r w:rsidRPr="00D70D7B">
        <w:rPr>
          <w:color w:val="000000" w:themeColor="text1"/>
          <w:szCs w:val="22"/>
        </w:rPr>
        <w:t>ekv. V období 2005</w:t>
      </w:r>
      <w:r w:rsidR="00202371" w:rsidRPr="00D70D7B">
        <w:rPr>
          <w:color w:val="000000" w:themeColor="text1"/>
          <w:szCs w:val="22"/>
        </w:rPr>
        <w:t xml:space="preserve"> - </w:t>
      </w:r>
      <w:r w:rsidRPr="00D70D7B">
        <w:rPr>
          <w:color w:val="000000" w:themeColor="text1"/>
          <w:szCs w:val="22"/>
        </w:rPr>
        <w:t>2018 emise zařízení v EU ETS poklesly o 18,8 %.</w:t>
      </w:r>
    </w:p>
    <w:p w14:paraId="0E852D7A" w14:textId="6B615DBD" w:rsidR="00023EBB" w:rsidRPr="00D70D7B" w:rsidRDefault="00023EBB" w:rsidP="00023EBB">
      <w:pPr>
        <w:rPr>
          <w:bCs/>
          <w:color w:val="000000" w:themeColor="text1"/>
          <w:szCs w:val="22"/>
        </w:rPr>
      </w:pPr>
      <w:r w:rsidRPr="00D70D7B">
        <w:rPr>
          <w:bCs/>
          <w:color w:val="000000" w:themeColor="text1"/>
          <w:szCs w:val="22"/>
        </w:rPr>
        <w:t xml:space="preserve">V prosinci 2019 předložila </w:t>
      </w:r>
      <w:r w:rsidR="008519B8" w:rsidRPr="00D70D7B">
        <w:rPr>
          <w:bCs/>
          <w:color w:val="000000" w:themeColor="text1"/>
          <w:szCs w:val="22"/>
        </w:rPr>
        <w:t>ČR</w:t>
      </w:r>
      <w:r w:rsidRPr="00D70D7B">
        <w:rPr>
          <w:bCs/>
          <w:color w:val="000000" w:themeColor="text1"/>
          <w:szCs w:val="22"/>
        </w:rPr>
        <w:t xml:space="preserve"> </w:t>
      </w:r>
      <w:r w:rsidR="008519B8" w:rsidRPr="00D70D7B">
        <w:rPr>
          <w:bCs/>
          <w:color w:val="000000" w:themeColor="text1"/>
          <w:szCs w:val="22"/>
        </w:rPr>
        <w:t>EK</w:t>
      </w:r>
      <w:r w:rsidRPr="00D70D7B">
        <w:rPr>
          <w:bCs/>
          <w:color w:val="000000" w:themeColor="text1"/>
          <w:szCs w:val="22"/>
        </w:rPr>
        <w:t xml:space="preserve"> finální verzi Vnitrostátního plánu započítávání pro lesnictví, včetně navrhované referenční úrovně pro lesy na období 2021 </w:t>
      </w:r>
      <w:r w:rsidR="000247C8" w:rsidRPr="00D70D7B">
        <w:rPr>
          <w:bCs/>
          <w:color w:val="000000" w:themeColor="text1"/>
          <w:szCs w:val="22"/>
        </w:rPr>
        <w:t>-</w:t>
      </w:r>
      <w:r w:rsidRPr="00D70D7B">
        <w:rPr>
          <w:bCs/>
          <w:color w:val="000000" w:themeColor="text1"/>
          <w:szCs w:val="22"/>
        </w:rPr>
        <w:t xml:space="preserve"> 2025. V souladu s aktuálním vývojem kůrovcové kalamity v ČR se jeví jako pravděpodobné, že ČR bude mít problémy s plněním cíle čistých nulových emisí z odvětví LULUCF, který byl stanoven </w:t>
      </w:r>
      <w:r w:rsidRPr="00D70D7B">
        <w:rPr>
          <w:color w:val="000000" w:themeColor="text1"/>
          <w:szCs w:val="22"/>
        </w:rPr>
        <w:t xml:space="preserve">nařízením Evropského parlamentu a Rady (EU) 2018/841 </w:t>
      </w:r>
      <w:r w:rsidRPr="00D70D7B">
        <w:rPr>
          <w:bCs/>
          <w:color w:val="000000" w:themeColor="text1"/>
          <w:szCs w:val="22"/>
        </w:rPr>
        <w:t>o zahrnutí emisí skleníkových plynů a jejich pohlcování v d</w:t>
      </w:r>
      <w:r w:rsidR="000247C8" w:rsidRPr="00D70D7B">
        <w:rPr>
          <w:bCs/>
          <w:color w:val="000000" w:themeColor="text1"/>
          <w:szCs w:val="22"/>
        </w:rPr>
        <w:t>ůsledku využívání půdy, změn ve </w:t>
      </w:r>
      <w:r w:rsidRPr="00D70D7B">
        <w:rPr>
          <w:bCs/>
          <w:color w:val="000000" w:themeColor="text1"/>
          <w:szCs w:val="22"/>
        </w:rPr>
        <w:t>využívání půdy a lesnictví (LULUCF) do rámce politiky v oblasti klimatu a energetiky do roku 2030.</w:t>
      </w:r>
    </w:p>
    <w:p w14:paraId="262E5CD1" w14:textId="31FF63B2" w:rsidR="00023EBB" w:rsidRPr="00D70D7B" w:rsidRDefault="00023EBB" w:rsidP="00023EBB">
      <w:pPr>
        <w:rPr>
          <w:color w:val="000000" w:themeColor="text1"/>
          <w:szCs w:val="22"/>
          <w:lang w:eastAsia="x-none"/>
        </w:rPr>
      </w:pPr>
      <w:r w:rsidRPr="00D70D7B">
        <w:rPr>
          <w:color w:val="000000" w:themeColor="text1"/>
          <w:szCs w:val="22"/>
        </w:rPr>
        <w:t xml:space="preserve">V průběhu roku 2019 byl MPO ve spolupráci s MŽP v návaznosti na doporučení </w:t>
      </w:r>
      <w:r w:rsidR="000247C8" w:rsidRPr="00D70D7B">
        <w:rPr>
          <w:color w:val="000000" w:themeColor="text1"/>
          <w:szCs w:val="22"/>
        </w:rPr>
        <w:t>EK</w:t>
      </w:r>
      <w:r w:rsidRPr="00D70D7B">
        <w:rPr>
          <w:color w:val="000000" w:themeColor="text1"/>
          <w:szCs w:val="22"/>
        </w:rPr>
        <w:t xml:space="preserve"> dopracován Vnitrostátní plán v oblasti energetiky a klimatu (Plán) v souladu s Nařízením Evropského </w:t>
      </w:r>
      <w:r w:rsidR="000247C8" w:rsidRPr="00D70D7B">
        <w:rPr>
          <w:color w:val="000000" w:themeColor="text1"/>
          <w:szCs w:val="22"/>
        </w:rPr>
        <w:t>parlamentu a </w:t>
      </w:r>
      <w:r w:rsidRPr="00D70D7B">
        <w:rPr>
          <w:color w:val="000000" w:themeColor="text1"/>
          <w:szCs w:val="22"/>
        </w:rPr>
        <w:t xml:space="preserve">Rady (EU) 2018/1999 o správě energetické unie.  V návaznosti na schválení vládou byla finální verze Plánu předložena Evropské komisi dne 13. </w:t>
      </w:r>
      <w:r w:rsidR="000247C8" w:rsidRPr="00D70D7B">
        <w:rPr>
          <w:color w:val="000000" w:themeColor="text1"/>
          <w:szCs w:val="22"/>
        </w:rPr>
        <w:t>1.</w:t>
      </w:r>
      <w:r w:rsidRPr="00D70D7B">
        <w:rPr>
          <w:color w:val="000000" w:themeColor="text1"/>
          <w:szCs w:val="22"/>
        </w:rPr>
        <w:t xml:space="preserve"> 2020.</w:t>
      </w:r>
    </w:p>
    <w:p w14:paraId="5BAB79F1" w14:textId="77777777" w:rsidR="00F6536C" w:rsidRPr="00D70D7B" w:rsidRDefault="00F6536C" w:rsidP="00F6536C">
      <w:pPr>
        <w:rPr>
          <w:color w:val="000000" w:themeColor="text1"/>
          <w:szCs w:val="22"/>
        </w:rPr>
      </w:pPr>
      <w:r w:rsidRPr="00D70D7B">
        <w:rPr>
          <w:noProof/>
          <w:color w:val="000000" w:themeColor="text1"/>
          <w:szCs w:val="22"/>
        </w:rPr>
        <w:lastRenderedPageBreak/>
        <w:drawing>
          <wp:inline distT="0" distB="0" distL="0" distR="0" wp14:anchorId="2A6454E9" wp14:editId="661A2591">
            <wp:extent cx="5598795" cy="3723640"/>
            <wp:effectExtent l="0" t="0" r="1905" b="0"/>
            <wp:docPr id="17" name="Graf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71FF58" w14:textId="75A7AE06" w:rsidR="00F6536C" w:rsidRPr="00D70D7B" w:rsidRDefault="00F6536C" w:rsidP="00F6536C">
      <w:pPr>
        <w:pStyle w:val="Bezmezer"/>
        <w:spacing w:before="120" w:after="240" w:line="276" w:lineRule="auto"/>
        <w:rPr>
          <w:color w:val="000000" w:themeColor="text1"/>
          <w:sz w:val="22"/>
          <w:szCs w:val="22"/>
        </w:rPr>
      </w:pPr>
      <w:r w:rsidRPr="00D70D7B">
        <w:rPr>
          <w:color w:val="000000" w:themeColor="text1"/>
          <w:sz w:val="22"/>
          <w:szCs w:val="22"/>
        </w:rPr>
        <w:t>Zdroj: Eurostat</w:t>
      </w:r>
      <w:r w:rsidR="0085120E" w:rsidRPr="00D70D7B">
        <w:rPr>
          <w:color w:val="000000" w:themeColor="text1"/>
          <w:sz w:val="22"/>
          <w:szCs w:val="22"/>
        </w:rPr>
        <w:t>. Údaj</w:t>
      </w:r>
      <w:r w:rsidR="00995C82" w:rsidRPr="00D70D7B">
        <w:rPr>
          <w:color w:val="000000" w:themeColor="text1"/>
          <w:sz w:val="22"/>
          <w:szCs w:val="22"/>
        </w:rPr>
        <w:t xml:space="preserve"> k roku 2018 je jen předběžn</w:t>
      </w:r>
      <w:r w:rsidR="0085120E" w:rsidRPr="00D70D7B">
        <w:rPr>
          <w:color w:val="000000" w:themeColor="text1"/>
          <w:sz w:val="22"/>
          <w:szCs w:val="22"/>
        </w:rPr>
        <w:t>ý</w:t>
      </w:r>
      <w:r w:rsidR="00995C82" w:rsidRPr="00D70D7B">
        <w:rPr>
          <w:color w:val="000000" w:themeColor="text1"/>
          <w:sz w:val="22"/>
          <w:szCs w:val="22"/>
        </w:rPr>
        <w:t>, výsledná hodnota bude pravděpodobně nižší.</w:t>
      </w:r>
    </w:p>
    <w:p w14:paraId="1C5DC948" w14:textId="77777777" w:rsidR="00F6536C" w:rsidRPr="00D70D7B" w:rsidRDefault="00F6536C" w:rsidP="00F6536C">
      <w:pPr>
        <w:rPr>
          <w:color w:val="000000" w:themeColor="text1"/>
          <w:szCs w:val="22"/>
          <w:lang w:eastAsia="x-none"/>
        </w:rPr>
      </w:pPr>
      <w:r w:rsidRPr="00D70D7B">
        <w:rPr>
          <w:color w:val="000000" w:themeColor="text1"/>
          <w:szCs w:val="22"/>
          <w:lang w:eastAsia="x-none"/>
        </w:rPr>
        <w:t xml:space="preserve">ČR rovněž od roku 2013 plní národní cíl stanovující podíl obnovitelných zdrojů energie (OZE) minimálně na 13 % hrubé konečné spotřeby energie. V roce 2018 se tento podíl zvýšil na 15,15 %. Mezi členskými zeměmi EU se jedná o 18. nejvyšší hodnotu. Co se týče cíle v podobě dosažení 10% podílu OZE na hrubé konečné spotřebě v dopravě, k jeho naplnění se v posledních letech ČR nepřiblížila. </w:t>
      </w:r>
    </w:p>
    <w:p w14:paraId="54FFA1BA" w14:textId="77777777" w:rsidR="00F6536C" w:rsidRPr="00D70D7B" w:rsidRDefault="00F6536C" w:rsidP="00F6536C">
      <w:pPr>
        <w:rPr>
          <w:color w:val="000000" w:themeColor="text1"/>
          <w:szCs w:val="22"/>
          <w:lang w:eastAsia="x-none"/>
        </w:rPr>
      </w:pPr>
      <w:r w:rsidRPr="00D70D7B">
        <w:rPr>
          <w:noProof/>
          <w:color w:val="000000" w:themeColor="text1"/>
          <w:szCs w:val="22"/>
        </w:rPr>
        <w:drawing>
          <wp:inline distT="0" distB="0" distL="0" distR="0" wp14:anchorId="14200AFD" wp14:editId="2C524130">
            <wp:extent cx="5685155" cy="3511550"/>
            <wp:effectExtent l="0" t="0" r="0" b="0"/>
            <wp:docPr id="16" name="Graf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EC3CDA" w14:textId="77777777" w:rsidR="00F6536C" w:rsidRPr="00D70D7B" w:rsidRDefault="00F6536C" w:rsidP="00F6536C">
      <w:pPr>
        <w:pStyle w:val="Bezmezer"/>
        <w:spacing w:before="120" w:after="240" w:line="276" w:lineRule="auto"/>
        <w:rPr>
          <w:color w:val="000000" w:themeColor="text1"/>
          <w:sz w:val="22"/>
          <w:szCs w:val="22"/>
        </w:rPr>
      </w:pPr>
      <w:r w:rsidRPr="00D70D7B">
        <w:rPr>
          <w:color w:val="000000" w:themeColor="text1"/>
          <w:sz w:val="22"/>
          <w:szCs w:val="22"/>
        </w:rPr>
        <w:t>Zdroj: Eurostat</w:t>
      </w:r>
    </w:p>
    <w:p w14:paraId="68671FE0" w14:textId="2DA07111" w:rsidR="008F4643" w:rsidRPr="00D70D7B" w:rsidRDefault="00F6536C" w:rsidP="00F6536C">
      <w:pPr>
        <w:rPr>
          <w:color w:val="000000" w:themeColor="text1"/>
          <w:szCs w:val="22"/>
          <w:lang w:eastAsia="x-none"/>
        </w:rPr>
      </w:pPr>
      <w:r w:rsidRPr="00D70D7B">
        <w:rPr>
          <w:color w:val="000000" w:themeColor="text1"/>
          <w:szCs w:val="22"/>
          <w:lang w:eastAsia="x-none"/>
        </w:rPr>
        <w:lastRenderedPageBreak/>
        <w:t xml:space="preserve">V letech 2009 </w:t>
      </w:r>
      <w:r w:rsidR="008F4643" w:rsidRPr="00D70D7B">
        <w:rPr>
          <w:color w:val="000000" w:themeColor="text1"/>
          <w:szCs w:val="22"/>
          <w:lang w:eastAsia="x-none"/>
        </w:rPr>
        <w:t>-</w:t>
      </w:r>
      <w:r w:rsidRPr="00D70D7B">
        <w:rPr>
          <w:color w:val="000000" w:themeColor="text1"/>
          <w:szCs w:val="22"/>
          <w:lang w:eastAsia="x-none"/>
        </w:rPr>
        <w:t xml:space="preserve"> 2016 byl plněn národní cíl na rok 2020 pro konečnou spotřebu energie ve výši 25,3 mil. tun ropného ekvivalentu. Po výkyvu v roce 2017 se v roce 2018 ČR opětovně těsně přiblížila k plnění tohoto cíle, když konečná spotřeba energie dosáhla 25,32 mil. tun ropného ekvivalentu. Dle tohoto ukazatele se ČR nachází přibližně uprostřed v pořadí mezi členskými státy EU.</w:t>
      </w:r>
      <w:r w:rsidR="008F4643" w:rsidRPr="00D70D7B">
        <w:rPr>
          <w:color w:val="000000" w:themeColor="text1"/>
          <w:szCs w:val="22"/>
          <w:lang w:eastAsia="x-none"/>
        </w:rPr>
        <w:t xml:space="preserve"> </w:t>
      </w:r>
    </w:p>
    <w:p w14:paraId="1AE760B2" w14:textId="6D33B17F" w:rsidR="00F6536C" w:rsidRPr="00D70D7B" w:rsidRDefault="00F6536C" w:rsidP="00F6536C">
      <w:pPr>
        <w:rPr>
          <w:color w:val="000000" w:themeColor="text1"/>
          <w:szCs w:val="22"/>
        </w:rPr>
      </w:pPr>
      <w:r w:rsidRPr="00D70D7B">
        <w:rPr>
          <w:noProof/>
          <w:color w:val="000000" w:themeColor="text1"/>
          <w:szCs w:val="22"/>
        </w:rPr>
        <w:drawing>
          <wp:inline distT="0" distB="0" distL="0" distR="0" wp14:anchorId="6A9B8788" wp14:editId="6BAB55FA">
            <wp:extent cx="5762625" cy="3752850"/>
            <wp:effectExtent l="0" t="0" r="0" b="0"/>
            <wp:docPr id="15" name="Graf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7A4516" w14:textId="38C1186B" w:rsidR="00B008AE" w:rsidRPr="00D70D7B" w:rsidRDefault="00F6536C" w:rsidP="00D7582F">
      <w:pPr>
        <w:pStyle w:val="Bezmezer"/>
        <w:spacing w:before="120" w:after="240" w:line="276" w:lineRule="auto"/>
        <w:rPr>
          <w:color w:val="000000" w:themeColor="text1"/>
          <w:sz w:val="22"/>
          <w:szCs w:val="22"/>
        </w:rPr>
      </w:pPr>
      <w:bookmarkStart w:id="18" w:name="_GoBack"/>
      <w:bookmarkEnd w:id="18"/>
      <w:r w:rsidRPr="00D70D7B">
        <w:rPr>
          <w:color w:val="000000" w:themeColor="text1"/>
          <w:sz w:val="22"/>
          <w:szCs w:val="22"/>
        </w:rPr>
        <w:t>Zdroj: Eurostat</w:t>
      </w:r>
      <w:r w:rsidR="00E35F9D" w:rsidRPr="00D70D7B">
        <w:rPr>
          <w:color w:val="000000" w:themeColor="text1"/>
          <w:sz w:val="22"/>
          <w:szCs w:val="22"/>
        </w:rPr>
        <w:br w:type="page"/>
      </w:r>
    </w:p>
    <w:p w14:paraId="7BB95327" w14:textId="16BCF816" w:rsidR="00B008AE" w:rsidRPr="00D70D7B" w:rsidRDefault="00B008AE" w:rsidP="00B008AE">
      <w:pPr>
        <w:pStyle w:val="Styl1"/>
        <w:numPr>
          <w:ilvl w:val="0"/>
          <w:numId w:val="0"/>
        </w:numPr>
        <w:rPr>
          <w:color w:val="000000" w:themeColor="text1"/>
          <w:sz w:val="22"/>
          <w:szCs w:val="22"/>
          <w:lang w:val="cs-CZ"/>
        </w:rPr>
      </w:pPr>
      <w:bookmarkStart w:id="19" w:name="_Toc34309626"/>
      <w:bookmarkStart w:id="20" w:name="_Toc34768172"/>
      <w:r w:rsidRPr="00D70D7B">
        <w:rPr>
          <w:color w:val="000000" w:themeColor="text1"/>
          <w:sz w:val="22"/>
          <w:szCs w:val="22"/>
          <w:lang w:val="cs-CZ"/>
        </w:rPr>
        <w:lastRenderedPageBreak/>
        <w:t xml:space="preserve">5. </w:t>
      </w:r>
      <w:r w:rsidR="001F1876" w:rsidRPr="00D70D7B">
        <w:rPr>
          <w:color w:val="000000" w:themeColor="text1"/>
          <w:sz w:val="22"/>
          <w:szCs w:val="22"/>
          <w:lang w:val="cs-CZ"/>
        </w:rPr>
        <w:t>Implementace C</w:t>
      </w:r>
      <w:r w:rsidRPr="00D70D7B">
        <w:rPr>
          <w:color w:val="000000" w:themeColor="text1"/>
          <w:sz w:val="22"/>
          <w:szCs w:val="22"/>
          <w:lang w:val="cs-CZ"/>
        </w:rPr>
        <w:t>ílů udržitelného rozvoje</w:t>
      </w:r>
      <w:bookmarkEnd w:id="19"/>
      <w:bookmarkEnd w:id="20"/>
    </w:p>
    <w:p w14:paraId="0FB7EA2B" w14:textId="7F883187" w:rsidR="0030397B" w:rsidRPr="00D70D7B" w:rsidRDefault="0030397B" w:rsidP="009A2FD5">
      <w:pPr>
        <w:spacing w:before="240"/>
        <w:rPr>
          <w:color w:val="000000" w:themeColor="text1"/>
          <w:szCs w:val="22"/>
        </w:rPr>
      </w:pPr>
      <w:r w:rsidRPr="00D70D7B">
        <w:rPr>
          <w:color w:val="000000" w:themeColor="text1"/>
          <w:szCs w:val="22"/>
        </w:rPr>
        <w:t>P</w:t>
      </w:r>
      <w:r w:rsidR="00995C82" w:rsidRPr="00D70D7B">
        <w:rPr>
          <w:color w:val="000000" w:themeColor="text1"/>
          <w:szCs w:val="22"/>
        </w:rPr>
        <w:t>racovní p</w:t>
      </w:r>
      <w:r w:rsidRPr="00D70D7B">
        <w:rPr>
          <w:color w:val="000000" w:themeColor="text1"/>
          <w:szCs w:val="22"/>
        </w:rPr>
        <w:t>ozn</w:t>
      </w:r>
      <w:r w:rsidR="00995C82" w:rsidRPr="00D70D7B">
        <w:rPr>
          <w:color w:val="000000" w:themeColor="text1"/>
          <w:szCs w:val="22"/>
        </w:rPr>
        <w:t>ámka</w:t>
      </w:r>
      <w:r w:rsidRPr="00D70D7B">
        <w:rPr>
          <w:color w:val="000000" w:themeColor="text1"/>
          <w:szCs w:val="22"/>
        </w:rPr>
        <w:t xml:space="preserve">: </w:t>
      </w:r>
      <w:r w:rsidR="00995C82" w:rsidRPr="00D70D7B">
        <w:rPr>
          <w:color w:val="000000" w:themeColor="text1"/>
          <w:szCs w:val="22"/>
        </w:rPr>
        <w:t>Kapitola v</w:t>
      </w:r>
      <w:r w:rsidRPr="00D70D7B">
        <w:rPr>
          <w:color w:val="000000" w:themeColor="text1"/>
          <w:szCs w:val="22"/>
        </w:rPr>
        <w:t>ychází z draftu Pilotní hodnotící zprávy o Implementaci Agendy 2030 pro udržitelný rozvoj v</w:t>
      </w:r>
      <w:r w:rsidR="00D7582F" w:rsidRPr="00D70D7B">
        <w:rPr>
          <w:color w:val="000000" w:themeColor="text1"/>
          <w:szCs w:val="22"/>
        </w:rPr>
        <w:t> </w:t>
      </w:r>
      <w:r w:rsidR="008519B8" w:rsidRPr="00D70D7B">
        <w:rPr>
          <w:color w:val="000000" w:themeColor="text1"/>
          <w:szCs w:val="22"/>
        </w:rPr>
        <w:t>ČR</w:t>
      </w:r>
      <w:r w:rsidRPr="00D70D7B">
        <w:rPr>
          <w:color w:val="000000" w:themeColor="text1"/>
          <w:szCs w:val="22"/>
        </w:rPr>
        <w:t>, která je nyní připomínkována členkami a členy Rady vlády pro udržitelný rozvoj. Kapitola bude aktualizována dle finální verze zprávy.</w:t>
      </w:r>
    </w:p>
    <w:p w14:paraId="1D9F35C9" w14:textId="30EEDB5A" w:rsidR="005B0748" w:rsidRPr="00D70D7B" w:rsidRDefault="008519B8" w:rsidP="009A2FD5">
      <w:pPr>
        <w:spacing w:before="240"/>
        <w:rPr>
          <w:color w:val="000000" w:themeColor="text1"/>
          <w:szCs w:val="22"/>
        </w:rPr>
      </w:pPr>
      <w:r w:rsidRPr="00D70D7B">
        <w:rPr>
          <w:color w:val="000000" w:themeColor="text1"/>
          <w:szCs w:val="22"/>
        </w:rPr>
        <w:t>ČR</w:t>
      </w:r>
      <w:r w:rsidR="005B0748" w:rsidRPr="00D70D7B">
        <w:rPr>
          <w:color w:val="000000" w:themeColor="text1"/>
          <w:szCs w:val="22"/>
        </w:rPr>
        <w:t xml:space="preserve"> si v globálním hodnocení naplňování </w:t>
      </w:r>
      <w:r w:rsidR="005B0748" w:rsidRPr="00D70D7B">
        <w:rPr>
          <w:b/>
          <w:color w:val="000000" w:themeColor="text1"/>
          <w:szCs w:val="22"/>
        </w:rPr>
        <w:t>SDG 1</w:t>
      </w:r>
      <w:r w:rsidR="005B0748" w:rsidRPr="00D70D7B">
        <w:rPr>
          <w:color w:val="000000" w:themeColor="text1"/>
          <w:szCs w:val="22"/>
        </w:rPr>
        <w:t xml:space="preserve"> - Konec chudoby - vede dobře. Při hlubším zkoumání je patr</w:t>
      </w:r>
      <w:r w:rsidR="00530EDA" w:rsidRPr="00D70D7B">
        <w:rPr>
          <w:color w:val="000000" w:themeColor="text1"/>
          <w:szCs w:val="22"/>
        </w:rPr>
        <w:t xml:space="preserve">né, že tento úspěch je křehký. </w:t>
      </w:r>
      <w:r w:rsidR="005B0748" w:rsidRPr="00D70D7B">
        <w:rPr>
          <w:color w:val="000000" w:themeColor="text1"/>
          <w:szCs w:val="22"/>
        </w:rPr>
        <w:t>V situaci velkého množství lidí žijících těsně nad hranicí chudoby či při vědomí regionálních rozdílů stačí relativně malá změna, aby se situace v této oblasti podstatně zhoršila.</w:t>
      </w:r>
    </w:p>
    <w:p w14:paraId="7FDF2267" w14:textId="003A5DCA" w:rsidR="005B0748" w:rsidRPr="00D70D7B" w:rsidRDefault="005B0748" w:rsidP="009A2FD5">
      <w:pPr>
        <w:spacing w:before="240"/>
        <w:rPr>
          <w:color w:val="000000" w:themeColor="text1"/>
          <w:szCs w:val="22"/>
        </w:rPr>
      </w:pPr>
      <w:r w:rsidRPr="00D70D7B">
        <w:rPr>
          <w:color w:val="000000" w:themeColor="text1"/>
          <w:szCs w:val="22"/>
        </w:rPr>
        <w:t xml:space="preserve">V případě </w:t>
      </w:r>
      <w:r w:rsidRPr="00D70D7B">
        <w:rPr>
          <w:b/>
          <w:color w:val="000000" w:themeColor="text1"/>
          <w:szCs w:val="22"/>
        </w:rPr>
        <w:t>SDG 2</w:t>
      </w:r>
      <w:r w:rsidR="00530EDA" w:rsidRPr="00D70D7B">
        <w:rPr>
          <w:color w:val="000000" w:themeColor="text1"/>
          <w:szCs w:val="22"/>
        </w:rPr>
        <w:t xml:space="preserve"> -</w:t>
      </w:r>
      <w:r w:rsidR="00A517F7" w:rsidRPr="00D70D7B">
        <w:rPr>
          <w:color w:val="000000" w:themeColor="text1"/>
          <w:szCs w:val="22"/>
        </w:rPr>
        <w:t xml:space="preserve"> Konec hladu - není pro obyvatele ČR hrozbou hlad ani podvýživa ve smyslu nedostatku potravin, ale spíše otázka udržitelného zemědělství. Růst produktivity v zemědělství naráží na svá přirozená omezení a státní podpora skrze přímé platby j</w:t>
      </w:r>
      <w:r w:rsidR="00530EDA" w:rsidRPr="00D70D7B">
        <w:rPr>
          <w:color w:val="000000" w:themeColor="text1"/>
          <w:szCs w:val="22"/>
        </w:rPr>
        <w:t>e stále orientovaná primárně na </w:t>
      </w:r>
      <w:r w:rsidR="00A517F7" w:rsidRPr="00D70D7B">
        <w:rPr>
          <w:color w:val="000000" w:themeColor="text1"/>
          <w:szCs w:val="22"/>
        </w:rPr>
        <w:t>obdělávanou plochu. Podíl ekologického zemědělství roste, ale jen pomalu. Zemědělská produkce je zranitelná změnou klimatu a výkyvy počasí. ČR patří mezi čisté dovozce potravin a tento trend nadále sílí. Průměrné ceny zemědělské produkce se sice meziročně mění velmi málo, avšak s velkým rozdílem u konkrétních druhů ovoce či zeleniny. ČR se aktivně podílí na podpoře udržitelného rozvoje v mezinárodním obchodě, zejména v oblastech odstraňování obchodních omezení, dvojí kvality potravin, dumpingu a různých forem tržního selhání.</w:t>
      </w:r>
    </w:p>
    <w:p w14:paraId="2E37C713" w14:textId="423E364D" w:rsidR="005B0748" w:rsidRPr="00D70D7B" w:rsidRDefault="005B0748" w:rsidP="009A2FD5">
      <w:pPr>
        <w:spacing w:before="240"/>
        <w:rPr>
          <w:color w:val="000000" w:themeColor="text1"/>
          <w:szCs w:val="22"/>
        </w:rPr>
      </w:pPr>
      <w:r w:rsidRPr="00D70D7B">
        <w:rPr>
          <w:color w:val="000000" w:themeColor="text1"/>
          <w:szCs w:val="22"/>
        </w:rPr>
        <w:t xml:space="preserve">V naplňování </w:t>
      </w:r>
      <w:r w:rsidRPr="00D70D7B">
        <w:rPr>
          <w:b/>
          <w:color w:val="000000" w:themeColor="text1"/>
          <w:szCs w:val="22"/>
        </w:rPr>
        <w:t xml:space="preserve">SDG 3 </w:t>
      </w:r>
      <w:r w:rsidR="00530EDA" w:rsidRPr="00D70D7B">
        <w:rPr>
          <w:color w:val="000000" w:themeColor="text1"/>
          <w:szCs w:val="22"/>
        </w:rPr>
        <w:t>-</w:t>
      </w:r>
      <w:r w:rsidRPr="00D70D7B">
        <w:rPr>
          <w:color w:val="000000" w:themeColor="text1"/>
          <w:szCs w:val="22"/>
        </w:rPr>
        <w:t xml:space="preserve"> Zdraví a kvalitní život - je pozornost z</w:t>
      </w:r>
      <w:r w:rsidR="00530EDA" w:rsidRPr="00D70D7B">
        <w:rPr>
          <w:color w:val="000000" w:themeColor="text1"/>
          <w:szCs w:val="22"/>
        </w:rPr>
        <w:t>aměřena především na důsledky a </w:t>
      </w:r>
      <w:r w:rsidRPr="00D70D7B">
        <w:rPr>
          <w:color w:val="000000" w:themeColor="text1"/>
          <w:szCs w:val="22"/>
        </w:rPr>
        <w:t xml:space="preserve">podstatně méně se věnuje příčinám a předcházení nemocem. Ačkoli je zdravotnický systém poměrně stabilní a zajišťuje všechny základní zdravotní služby, veřejné výdaje investované do prevence představují pouze zlomek celkových veřejných výdajů na zdravotnictví. Nejčastějšími příčinami úmrtí jsou nepřenosné nemoci (kardiovaskulární choroby, chronické dýchací onemocnění, rakovina, diabetes). Problematika prevence se v ČR projevuje zejména v oblasti životního stylu </w:t>
      </w:r>
      <w:r w:rsidR="00530EDA" w:rsidRPr="00D70D7B">
        <w:rPr>
          <w:color w:val="000000" w:themeColor="text1"/>
          <w:szCs w:val="22"/>
        </w:rPr>
        <w:t>-</w:t>
      </w:r>
      <w:r w:rsidRPr="00D70D7B">
        <w:rPr>
          <w:color w:val="000000" w:themeColor="text1"/>
          <w:szCs w:val="22"/>
        </w:rPr>
        <w:t xml:space="preserve"> nadměrná spotřeba alkoholu, kouření, nedostatečná pohybová aktivita. </w:t>
      </w:r>
      <w:r w:rsidR="003A5D74" w:rsidRPr="00D70D7B">
        <w:rPr>
          <w:color w:val="000000" w:themeColor="text1"/>
          <w:szCs w:val="22"/>
        </w:rPr>
        <w:t>Strategický rámec rozvoje péče o zdraví v </w:t>
      </w:r>
      <w:r w:rsidR="008519B8" w:rsidRPr="00D70D7B">
        <w:rPr>
          <w:color w:val="000000" w:themeColor="text1"/>
          <w:szCs w:val="22"/>
        </w:rPr>
        <w:t>ČR</w:t>
      </w:r>
      <w:r w:rsidR="00530EDA" w:rsidRPr="00D70D7B">
        <w:rPr>
          <w:color w:val="000000" w:themeColor="text1"/>
          <w:szCs w:val="22"/>
        </w:rPr>
        <w:t xml:space="preserve"> do </w:t>
      </w:r>
      <w:r w:rsidR="003A5D74" w:rsidRPr="00D70D7B">
        <w:rPr>
          <w:color w:val="000000" w:themeColor="text1"/>
          <w:szCs w:val="22"/>
        </w:rPr>
        <w:t xml:space="preserve">roku 2030, který navazuje na Strategický rámec </w:t>
      </w:r>
      <w:r w:rsidR="008519B8" w:rsidRPr="00D70D7B">
        <w:rPr>
          <w:color w:val="000000" w:themeColor="text1"/>
          <w:szCs w:val="22"/>
        </w:rPr>
        <w:t>ČR</w:t>
      </w:r>
      <w:r w:rsidR="003A5D74" w:rsidRPr="00D70D7B">
        <w:rPr>
          <w:color w:val="000000" w:themeColor="text1"/>
          <w:szCs w:val="22"/>
        </w:rPr>
        <w:t xml:space="preserve"> 2030, obsahuje také specifický cíl č. 1.2 zaměřený na Primární a sekundární prevenci nemocí, zvyšování zdravotní gramotnosti a odpovědnosti občanů za vlastní zdraví. Tento specifický cíl </w:t>
      </w:r>
      <w:r w:rsidR="003A5D74" w:rsidRPr="00D70D7B">
        <w:rPr>
          <w:bCs/>
          <w:color w:val="000000" w:themeColor="text1"/>
          <w:szCs w:val="22"/>
        </w:rPr>
        <w:t>usiluje o funkční, legislativně a metodicky ukotvený systém programů podpory zdraví, zdravotní gramotnosti a programů zaměřených na časný záchyt vážných onemocnění v rizikových skupinách osob.</w:t>
      </w:r>
    </w:p>
    <w:p w14:paraId="2CDCEEE8" w14:textId="76128119" w:rsidR="005B0748" w:rsidRPr="00D70D7B" w:rsidRDefault="005B0748" w:rsidP="009A2FD5">
      <w:pPr>
        <w:spacing w:before="240"/>
        <w:rPr>
          <w:color w:val="000000" w:themeColor="text1"/>
          <w:szCs w:val="22"/>
        </w:rPr>
      </w:pPr>
      <w:r w:rsidRPr="00D70D7B">
        <w:rPr>
          <w:color w:val="000000" w:themeColor="text1"/>
          <w:szCs w:val="22"/>
        </w:rPr>
        <w:t>V souvislosti s </w:t>
      </w:r>
      <w:r w:rsidRPr="00D70D7B">
        <w:rPr>
          <w:b/>
          <w:color w:val="000000" w:themeColor="text1"/>
          <w:szCs w:val="22"/>
        </w:rPr>
        <w:t xml:space="preserve">SDG 4 </w:t>
      </w:r>
      <w:r w:rsidR="00530EDA" w:rsidRPr="00D70D7B">
        <w:rPr>
          <w:color w:val="000000" w:themeColor="text1"/>
          <w:szCs w:val="22"/>
        </w:rPr>
        <w:t>-</w:t>
      </w:r>
      <w:r w:rsidRPr="00D70D7B">
        <w:rPr>
          <w:color w:val="000000" w:themeColor="text1"/>
          <w:szCs w:val="22"/>
        </w:rPr>
        <w:t xml:space="preserve"> Kvalitní vzdělávání - ČR nestaví přístupu ke kvalitnímu vzdělání žádné bariéry formálního charakteru. Přes zjevnou snahu se však není schopna vypořádat s bariérami danými socioekonomickým zázemím, příp. jinou formou znevýhodnění. Pozitiv</w:t>
      </w:r>
      <w:r w:rsidR="00530EDA" w:rsidRPr="00D70D7B">
        <w:rPr>
          <w:color w:val="000000" w:themeColor="text1"/>
          <w:szCs w:val="22"/>
        </w:rPr>
        <w:t>em je skutečnost, že základní a </w:t>
      </w:r>
      <w:r w:rsidRPr="00D70D7B">
        <w:rPr>
          <w:color w:val="000000" w:themeColor="text1"/>
          <w:szCs w:val="22"/>
        </w:rPr>
        <w:t>střední vzdělání je v ČR bezplatné a relativně dostupné, v oblasti vysokoškolského vzdělání existuje zatím výrazná převaha bezplatných veřejných škol a v posledních letech se zlepšuje i dostupnost předškolní péče. Studijní výsledky žáků v ČR mají ve srovnání se</w:t>
      </w:r>
      <w:r w:rsidR="00530EDA" w:rsidRPr="00D70D7B">
        <w:rPr>
          <w:color w:val="000000" w:themeColor="text1"/>
          <w:szCs w:val="22"/>
        </w:rPr>
        <w:t xml:space="preserve"> zeměmi OECD vyšší závislost na </w:t>
      </w:r>
      <w:r w:rsidRPr="00D70D7B">
        <w:rPr>
          <w:color w:val="000000" w:themeColor="text1"/>
          <w:szCs w:val="22"/>
        </w:rPr>
        <w:t>socioekonomickém zázemí a v postgraduálním studiu hrají roli také omezení daná genderovou rolí. Prostor ke zlepšení je i v efektivitě a kvalitě vzdělávání a dostupnosti a účasti na celoživotním vzdělávání. Digitální kompetence pracovníků jsou stále nízké.</w:t>
      </w:r>
    </w:p>
    <w:p w14:paraId="32C60D4E" w14:textId="05BF1723" w:rsidR="005B0748" w:rsidRPr="00D70D7B" w:rsidRDefault="005B0748" w:rsidP="009A2FD5">
      <w:pPr>
        <w:spacing w:before="240"/>
        <w:rPr>
          <w:color w:val="000000" w:themeColor="text1"/>
          <w:szCs w:val="22"/>
        </w:rPr>
      </w:pPr>
      <w:r w:rsidRPr="00D70D7B">
        <w:rPr>
          <w:color w:val="000000" w:themeColor="text1"/>
          <w:szCs w:val="22"/>
        </w:rPr>
        <w:t xml:space="preserve">Genderová nerovnost </w:t>
      </w:r>
      <w:r w:rsidRPr="00D70D7B">
        <w:rPr>
          <w:b/>
          <w:color w:val="000000" w:themeColor="text1"/>
          <w:szCs w:val="22"/>
        </w:rPr>
        <w:t xml:space="preserve">SDG 5 </w:t>
      </w:r>
      <w:r w:rsidR="00530EDA" w:rsidRPr="00D70D7B">
        <w:rPr>
          <w:color w:val="000000" w:themeColor="text1"/>
          <w:szCs w:val="22"/>
        </w:rPr>
        <w:t>-</w:t>
      </w:r>
      <w:r w:rsidRPr="00D70D7B">
        <w:rPr>
          <w:color w:val="000000" w:themeColor="text1"/>
          <w:szCs w:val="22"/>
        </w:rPr>
        <w:t xml:space="preserve"> Rovnost mužů a žen se v ČR silně podepisuje především na pracovním životě žen v produktivním věku. ČR se potýká s jednou z nejvyšších průměrných příjmových nerovností v EU (</w:t>
      </w:r>
      <w:r w:rsidR="00995C82" w:rsidRPr="00D70D7B">
        <w:rPr>
          <w:color w:val="000000" w:themeColor="text1"/>
          <w:szCs w:val="22"/>
        </w:rPr>
        <w:t>21,1</w:t>
      </w:r>
      <w:r w:rsidRPr="00D70D7B">
        <w:rPr>
          <w:color w:val="000000" w:themeColor="text1"/>
          <w:szCs w:val="22"/>
        </w:rPr>
        <w:t xml:space="preserve"> %). Ženy obecně čelí i obtížím v kariérním růstu, jsou výrazněji ohroženy nezaměstnaností a příjmovou chudobou. V kombinaci řady podobných znevýhodnění jsou ženy celkově zranitelnější. Zvláště rizikové skupiny jsou pak matky s malými dětmi a ženy starší 65 let žijící samostatně. </w:t>
      </w:r>
      <w:r w:rsidRPr="00D70D7B">
        <w:rPr>
          <w:color w:val="000000" w:themeColor="text1"/>
          <w:szCs w:val="22"/>
        </w:rPr>
        <w:lastRenderedPageBreak/>
        <w:t>Zastoupení žen na vedoucích a rozhodovacích pozicích veřejného i soukromého sektoru je velmi nízké. Úspěchy si však ČR může připsat v oblasti reprodukčního zdraví a po</w:t>
      </w:r>
      <w:r w:rsidR="00530EDA" w:rsidRPr="00D70D7B">
        <w:rPr>
          <w:color w:val="000000" w:themeColor="text1"/>
          <w:szCs w:val="22"/>
        </w:rPr>
        <w:t>zornost je věnována i násilí na </w:t>
      </w:r>
      <w:r w:rsidRPr="00D70D7B">
        <w:rPr>
          <w:color w:val="000000" w:themeColor="text1"/>
          <w:szCs w:val="22"/>
        </w:rPr>
        <w:t>ženách.</w:t>
      </w:r>
    </w:p>
    <w:p w14:paraId="72F926B3" w14:textId="5B32BAD7" w:rsidR="005B0748" w:rsidRPr="00D70D7B" w:rsidRDefault="005B0748" w:rsidP="009A2FD5">
      <w:pPr>
        <w:spacing w:before="240"/>
        <w:rPr>
          <w:color w:val="000000" w:themeColor="text1"/>
          <w:szCs w:val="22"/>
        </w:rPr>
      </w:pPr>
      <w:r w:rsidRPr="00D70D7B">
        <w:rPr>
          <w:color w:val="000000" w:themeColor="text1"/>
          <w:szCs w:val="22"/>
        </w:rPr>
        <w:t xml:space="preserve">Pro správu vodních zdrojů existuje zákonný rámec a s ním jsou spojeny i mechanismy umožňující zapojení veřejnosti vč. samotných odběratelů vody. Pitná voda je dostupná a celkový odběr vody klesá, čímž je z velké části splňován </w:t>
      </w:r>
      <w:r w:rsidRPr="00D70D7B">
        <w:rPr>
          <w:b/>
          <w:color w:val="000000" w:themeColor="text1"/>
          <w:szCs w:val="22"/>
        </w:rPr>
        <w:t>SDG 6</w:t>
      </w:r>
      <w:r w:rsidR="00530EDA" w:rsidRPr="00D70D7B">
        <w:rPr>
          <w:color w:val="000000" w:themeColor="text1"/>
          <w:szCs w:val="22"/>
        </w:rPr>
        <w:t xml:space="preserve"> -</w:t>
      </w:r>
      <w:r w:rsidRPr="00D70D7B">
        <w:rPr>
          <w:color w:val="000000" w:themeColor="text1"/>
          <w:szCs w:val="22"/>
        </w:rPr>
        <w:t xml:space="preserve"> Pitná voda a kanalizace. Méně příznivá situace je v oblasti kanalizace a čištění odpadních vod, jakkoli i zde je trend dlouhodobě</w:t>
      </w:r>
      <w:r w:rsidR="00530EDA" w:rsidRPr="00D70D7B">
        <w:rPr>
          <w:color w:val="000000" w:themeColor="text1"/>
          <w:szCs w:val="22"/>
        </w:rPr>
        <w:t xml:space="preserve"> pozitivní. Také jakost vody ve </w:t>
      </w:r>
      <w:r w:rsidRPr="00D70D7B">
        <w:rPr>
          <w:color w:val="000000" w:themeColor="text1"/>
          <w:szCs w:val="22"/>
        </w:rPr>
        <w:t>vodních tocích se dlouhodobě zlepšuje, velká část toků v ČR je přesto stále znečištěna. Slabinou v případě SDG 6 je opětovné využívání vody a podlomená schopnost krajiny zadržovat vodu.</w:t>
      </w:r>
    </w:p>
    <w:p w14:paraId="5B4E9829" w14:textId="4436BCE5" w:rsidR="005B0748" w:rsidRPr="00D70D7B" w:rsidRDefault="005B0748" w:rsidP="009A2FD5">
      <w:pPr>
        <w:spacing w:before="240"/>
        <w:rPr>
          <w:color w:val="000000" w:themeColor="text1"/>
          <w:szCs w:val="22"/>
        </w:rPr>
      </w:pPr>
      <w:r w:rsidRPr="00D70D7B">
        <w:rPr>
          <w:color w:val="000000" w:themeColor="text1"/>
          <w:szCs w:val="22"/>
        </w:rPr>
        <w:t xml:space="preserve">ČR se snaží plnit </w:t>
      </w:r>
      <w:r w:rsidRPr="00D70D7B">
        <w:rPr>
          <w:b/>
          <w:color w:val="000000" w:themeColor="text1"/>
          <w:szCs w:val="22"/>
        </w:rPr>
        <w:t>SDG 7</w:t>
      </w:r>
      <w:r w:rsidR="00530EDA" w:rsidRPr="00D70D7B">
        <w:rPr>
          <w:color w:val="000000" w:themeColor="text1"/>
          <w:szCs w:val="22"/>
        </w:rPr>
        <w:t xml:space="preserve"> -</w:t>
      </w:r>
      <w:r w:rsidRPr="00D70D7B">
        <w:rPr>
          <w:color w:val="000000" w:themeColor="text1"/>
          <w:szCs w:val="22"/>
        </w:rPr>
        <w:t xml:space="preserve"> Dostupné a čisté energie - prostřednictvím diverzifikace energetického mixu, snahou o zachování soběstačnosti ve výrobě elektřiny a rozvojem energetické infrastruktury, odpovídající potřebám decentralizace. Dlouhodobě dochází i ke snižování energetické náročnosti ekonomiky na tvorbě HDP. Celková spotřeba energie stále roste a s ohledem k pravděpodobnému dalšímu vývoji a plánu odklonu od uhelné energetiky bude nejspíše růst i dovozní závislost ČR. Systém podpory VaVaI nízkouhlíkových technologií není ucelený. Jaderná energie je v ČR v souladu s principem technologické neutrality považována za bezemisní zdroj a prostředek pro dosažení klimatických závazků. Obnovitelné zdroje energie jsou v ČR i díky vhodným přírodním podmínkám rozvinuté, avšak růst jejich podílu na výrobě energie i elektřiny v posledních letech stagnuje. ČR předběžně již v roce 2015 splnila své evropské závazky k OZE. Český trh s energiemi je výrazně harmonizován s EU a ČR podporuje aplikaci inteligentních distribučních i přenosových sítí, posilujících bezpečnost soustavy a její decentralizaci.</w:t>
      </w:r>
    </w:p>
    <w:p w14:paraId="420D3BDD" w14:textId="135EC226" w:rsidR="008C5A21" w:rsidRPr="00D70D7B" w:rsidRDefault="005B0748" w:rsidP="008C5A21">
      <w:pPr>
        <w:spacing w:before="240"/>
        <w:rPr>
          <w:color w:val="000000" w:themeColor="text1"/>
          <w:szCs w:val="22"/>
        </w:rPr>
      </w:pPr>
      <w:r w:rsidRPr="00D70D7B">
        <w:rPr>
          <w:color w:val="000000" w:themeColor="text1"/>
          <w:szCs w:val="22"/>
        </w:rPr>
        <w:t xml:space="preserve">V oblasti </w:t>
      </w:r>
      <w:r w:rsidRPr="00D70D7B">
        <w:rPr>
          <w:b/>
          <w:color w:val="000000" w:themeColor="text1"/>
          <w:szCs w:val="22"/>
        </w:rPr>
        <w:t>SDG 8</w:t>
      </w:r>
      <w:r w:rsidR="00530EDA" w:rsidRPr="00D70D7B">
        <w:rPr>
          <w:color w:val="000000" w:themeColor="text1"/>
          <w:szCs w:val="22"/>
        </w:rPr>
        <w:t xml:space="preserve"> -</w:t>
      </w:r>
      <w:r w:rsidRPr="00D70D7B">
        <w:rPr>
          <w:color w:val="000000" w:themeColor="text1"/>
          <w:szCs w:val="22"/>
        </w:rPr>
        <w:t xml:space="preserve"> Důstojná práce a ekonomický růst - </w:t>
      </w:r>
      <w:r w:rsidR="008C5A21" w:rsidRPr="00D70D7B">
        <w:rPr>
          <w:color w:val="000000" w:themeColor="text1"/>
          <w:szCs w:val="22"/>
        </w:rPr>
        <w:t>má ČR velmi dobré výsledky v oblasti hospodářského růstu i na trhu práce, avšak pozornost by měla být věnována i některým problémům, jejichž dopad by mohl být do budoucna zásadní. Hospodářský růst je primárně tažen domácí spotřebou a investicemi</w:t>
      </w:r>
      <w:r w:rsidR="008C5A21" w:rsidRPr="00D70D7B">
        <w:rPr>
          <w:b/>
          <w:color w:val="000000" w:themeColor="text1"/>
          <w:szCs w:val="22"/>
        </w:rPr>
        <w:t xml:space="preserve"> </w:t>
      </w:r>
      <w:r w:rsidR="008C5A21" w:rsidRPr="00D70D7B">
        <w:rPr>
          <w:color w:val="000000" w:themeColor="text1"/>
          <w:szCs w:val="22"/>
        </w:rPr>
        <w:t xml:space="preserve">a je závislý na tradičních zpracovatelských oborech a </w:t>
      </w:r>
      <w:r w:rsidR="00530EDA" w:rsidRPr="00D70D7B">
        <w:rPr>
          <w:color w:val="000000" w:themeColor="text1"/>
          <w:szCs w:val="22"/>
        </w:rPr>
        <w:t>obchodu, nikoliv na moderních a </w:t>
      </w:r>
      <w:r w:rsidR="008C5A21" w:rsidRPr="00D70D7B">
        <w:rPr>
          <w:color w:val="000000" w:themeColor="text1"/>
          <w:szCs w:val="22"/>
        </w:rPr>
        <w:t>inovativních odvětvích. Světový trh a zahraniční investiční aktivita zároveň výrazně určují, zda se českému hospodářství daří či nikoliv, přičemž dalším omezujícím faktorem je aktuální nedostatek pracovníků. Inovační aktivita ČR je spíše průměrná a produktivita práce neroste uspokojivě. Energetická a materiálová náročnost ekonomiky klesají, avšak jsou stále vys</w:t>
      </w:r>
      <w:r w:rsidR="00530EDA" w:rsidRPr="00D70D7B">
        <w:rPr>
          <w:color w:val="000000" w:themeColor="text1"/>
          <w:szCs w:val="22"/>
        </w:rPr>
        <w:t>oké. Nezaměstnanost je plošně a </w:t>
      </w:r>
      <w:r w:rsidR="008C5A21" w:rsidRPr="00D70D7B">
        <w:rPr>
          <w:color w:val="000000" w:themeColor="text1"/>
          <w:szCs w:val="22"/>
        </w:rPr>
        <w:t>dlouhodobě velmi nízká, nicméně narůstá podíl mladých žen, které nepracují a ani se nevzdělávají. Aktivní politika zaměstnanosti je silně závislá na externím financov</w:t>
      </w:r>
      <w:r w:rsidR="00530EDA" w:rsidRPr="00D70D7B">
        <w:rPr>
          <w:color w:val="000000" w:themeColor="text1"/>
          <w:szCs w:val="22"/>
        </w:rPr>
        <w:t>ání a není příliš efektivní pro </w:t>
      </w:r>
      <w:r w:rsidR="008C5A21" w:rsidRPr="00D70D7B">
        <w:rPr>
          <w:color w:val="000000" w:themeColor="text1"/>
          <w:szCs w:val="22"/>
        </w:rPr>
        <w:t>dlouhodobě nezaměstnané. Finanční sektor i bankovnictví je v ČR rozvinutý, moderní a disponuje dostupnými finanční produkty. Zároveň však v důsledku nízkých průměrných úspor domácností existuje pro významnou část společnosti riziko dluhové pasti a problém předlužení.</w:t>
      </w:r>
    </w:p>
    <w:p w14:paraId="10BE6494" w14:textId="354AF430" w:rsidR="008C5A21" w:rsidRPr="00D70D7B" w:rsidRDefault="008C5A21" w:rsidP="008C5A21">
      <w:pPr>
        <w:spacing w:before="240"/>
        <w:rPr>
          <w:color w:val="000000" w:themeColor="text1"/>
          <w:szCs w:val="22"/>
        </w:rPr>
      </w:pPr>
      <w:r w:rsidRPr="00D70D7B">
        <w:rPr>
          <w:color w:val="000000" w:themeColor="text1"/>
          <w:szCs w:val="22"/>
        </w:rPr>
        <w:t xml:space="preserve">ČR plní </w:t>
      </w:r>
      <w:r w:rsidRPr="00D70D7B">
        <w:rPr>
          <w:b/>
          <w:color w:val="000000" w:themeColor="text1"/>
          <w:szCs w:val="22"/>
        </w:rPr>
        <w:t>SDG 9</w:t>
      </w:r>
      <w:r w:rsidRPr="00D70D7B">
        <w:rPr>
          <w:color w:val="000000" w:themeColor="text1"/>
          <w:szCs w:val="22"/>
        </w:rPr>
        <w:t xml:space="preserve">  - Průmysl, inovace a infrastruktura - dobře. Dopravní infrastruktura je velmi hustá, zároveň však investičně nákladná. Emisní náročnost tvorby přidané hodnoty zůstává vysoká. ČR intenzivně spolupracuje se zahraničními výzkumnými kapacitami na výzkumu a inovacích pro českou ekonomiku. Množství českých výzkumníků roste a české výzkumné prostředí se v posledních letech stále více orientuje na podnikové inovace. Dále je cíleně podporován transfer znalostí a potřebných technologií do rozvojových oblastí. Význam výroby špičkový</w:t>
      </w:r>
      <w:r w:rsidR="00530EDA" w:rsidRPr="00D70D7B">
        <w:rPr>
          <w:color w:val="000000" w:themeColor="text1"/>
          <w:szCs w:val="22"/>
        </w:rPr>
        <w:t>ch a pokročilých technologií ve </w:t>
      </w:r>
      <w:r w:rsidRPr="00D70D7B">
        <w:rPr>
          <w:color w:val="000000" w:themeColor="text1"/>
          <w:szCs w:val="22"/>
        </w:rPr>
        <w:t>zpracovatelském průmyslu v posledních letech spíše stagnuje. ČR má velmi husté pokrytí mobilním signálem ve standardu LTE, které pokrývá 99 % populace. Přístup malých a středních podniků k financování je relativně dobrý, orientovaný na tradiční bankovní sektor.</w:t>
      </w:r>
    </w:p>
    <w:p w14:paraId="73254CB1" w14:textId="17869AC0" w:rsidR="008C5A21" w:rsidRPr="00D70D7B" w:rsidRDefault="008C5A21" w:rsidP="008C5A21">
      <w:pPr>
        <w:spacing w:before="240"/>
        <w:rPr>
          <w:color w:val="000000" w:themeColor="text1"/>
          <w:szCs w:val="22"/>
        </w:rPr>
      </w:pPr>
      <w:r w:rsidRPr="00D70D7B">
        <w:rPr>
          <w:b/>
          <w:bCs/>
          <w:color w:val="000000" w:themeColor="text1"/>
          <w:szCs w:val="22"/>
        </w:rPr>
        <w:lastRenderedPageBreak/>
        <w:t>SDG 10</w:t>
      </w:r>
      <w:r w:rsidR="00530EDA" w:rsidRPr="00D70D7B">
        <w:rPr>
          <w:bCs/>
          <w:color w:val="000000" w:themeColor="text1"/>
          <w:szCs w:val="22"/>
        </w:rPr>
        <w:t xml:space="preserve"> -</w:t>
      </w:r>
      <w:r w:rsidRPr="00D70D7B">
        <w:rPr>
          <w:bCs/>
          <w:color w:val="000000" w:themeColor="text1"/>
          <w:szCs w:val="22"/>
        </w:rPr>
        <w:t xml:space="preserve"> Méně nerovností - je průřezový cíl, který je podrobněji hodnocen v ostatních </w:t>
      </w:r>
      <w:proofErr w:type="spellStart"/>
      <w:r w:rsidRPr="00D70D7B">
        <w:rPr>
          <w:bCs/>
          <w:color w:val="000000" w:themeColor="text1"/>
          <w:szCs w:val="22"/>
        </w:rPr>
        <w:t>SDGs</w:t>
      </w:r>
      <w:proofErr w:type="spellEnd"/>
      <w:r w:rsidRPr="00D70D7B">
        <w:rPr>
          <w:bCs/>
          <w:color w:val="000000" w:themeColor="text1"/>
          <w:szCs w:val="22"/>
        </w:rPr>
        <w:t xml:space="preserve">. Souhrnně lze upozornit na majetkovou nerovnost, kdy příjmy z kapitálu převažují nad příjmy z práce, avšak nepoměr se v posledních letech mírně snížil. Pozitivní je snaha o odstranění různých forem strukturálních nerovností a diskriminace např.: sociálního vyloučení, genderové nerovnosti, nerovnosti ve vzdělávání a obtíží se systémem inkluze dětí se zdravotním postižením. </w:t>
      </w:r>
    </w:p>
    <w:p w14:paraId="78FC14B7" w14:textId="21EB6BE7" w:rsidR="008C5A21" w:rsidRPr="00D70D7B" w:rsidRDefault="008C5A21" w:rsidP="008C5A21">
      <w:pPr>
        <w:spacing w:before="240"/>
        <w:rPr>
          <w:color w:val="000000" w:themeColor="text1"/>
          <w:szCs w:val="22"/>
        </w:rPr>
      </w:pPr>
      <w:r w:rsidRPr="00D70D7B">
        <w:rPr>
          <w:color w:val="000000" w:themeColor="text1"/>
          <w:szCs w:val="22"/>
        </w:rPr>
        <w:t xml:space="preserve">V rámci </w:t>
      </w:r>
      <w:r w:rsidRPr="00D70D7B">
        <w:rPr>
          <w:b/>
          <w:color w:val="000000" w:themeColor="text1"/>
          <w:szCs w:val="22"/>
        </w:rPr>
        <w:t xml:space="preserve">SDG 11 </w:t>
      </w:r>
      <w:r w:rsidR="00530EDA" w:rsidRPr="00D70D7B">
        <w:rPr>
          <w:color w:val="000000" w:themeColor="text1"/>
          <w:szCs w:val="22"/>
        </w:rPr>
        <w:t>-</w:t>
      </w:r>
      <w:r w:rsidRPr="00D70D7B">
        <w:rPr>
          <w:color w:val="000000" w:themeColor="text1"/>
          <w:szCs w:val="22"/>
        </w:rPr>
        <w:t xml:space="preserve"> Udržitelná města a obce - má ČR řadu dobrých výsledků, ale objevují se i určité slabiny. Ve městech, kde žije většina obyvatel, se koncentrují pracovní příležitosti, inovace, služby, možnosti kulturního vyžití, zároveň však život ve městě přináší negativní dopady na životní prostředí (znečištění ovzduší, produkce komunálního odpadu atd.). Dlouhodobým problém je v ČR zajištění dostupného bydlení či bezpečnost silničního provozu.</w:t>
      </w:r>
    </w:p>
    <w:p w14:paraId="79B39867" w14:textId="3992C15F" w:rsidR="008C5A21" w:rsidRPr="00D70D7B" w:rsidRDefault="008C5A21" w:rsidP="008C5A21">
      <w:pPr>
        <w:spacing w:before="240"/>
        <w:rPr>
          <w:color w:val="000000" w:themeColor="text1"/>
          <w:szCs w:val="22"/>
        </w:rPr>
      </w:pPr>
      <w:r w:rsidRPr="00D70D7B">
        <w:rPr>
          <w:color w:val="000000" w:themeColor="text1"/>
          <w:szCs w:val="22"/>
        </w:rPr>
        <w:t xml:space="preserve">Plnění </w:t>
      </w:r>
      <w:r w:rsidRPr="00D70D7B">
        <w:rPr>
          <w:b/>
          <w:color w:val="000000" w:themeColor="text1"/>
          <w:szCs w:val="22"/>
        </w:rPr>
        <w:t>SDG 12</w:t>
      </w:r>
      <w:r w:rsidRPr="00D70D7B">
        <w:rPr>
          <w:color w:val="000000" w:themeColor="text1"/>
          <w:szCs w:val="22"/>
        </w:rPr>
        <w:t xml:space="preserve"> </w:t>
      </w:r>
      <w:r w:rsidR="00530EDA" w:rsidRPr="00D70D7B">
        <w:rPr>
          <w:color w:val="000000" w:themeColor="text1"/>
          <w:szCs w:val="22"/>
        </w:rPr>
        <w:t>-</w:t>
      </w:r>
      <w:r w:rsidRPr="00D70D7B">
        <w:rPr>
          <w:color w:val="000000" w:themeColor="text1"/>
          <w:szCs w:val="22"/>
        </w:rPr>
        <w:t xml:space="preserve"> Odpovědná výroba a spotřeba - je pro ČR aktuální tematickou výzvou. Udržitelná spotřeba a výroba získává postupně větší význam a promítá se jak do strategických materiálů, tak jednotlivých aktivit. Odpovědné veřejné zakázky jsou realizovány pouze na dobrovolné bázi. Oblast potravinového odpadu a obalových materiálů dosahuje velmi dobrých výsledků i díky soustavné podpoře osvěty a vzdělávání o udržitelném chování a také povinnosti věnovat nezávadné potraviny potravinovým bankám. Dlouhodobým cílem a zároveň výzvou j</w:t>
      </w:r>
      <w:r w:rsidR="00530EDA" w:rsidRPr="00D70D7B">
        <w:rPr>
          <w:color w:val="000000" w:themeColor="text1"/>
          <w:szCs w:val="22"/>
        </w:rPr>
        <w:t>e pro ČR oběhové hospodářství a </w:t>
      </w:r>
      <w:r w:rsidRPr="00D70D7B">
        <w:rPr>
          <w:color w:val="000000" w:themeColor="text1"/>
          <w:szCs w:val="22"/>
        </w:rPr>
        <w:t xml:space="preserve">udržitelný cestovní ruch. </w:t>
      </w:r>
      <w:r w:rsidR="00530EDA" w:rsidRPr="00D70D7B">
        <w:rPr>
          <w:color w:val="000000" w:themeColor="text1"/>
          <w:szCs w:val="22"/>
        </w:rPr>
        <w:t>A</w:t>
      </w:r>
      <w:r w:rsidRPr="00D70D7B">
        <w:rPr>
          <w:color w:val="000000" w:themeColor="text1"/>
          <w:szCs w:val="22"/>
        </w:rPr>
        <w:t xml:space="preserve">ktuálně </w:t>
      </w:r>
      <w:r w:rsidR="00530EDA" w:rsidRPr="00D70D7B">
        <w:rPr>
          <w:color w:val="000000" w:themeColor="text1"/>
          <w:szCs w:val="22"/>
        </w:rPr>
        <w:t xml:space="preserve">jsou </w:t>
      </w:r>
      <w:r w:rsidRPr="00D70D7B">
        <w:rPr>
          <w:color w:val="000000" w:themeColor="text1"/>
          <w:szCs w:val="22"/>
        </w:rPr>
        <w:t xml:space="preserve">realizovány kroky k zavádění či rozšiřování </w:t>
      </w:r>
      <w:proofErr w:type="spellStart"/>
      <w:r w:rsidRPr="00D70D7B">
        <w:rPr>
          <w:color w:val="000000" w:themeColor="text1"/>
          <w:szCs w:val="22"/>
        </w:rPr>
        <w:t>ekomodulace</w:t>
      </w:r>
      <w:proofErr w:type="spellEnd"/>
      <w:r w:rsidRPr="00D70D7B">
        <w:rPr>
          <w:color w:val="000000" w:themeColor="text1"/>
          <w:szCs w:val="22"/>
        </w:rPr>
        <w:t xml:space="preserve">, chytrých systémů odpadového hospodářství, </w:t>
      </w:r>
      <w:proofErr w:type="spellStart"/>
      <w:r w:rsidRPr="00D70D7B">
        <w:rPr>
          <w:color w:val="000000" w:themeColor="text1"/>
          <w:szCs w:val="22"/>
        </w:rPr>
        <w:t>ekodesignu</w:t>
      </w:r>
      <w:proofErr w:type="spellEnd"/>
      <w:r w:rsidRPr="00D70D7B">
        <w:rPr>
          <w:color w:val="000000" w:themeColor="text1"/>
          <w:szCs w:val="22"/>
        </w:rPr>
        <w:t>, aj. Trend ukazatelů materiálové spotřeby se však v posledních letech znovu obrací nežádoucím směrem, podí</w:t>
      </w:r>
      <w:r w:rsidR="00530EDA" w:rsidRPr="00D70D7B">
        <w:rPr>
          <w:color w:val="000000" w:themeColor="text1"/>
          <w:szCs w:val="22"/>
        </w:rPr>
        <w:t>l zpětně navrácených surovin do </w:t>
      </w:r>
      <w:r w:rsidRPr="00D70D7B">
        <w:rPr>
          <w:color w:val="000000" w:themeColor="text1"/>
          <w:szCs w:val="22"/>
        </w:rPr>
        <w:t>ekonomiky je nízký a výše podpory fosilních paliv se rovněž dlouhodobě nemění.</w:t>
      </w:r>
    </w:p>
    <w:p w14:paraId="79EAA538" w14:textId="4E112BDB" w:rsidR="008C5A21" w:rsidRPr="00D70D7B" w:rsidRDefault="008C5A21" w:rsidP="008C5A21">
      <w:pPr>
        <w:spacing w:before="240"/>
        <w:rPr>
          <w:bCs/>
          <w:color w:val="000000" w:themeColor="text1"/>
          <w:szCs w:val="22"/>
        </w:rPr>
      </w:pPr>
      <w:r w:rsidRPr="00D70D7B">
        <w:rPr>
          <w:color w:val="000000" w:themeColor="text1"/>
          <w:szCs w:val="22"/>
        </w:rPr>
        <w:t>Z globálního hlediska se ČR</w:t>
      </w:r>
      <w:r w:rsidRPr="00D70D7B">
        <w:rPr>
          <w:bCs/>
          <w:color w:val="000000" w:themeColor="text1"/>
          <w:szCs w:val="22"/>
        </w:rPr>
        <w:t xml:space="preserve"> podílí přibližně 0,25 % na emisích skleníkových plynů. V rámci EU je však česká emisní náročnost ekonomiky na obyvatele jednou z nejvyšších. Klíčovým faktorem je v tomto směru energetický mix a vysoký podíl průmyslu na tvorbě HDP. ČR aktivně a dlouhodobě naplňuje </w:t>
      </w:r>
      <w:r w:rsidRPr="00D70D7B">
        <w:rPr>
          <w:b/>
          <w:bCs/>
          <w:color w:val="000000" w:themeColor="text1"/>
          <w:szCs w:val="22"/>
        </w:rPr>
        <w:t xml:space="preserve">SDG 13 </w:t>
      </w:r>
      <w:r w:rsidR="00530EDA" w:rsidRPr="00D70D7B">
        <w:rPr>
          <w:bCs/>
          <w:color w:val="000000" w:themeColor="text1"/>
          <w:szCs w:val="22"/>
        </w:rPr>
        <w:t>-</w:t>
      </w:r>
      <w:r w:rsidRPr="00D70D7B">
        <w:rPr>
          <w:bCs/>
          <w:color w:val="000000" w:themeColor="text1"/>
          <w:szCs w:val="22"/>
        </w:rPr>
        <w:t xml:space="preserve"> Klimatická opatření - prostřednictvím svých mezinárodních závazků a závazků vyplývajících z legislativy EU. Emise se v ČR mezi roky 1990 a 2018 snížily téměř o 36 % a to u většiny sektorů. Prostor pro zlepšení je v dopravě a v odpadovém hospodářství.</w:t>
      </w:r>
    </w:p>
    <w:p w14:paraId="39D154A6" w14:textId="03CC624E" w:rsidR="008C5A21" w:rsidRPr="00D70D7B" w:rsidRDefault="008C5A21" w:rsidP="008C5A21">
      <w:pPr>
        <w:spacing w:before="240"/>
        <w:rPr>
          <w:color w:val="000000" w:themeColor="text1"/>
          <w:szCs w:val="22"/>
        </w:rPr>
      </w:pPr>
      <w:r w:rsidRPr="00D70D7B">
        <w:rPr>
          <w:b/>
          <w:color w:val="000000" w:themeColor="text1"/>
          <w:szCs w:val="22"/>
        </w:rPr>
        <w:t>SDG 14</w:t>
      </w:r>
      <w:r w:rsidR="00530EDA" w:rsidRPr="00D70D7B">
        <w:rPr>
          <w:color w:val="000000" w:themeColor="text1"/>
          <w:szCs w:val="22"/>
        </w:rPr>
        <w:t xml:space="preserve"> -</w:t>
      </w:r>
      <w:r w:rsidRPr="00D70D7B">
        <w:rPr>
          <w:color w:val="000000" w:themeColor="text1"/>
          <w:szCs w:val="22"/>
        </w:rPr>
        <w:t xml:space="preserve"> Život ve vodě - se ČR jako vnitrozemský stát věnuje minimálně. Soustředí se však na další aktivity, které mají dopad na okyselování oceánů a znečišťování vodních toků. Diplomatické snahy ČR v oblasti SDG 14 jsou skrovné, omezují se na pozorování, nebo sledují konsensuální linii EU.</w:t>
      </w:r>
    </w:p>
    <w:p w14:paraId="2EA92F29" w14:textId="39745047" w:rsidR="008C5A21" w:rsidRPr="00D70D7B" w:rsidRDefault="008C5A21" w:rsidP="008C5A21">
      <w:pPr>
        <w:spacing w:before="240"/>
        <w:rPr>
          <w:color w:val="000000" w:themeColor="text1"/>
          <w:szCs w:val="22"/>
        </w:rPr>
      </w:pPr>
      <w:r w:rsidRPr="00D70D7B">
        <w:rPr>
          <w:color w:val="000000" w:themeColor="text1"/>
          <w:szCs w:val="22"/>
        </w:rPr>
        <w:t xml:space="preserve">Snaha o ochranu našich ekosystémů není zatím dostatečně účinná. V naplňování </w:t>
      </w:r>
      <w:r w:rsidRPr="00D70D7B">
        <w:rPr>
          <w:b/>
          <w:color w:val="000000" w:themeColor="text1"/>
          <w:szCs w:val="22"/>
        </w:rPr>
        <w:t xml:space="preserve">SDG 15 </w:t>
      </w:r>
      <w:r w:rsidR="00DD2A0D" w:rsidRPr="00D70D7B">
        <w:rPr>
          <w:color w:val="000000" w:themeColor="text1"/>
          <w:szCs w:val="22"/>
        </w:rPr>
        <w:t>- Život na </w:t>
      </w:r>
      <w:r w:rsidRPr="00D70D7B">
        <w:rPr>
          <w:color w:val="000000" w:themeColor="text1"/>
          <w:szCs w:val="22"/>
        </w:rPr>
        <w:t xml:space="preserve">souši - působí vedle tlaků z lidské činnosti také změna klimatu v ČR, která přispívá k epizodám sucha, degradaci zemědělské půdy a zvyšuje riziko extrémní eroze. Dále přispívá ke kůrovcové kalamitě, která za poslední dva roky zničila v ČR stovky tisíc hektarů lesa. Roli v tom hraje rovněž nevhodná druhová skladba lesů a zřetelné zaměření politik na ekonomické využití lesa. Ačkoli jsou využívány obvyklé nástroje ochrany přírody, nestačí reagovat na nový trend masového turismu. V rámci mezinárodní mnohostranné spolupráce (Nagojský protokol, CITES, FLEGT) má ČR </w:t>
      </w:r>
      <w:r w:rsidR="00DD2A0D" w:rsidRPr="00D70D7B">
        <w:rPr>
          <w:color w:val="000000" w:themeColor="text1"/>
          <w:szCs w:val="22"/>
        </w:rPr>
        <w:t>výraznou roli a </w:t>
      </w:r>
      <w:r w:rsidRPr="00D70D7B">
        <w:rPr>
          <w:color w:val="000000" w:themeColor="text1"/>
          <w:szCs w:val="22"/>
        </w:rPr>
        <w:t>prostřednictvím know-how a finanční pomoci skrze ZRS se ČR snaží angažovat i v některých méně rozvinutých zemích.</w:t>
      </w:r>
    </w:p>
    <w:p w14:paraId="2B82FCFB" w14:textId="55129D7A" w:rsidR="008C5A21" w:rsidRPr="00D70D7B" w:rsidRDefault="008C5A21" w:rsidP="008C5A21">
      <w:pPr>
        <w:spacing w:before="240"/>
        <w:rPr>
          <w:color w:val="000000" w:themeColor="text1"/>
          <w:szCs w:val="22"/>
        </w:rPr>
      </w:pPr>
      <w:r w:rsidRPr="00D70D7B">
        <w:rPr>
          <w:color w:val="000000" w:themeColor="text1"/>
          <w:szCs w:val="22"/>
        </w:rPr>
        <w:t xml:space="preserve">Z pohledu </w:t>
      </w:r>
      <w:r w:rsidRPr="00D70D7B">
        <w:rPr>
          <w:b/>
          <w:color w:val="000000" w:themeColor="text1"/>
          <w:szCs w:val="22"/>
        </w:rPr>
        <w:t>SDG 16</w:t>
      </w:r>
      <w:r w:rsidR="00DD2A0D" w:rsidRPr="00D70D7B">
        <w:rPr>
          <w:color w:val="000000" w:themeColor="text1"/>
          <w:szCs w:val="22"/>
        </w:rPr>
        <w:t xml:space="preserve"> -</w:t>
      </w:r>
      <w:r w:rsidRPr="00D70D7B">
        <w:rPr>
          <w:color w:val="000000" w:themeColor="text1"/>
          <w:szCs w:val="22"/>
        </w:rPr>
        <w:t xml:space="preserve"> Mír, spravedlnost a silné instituce - ČR představuje standardní zemi EU díky své míře bezpečnosti a struktuře institucí. Fyzické násilí je přítomno v malé míře a jeho výskyt klesá. Existují ovšem dlouhodobé slabiny v oblasti reálné efektivity správy veřejných </w:t>
      </w:r>
      <w:proofErr w:type="gramStart"/>
      <w:r w:rsidRPr="00D70D7B">
        <w:rPr>
          <w:color w:val="000000" w:themeColor="text1"/>
          <w:szCs w:val="22"/>
        </w:rPr>
        <w:t>záležitostí  (</w:t>
      </w:r>
      <w:proofErr w:type="spellStart"/>
      <w:r w:rsidR="008519B8" w:rsidRPr="00D70D7B">
        <w:rPr>
          <w:color w:val="000000" w:themeColor="text1"/>
          <w:szCs w:val="22"/>
        </w:rPr>
        <w:t>rezort</w:t>
      </w:r>
      <w:r w:rsidRPr="00D70D7B">
        <w:rPr>
          <w:color w:val="000000" w:themeColor="text1"/>
          <w:szCs w:val="22"/>
        </w:rPr>
        <w:t>ismus</w:t>
      </w:r>
      <w:proofErr w:type="spellEnd"/>
      <w:proofErr w:type="gramEnd"/>
      <w:r w:rsidRPr="00D70D7B">
        <w:rPr>
          <w:color w:val="000000" w:themeColor="text1"/>
          <w:szCs w:val="22"/>
        </w:rPr>
        <w:t xml:space="preserve">, nedostatek datově založeného přístupu, nízká míra inovativnosti v tvorbě politik). V rámci daňové kriminality působí úspěšně tzv. Daňová kobra, </w:t>
      </w:r>
      <w:r w:rsidR="005A0D67" w:rsidRPr="00D70D7B">
        <w:rPr>
          <w:color w:val="000000" w:themeColor="text1"/>
          <w:szCs w:val="22"/>
        </w:rPr>
        <w:t xml:space="preserve">pozornost je věnována také problematice </w:t>
      </w:r>
      <w:r w:rsidRPr="00D70D7B">
        <w:rPr>
          <w:color w:val="000000" w:themeColor="text1"/>
          <w:szCs w:val="22"/>
        </w:rPr>
        <w:t xml:space="preserve">daňových rájů </w:t>
      </w:r>
      <w:r w:rsidRPr="00D70D7B">
        <w:rPr>
          <w:color w:val="000000" w:themeColor="text1"/>
          <w:szCs w:val="22"/>
        </w:rPr>
        <w:lastRenderedPageBreak/>
        <w:t xml:space="preserve">či agresivního daňového plánování ve světě, ale i jiných státech EU. Veřejná správa sice aktivně realizuje činnosti pro boj s korupcí, avšak veřejné mínění v této věci není příliš optimistické a příslušné mezinárodní indexy umísťují ČR pod průměr EU. </w:t>
      </w:r>
    </w:p>
    <w:p w14:paraId="58E8B1C5" w14:textId="7EF9688E" w:rsidR="008C5A21" w:rsidRPr="00D70D7B" w:rsidRDefault="008C5A21" w:rsidP="00F3470A">
      <w:pPr>
        <w:spacing w:before="240"/>
        <w:rPr>
          <w:color w:val="000000" w:themeColor="text1"/>
          <w:szCs w:val="22"/>
        </w:rPr>
      </w:pPr>
      <w:r w:rsidRPr="00D70D7B">
        <w:rPr>
          <w:color w:val="000000" w:themeColor="text1"/>
          <w:szCs w:val="22"/>
        </w:rPr>
        <w:t xml:space="preserve">Ačkoli je měření plnění </w:t>
      </w:r>
      <w:r w:rsidRPr="00D70D7B">
        <w:rPr>
          <w:b/>
          <w:color w:val="000000" w:themeColor="text1"/>
          <w:szCs w:val="22"/>
        </w:rPr>
        <w:t>SDG 17</w:t>
      </w:r>
      <w:r w:rsidRPr="00D70D7B">
        <w:rPr>
          <w:color w:val="000000" w:themeColor="text1"/>
          <w:szCs w:val="22"/>
        </w:rPr>
        <w:t xml:space="preserve"> </w:t>
      </w:r>
      <w:r w:rsidR="00DD2A0D" w:rsidRPr="00D70D7B">
        <w:rPr>
          <w:color w:val="000000" w:themeColor="text1"/>
          <w:szCs w:val="22"/>
        </w:rPr>
        <w:t>-</w:t>
      </w:r>
      <w:r w:rsidRPr="00D70D7B">
        <w:rPr>
          <w:color w:val="000000" w:themeColor="text1"/>
          <w:szCs w:val="22"/>
        </w:rPr>
        <w:t xml:space="preserve"> Partnerství ke splnění cílů - z důvodu nedostatku dat problematické, lze konstatovat, že ČR má úspěšně nakročeno v záležitostech týkajících se daňové oblasti, rozvojových investic a partnerství pro udržitelný rozvoj. Naopak nedostatečné je v této oblasti plnění závazku k minimální výši oficiální rozvojové pomoci, který ČR dlouhodobě neplní. Nutná opatření zatím nebyla realizována ani v oblasti koherence politik pro udržitelný rozvoj. Řada podcílů je spíše globálního charakteru, a přestože je přijetí dodatečných opatření a posílení role ČR v jejich naplňování žádoucí, dopady jsou těžko měřitelné prostřednictvím globální indikátorové sady.   </w:t>
      </w:r>
    </w:p>
    <w:sectPr w:rsidR="008C5A21" w:rsidRPr="00D70D7B" w:rsidSect="003C6737">
      <w:footerReference w:type="default" r:id="rId11"/>
      <w:pgSz w:w="11907" w:h="16839" w:code="9"/>
      <w:pgMar w:top="1134" w:right="1417" w:bottom="1134" w:left="1418" w:header="567" w:footer="56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D222F" w14:textId="77777777" w:rsidR="002F70E5" w:rsidRDefault="002F70E5">
      <w:pPr>
        <w:spacing w:after="0" w:line="240" w:lineRule="auto"/>
      </w:pPr>
      <w:r>
        <w:separator/>
      </w:r>
    </w:p>
  </w:endnote>
  <w:endnote w:type="continuationSeparator" w:id="0">
    <w:p w14:paraId="4CC9DCD6" w14:textId="77777777" w:rsidR="002F70E5" w:rsidRDefault="002F70E5">
      <w:pPr>
        <w:spacing w:after="0" w:line="240" w:lineRule="auto"/>
      </w:pPr>
      <w:r>
        <w:continuationSeparator/>
      </w:r>
    </w:p>
  </w:endnote>
  <w:endnote w:type="continuationNotice" w:id="1">
    <w:p w14:paraId="1E8A7AE9" w14:textId="77777777" w:rsidR="002F70E5" w:rsidRDefault="002F7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4963A" w14:textId="69D753CE" w:rsidR="00B41EAE" w:rsidRDefault="00B41EAE">
    <w:pPr>
      <w:pStyle w:val="Zpat"/>
      <w:jc w:val="right"/>
    </w:pPr>
    <w:r>
      <w:fldChar w:fldCharType="begin"/>
    </w:r>
    <w:r>
      <w:instrText>PAGE   \* MERGEFORMAT</w:instrText>
    </w:r>
    <w:r>
      <w:fldChar w:fldCharType="separate"/>
    </w:r>
    <w:r w:rsidR="00D70D7B">
      <w:rPr>
        <w:noProof/>
      </w:rPr>
      <w:t>14</w:t>
    </w:r>
    <w:r>
      <w:fldChar w:fldCharType="end"/>
    </w:r>
  </w:p>
  <w:p w14:paraId="7B93FEF1" w14:textId="77777777" w:rsidR="00B41EAE" w:rsidRDefault="00B41EAE" w:rsidP="00051B67">
    <w:pPr>
      <w:tabs>
        <w:tab w:val="center" w:pos="4536"/>
        <w:tab w:val="right" w:pos="9072"/>
      </w:tabs>
    </w:pPr>
  </w:p>
  <w:p w14:paraId="6407BD5E" w14:textId="77777777" w:rsidR="00B41EAE" w:rsidRDefault="00B41E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6C12C" w14:textId="77777777" w:rsidR="002F70E5" w:rsidRDefault="002F70E5">
      <w:pPr>
        <w:spacing w:after="0" w:line="240" w:lineRule="auto"/>
      </w:pPr>
      <w:r>
        <w:separator/>
      </w:r>
    </w:p>
  </w:footnote>
  <w:footnote w:type="continuationSeparator" w:id="0">
    <w:p w14:paraId="5AA9FAF1" w14:textId="77777777" w:rsidR="002F70E5" w:rsidRDefault="002F70E5">
      <w:pPr>
        <w:spacing w:after="0" w:line="240" w:lineRule="auto"/>
      </w:pPr>
      <w:r>
        <w:continuationSeparator/>
      </w:r>
    </w:p>
  </w:footnote>
  <w:footnote w:type="continuationNotice" w:id="1">
    <w:p w14:paraId="76AA6F90" w14:textId="77777777" w:rsidR="002F70E5" w:rsidRDefault="002F70E5">
      <w:pPr>
        <w:spacing w:after="0" w:line="240" w:lineRule="auto"/>
      </w:pPr>
    </w:p>
  </w:footnote>
  <w:footnote w:id="2">
    <w:p w14:paraId="5E4C2998" w14:textId="2614B73B" w:rsidR="00B41EAE" w:rsidRPr="00C01546" w:rsidRDefault="00B41EAE" w:rsidP="00637C9F">
      <w:pPr>
        <w:pStyle w:val="Textpoznpodarou"/>
        <w:spacing w:after="0" w:line="240" w:lineRule="auto"/>
        <w:rPr>
          <w:sz w:val="16"/>
          <w:szCs w:val="16"/>
          <w:lang w:val="cs-CZ"/>
        </w:rPr>
      </w:pPr>
      <w:r w:rsidRPr="00C01546">
        <w:rPr>
          <w:rStyle w:val="Znakapoznpodarou"/>
          <w:sz w:val="16"/>
          <w:szCs w:val="16"/>
        </w:rPr>
        <w:footnoteRef/>
      </w:r>
      <w:r w:rsidRPr="00C01546">
        <w:rPr>
          <w:sz w:val="16"/>
          <w:szCs w:val="16"/>
        </w:rPr>
        <w:t xml:space="preserve"> </w:t>
      </w:r>
      <w:r w:rsidRPr="00C01546">
        <w:rPr>
          <w:sz w:val="16"/>
          <w:szCs w:val="16"/>
          <w:lang w:val="cs-CZ"/>
        </w:rPr>
        <w:t>S</w:t>
      </w:r>
      <w:r w:rsidRPr="00C01546">
        <w:rPr>
          <w:sz w:val="16"/>
          <w:szCs w:val="16"/>
        </w:rPr>
        <w:t>chválený usnesením vlády č. 34 ze dne 16.</w:t>
      </w:r>
      <w:r>
        <w:rPr>
          <w:sz w:val="16"/>
          <w:szCs w:val="16"/>
          <w:lang w:val="cs-CZ"/>
        </w:rPr>
        <w:t> </w:t>
      </w:r>
      <w:r w:rsidRPr="00C01546">
        <w:rPr>
          <w:sz w:val="16"/>
          <w:szCs w:val="16"/>
          <w:lang w:val="cs-CZ"/>
        </w:rPr>
        <w:t>1.</w:t>
      </w:r>
      <w:r>
        <w:rPr>
          <w:sz w:val="16"/>
          <w:szCs w:val="16"/>
          <w:lang w:val="cs-CZ"/>
        </w:rPr>
        <w:t> </w:t>
      </w:r>
      <w:r w:rsidRPr="00C01546">
        <w:rPr>
          <w:sz w:val="16"/>
          <w:szCs w:val="16"/>
        </w:rPr>
        <w:t>2017</w:t>
      </w:r>
      <w:r w:rsidRPr="00C01546">
        <w:rPr>
          <w:sz w:val="16"/>
          <w:szCs w:val="16"/>
          <w:lang w:val="cs-CZ"/>
        </w:rPr>
        <w:t>.</w:t>
      </w:r>
    </w:p>
  </w:footnote>
  <w:footnote w:id="3">
    <w:p w14:paraId="2AE4A4EE" w14:textId="64698D6D" w:rsidR="00B41EAE" w:rsidRPr="00206E93" w:rsidRDefault="00B41EAE" w:rsidP="00637C9F">
      <w:pPr>
        <w:pStyle w:val="Textpoznpodarou"/>
        <w:spacing w:after="0" w:line="240" w:lineRule="auto"/>
        <w:rPr>
          <w:lang w:val="cs-CZ"/>
        </w:rPr>
      </w:pPr>
      <w:r w:rsidRPr="00C01546">
        <w:rPr>
          <w:rStyle w:val="Znakapoznpodarou"/>
          <w:sz w:val="16"/>
          <w:szCs w:val="16"/>
        </w:rPr>
        <w:footnoteRef/>
      </w:r>
      <w:r w:rsidRPr="00C01546">
        <w:rPr>
          <w:sz w:val="16"/>
          <w:szCs w:val="16"/>
        </w:rPr>
        <w:t xml:space="preserve"> </w:t>
      </w:r>
      <w:r w:rsidRPr="00C01546">
        <w:rPr>
          <w:sz w:val="16"/>
          <w:szCs w:val="16"/>
          <w:lang w:val="cs-CZ"/>
        </w:rPr>
        <w:t>S</w:t>
      </w:r>
      <w:r w:rsidRPr="00C01546">
        <w:rPr>
          <w:sz w:val="16"/>
          <w:szCs w:val="16"/>
        </w:rPr>
        <w:t>chválen</w:t>
      </w:r>
      <w:r w:rsidRPr="00C01546">
        <w:rPr>
          <w:sz w:val="16"/>
          <w:szCs w:val="16"/>
          <w:lang w:val="cs-CZ"/>
        </w:rPr>
        <w:t>á</w:t>
      </w:r>
      <w:r w:rsidRPr="00C01546">
        <w:rPr>
          <w:sz w:val="16"/>
          <w:szCs w:val="16"/>
        </w:rPr>
        <w:t xml:space="preserve"> usnesením vlády č. 861 ze dne 26.</w:t>
      </w:r>
      <w:r>
        <w:rPr>
          <w:sz w:val="16"/>
          <w:szCs w:val="16"/>
          <w:lang w:val="cs-CZ"/>
        </w:rPr>
        <w:t> </w:t>
      </w:r>
      <w:r w:rsidRPr="00C01546">
        <w:rPr>
          <w:sz w:val="16"/>
          <w:szCs w:val="16"/>
        </w:rPr>
        <w:t>10.</w:t>
      </w:r>
      <w:r>
        <w:rPr>
          <w:sz w:val="16"/>
          <w:szCs w:val="16"/>
          <w:lang w:val="cs-CZ"/>
        </w:rPr>
        <w:t> </w:t>
      </w:r>
      <w:r w:rsidRPr="00C01546">
        <w:rPr>
          <w:sz w:val="16"/>
          <w:szCs w:val="16"/>
        </w:rPr>
        <w:t>2015</w:t>
      </w:r>
      <w:r w:rsidRPr="00C01546">
        <w:rPr>
          <w:sz w:val="16"/>
          <w:szCs w:val="16"/>
          <w:lang w:val="cs-CZ"/>
        </w:rPr>
        <w:t>.</w:t>
      </w:r>
    </w:p>
  </w:footnote>
  <w:footnote w:id="4">
    <w:p w14:paraId="209809D7" w14:textId="77777777" w:rsidR="00B41EAE" w:rsidRPr="00C01546" w:rsidRDefault="00B41EAE" w:rsidP="0085120E">
      <w:pPr>
        <w:pStyle w:val="Textpoznpodarou"/>
        <w:spacing w:after="0" w:line="240" w:lineRule="auto"/>
        <w:rPr>
          <w:sz w:val="16"/>
          <w:szCs w:val="16"/>
          <w:lang w:val="cs-CZ"/>
        </w:rPr>
      </w:pPr>
      <w:r w:rsidRPr="00C01546">
        <w:rPr>
          <w:rStyle w:val="Znakapoznpodarou"/>
          <w:sz w:val="16"/>
          <w:szCs w:val="16"/>
        </w:rPr>
        <w:footnoteRef/>
      </w:r>
      <w:r w:rsidRPr="00C01546">
        <w:rPr>
          <w:sz w:val="16"/>
          <w:szCs w:val="16"/>
        </w:rPr>
        <w:t xml:space="preserve"> </w:t>
      </w:r>
      <w:r w:rsidRPr="00C01546">
        <w:rPr>
          <w:sz w:val="16"/>
          <w:szCs w:val="16"/>
          <w:lang w:val="cs-CZ"/>
        </w:rPr>
        <w:t>U</w:t>
      </w:r>
      <w:r w:rsidRPr="00C01546">
        <w:rPr>
          <w:sz w:val="16"/>
          <w:szCs w:val="16"/>
        </w:rPr>
        <w:t>snesením vlády č. 917 ze dne 16. 12. 2019</w:t>
      </w:r>
    </w:p>
  </w:footnote>
  <w:footnote w:id="5">
    <w:p w14:paraId="40EA900D" w14:textId="77777777" w:rsidR="00B41EAE" w:rsidRPr="0075461A" w:rsidRDefault="00B41EAE" w:rsidP="0085120E">
      <w:pPr>
        <w:pStyle w:val="Textpoznpodarou"/>
        <w:spacing w:after="0" w:line="240" w:lineRule="auto"/>
        <w:rPr>
          <w:sz w:val="16"/>
          <w:szCs w:val="16"/>
          <w:lang w:val="cs-CZ"/>
        </w:rPr>
      </w:pPr>
      <w:r w:rsidRPr="0075461A">
        <w:rPr>
          <w:rStyle w:val="Znakapoznpodarou"/>
          <w:sz w:val="16"/>
          <w:szCs w:val="16"/>
        </w:rPr>
        <w:footnoteRef/>
      </w:r>
      <w:r w:rsidRPr="0075461A">
        <w:rPr>
          <w:sz w:val="16"/>
          <w:szCs w:val="16"/>
        </w:rPr>
        <w:t xml:space="preserve"> </w:t>
      </w:r>
      <w:r w:rsidRPr="0075461A">
        <w:rPr>
          <w:sz w:val="16"/>
          <w:szCs w:val="16"/>
          <w:lang w:val="cs-CZ"/>
        </w:rPr>
        <w:t>Dostupné z: www.suchovkrajine.cz</w:t>
      </w:r>
    </w:p>
  </w:footnote>
  <w:footnote w:id="6">
    <w:p w14:paraId="07C2C961" w14:textId="45CBF22C" w:rsidR="00B41EAE" w:rsidRPr="0075461A" w:rsidRDefault="00B41EAE" w:rsidP="0088006A">
      <w:pPr>
        <w:pStyle w:val="Textpoznpodarou"/>
        <w:spacing w:after="0" w:line="240" w:lineRule="auto"/>
        <w:rPr>
          <w:sz w:val="16"/>
          <w:szCs w:val="16"/>
          <w:lang w:val="cs-CZ"/>
        </w:rPr>
      </w:pPr>
      <w:r w:rsidRPr="0075461A">
        <w:rPr>
          <w:rStyle w:val="Znakapoznpodarou"/>
          <w:sz w:val="16"/>
          <w:szCs w:val="16"/>
        </w:rPr>
        <w:footnoteRef/>
      </w:r>
      <w:r w:rsidRPr="0075461A">
        <w:rPr>
          <w:sz w:val="16"/>
          <w:szCs w:val="16"/>
        </w:rPr>
        <w:t xml:space="preserve"> </w:t>
      </w:r>
      <w:r>
        <w:rPr>
          <w:sz w:val="16"/>
          <w:szCs w:val="16"/>
          <w:lang w:val="cs-CZ"/>
        </w:rPr>
        <w:t>EK</w:t>
      </w:r>
      <w:r w:rsidRPr="0075461A">
        <w:rPr>
          <w:sz w:val="16"/>
          <w:szCs w:val="16"/>
          <w:lang w:val="cs-CZ"/>
        </w:rPr>
        <w:t xml:space="preserve"> v dokumentu Evropská zelená dohoda uvádí, že míra renovací se v EU pohybuje v rozmezí 0,4 </w:t>
      </w:r>
      <w:r>
        <w:rPr>
          <w:sz w:val="16"/>
          <w:szCs w:val="16"/>
          <w:lang w:val="cs-CZ"/>
        </w:rPr>
        <w:t>-</w:t>
      </w:r>
      <w:r w:rsidRPr="0075461A">
        <w:rPr>
          <w:sz w:val="16"/>
          <w:szCs w:val="16"/>
          <w:lang w:val="cs-CZ"/>
        </w:rPr>
        <w:t xml:space="preserve"> 1,2 %. </w:t>
      </w:r>
    </w:p>
  </w:footnote>
  <w:footnote w:id="7">
    <w:p w14:paraId="5CC85576" w14:textId="4A076C02" w:rsidR="00B41EAE" w:rsidRPr="007011BA" w:rsidRDefault="00B41EAE" w:rsidP="0075461A">
      <w:pPr>
        <w:pStyle w:val="Textpoznpodarou"/>
        <w:spacing w:after="0" w:line="240" w:lineRule="auto"/>
        <w:rPr>
          <w:lang w:val="cs-CZ"/>
        </w:rPr>
      </w:pPr>
      <w:r w:rsidRPr="0075461A">
        <w:rPr>
          <w:rStyle w:val="Znakapoznpodarou"/>
          <w:sz w:val="16"/>
          <w:szCs w:val="16"/>
        </w:rPr>
        <w:footnoteRef/>
      </w:r>
      <w:r w:rsidRPr="0075461A">
        <w:rPr>
          <w:sz w:val="16"/>
          <w:szCs w:val="16"/>
        </w:rPr>
        <w:t xml:space="preserve"> </w:t>
      </w:r>
      <w:r w:rsidRPr="0075461A">
        <w:rPr>
          <w:sz w:val="16"/>
          <w:szCs w:val="16"/>
          <w:lang w:val="cs-CZ"/>
        </w:rPr>
        <w:t xml:space="preserve">Indikátor míry cyklického využívání materiálů je definován na evropské úrovni jako </w:t>
      </w:r>
      <w:proofErr w:type="spellStart"/>
      <w:r w:rsidRPr="0075461A">
        <w:rPr>
          <w:sz w:val="16"/>
          <w:szCs w:val="16"/>
          <w:lang w:val="cs-CZ"/>
        </w:rPr>
        <w:t>Circular</w:t>
      </w:r>
      <w:proofErr w:type="spellEnd"/>
      <w:r w:rsidRPr="0075461A">
        <w:rPr>
          <w:sz w:val="16"/>
          <w:szCs w:val="16"/>
          <w:lang w:val="cs-CZ"/>
        </w:rPr>
        <w:t xml:space="preserve"> </w:t>
      </w:r>
      <w:proofErr w:type="spellStart"/>
      <w:r w:rsidRPr="0075461A">
        <w:rPr>
          <w:sz w:val="16"/>
          <w:szCs w:val="16"/>
          <w:lang w:val="cs-CZ"/>
        </w:rPr>
        <w:t>material</w:t>
      </w:r>
      <w:proofErr w:type="spellEnd"/>
      <w:r w:rsidRPr="0075461A">
        <w:rPr>
          <w:sz w:val="16"/>
          <w:szCs w:val="16"/>
          <w:lang w:val="cs-CZ"/>
        </w:rPr>
        <w:t xml:space="preserve"> use </w:t>
      </w:r>
      <w:proofErr w:type="spellStart"/>
      <w:r w:rsidRPr="0075461A">
        <w:rPr>
          <w:sz w:val="16"/>
          <w:szCs w:val="16"/>
          <w:lang w:val="cs-CZ"/>
        </w:rPr>
        <w:t>rate</w:t>
      </w:r>
      <w:proofErr w:type="spellEnd"/>
      <w:r w:rsidRPr="0075461A">
        <w:rPr>
          <w:sz w:val="16"/>
          <w:szCs w:val="16"/>
          <w:lang w:val="cs-CZ"/>
        </w:rPr>
        <w:t xml:space="preserve"> (CMU). Členské státy EU zasílají do EUROSTATU data pro výpočet indikátoru, kterým se monitoruje přechod k oběhovému hospodářství v oblasti druhotných surovin </w:t>
      </w:r>
      <w:hyperlink r:id="rId1" w:history="1">
        <w:r w:rsidRPr="0075461A">
          <w:rPr>
            <w:rStyle w:val="Hypertextovodkaz"/>
            <w:sz w:val="16"/>
            <w:szCs w:val="16"/>
            <w:lang w:val="cs-CZ"/>
          </w:rPr>
          <w:t>https://ec.europa.eu/eurostat/web/circular-economy/indicators/monitoring-framework</w:t>
        </w:r>
      </w:hyperlink>
      <w:r w:rsidRPr="0075461A">
        <w:rPr>
          <w:sz w:val="16"/>
          <w:szCs w:val="16"/>
          <w:lang w:val="cs-CZ"/>
        </w:rPr>
        <w:t>.</w:t>
      </w:r>
    </w:p>
  </w:footnote>
  <w:footnote w:id="8">
    <w:p w14:paraId="7EC2AB32" w14:textId="296E725D" w:rsidR="00B41EAE" w:rsidRPr="0075461A" w:rsidRDefault="00B41EAE">
      <w:pPr>
        <w:pStyle w:val="Textpoznpodarou"/>
        <w:rPr>
          <w:sz w:val="16"/>
          <w:szCs w:val="16"/>
          <w:lang w:val="cs-CZ"/>
        </w:rPr>
      </w:pPr>
      <w:r w:rsidRPr="0075461A">
        <w:rPr>
          <w:rStyle w:val="Znakapoznpodarou"/>
          <w:sz w:val="16"/>
          <w:szCs w:val="16"/>
        </w:rPr>
        <w:footnoteRef/>
      </w:r>
      <w:r w:rsidRPr="0075461A">
        <w:rPr>
          <w:sz w:val="16"/>
          <w:szCs w:val="16"/>
        </w:rPr>
        <w:t xml:space="preserve"> </w:t>
      </w:r>
      <w:r w:rsidRPr="0075461A">
        <w:rPr>
          <w:sz w:val="16"/>
          <w:szCs w:val="16"/>
          <w:lang w:val="cs-CZ"/>
        </w:rPr>
        <w:t>Jedná se o předběžný údaj. Skutečná hodnota nárůstu bude pravděpodobně nižší.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301"/>
    <w:multiLevelType w:val="hybridMultilevel"/>
    <w:tmpl w:val="94725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540414"/>
    <w:multiLevelType w:val="multilevel"/>
    <w:tmpl w:val="E180738C"/>
    <w:lvl w:ilvl="0">
      <w:start w:val="3"/>
      <w:numFmt w:val="decimal"/>
      <w:lvlText w:val="%1"/>
      <w:lvlJc w:val="left"/>
      <w:pPr>
        <w:ind w:left="480" w:firstLine="0"/>
      </w:pPr>
    </w:lvl>
    <w:lvl w:ilvl="1">
      <w:start w:val="1"/>
      <w:numFmt w:val="decimal"/>
      <w:lvlText w:val="%1.%2"/>
      <w:lvlJc w:val="left"/>
      <w:pPr>
        <w:ind w:left="480" w:firstLine="0"/>
      </w:pPr>
    </w:lvl>
    <w:lvl w:ilvl="2">
      <w:start w:val="1"/>
      <w:numFmt w:val="decimal"/>
      <w:pStyle w:val="Styl3"/>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 w15:restartNumberingAfterBreak="0">
    <w:nsid w:val="0B45128A"/>
    <w:multiLevelType w:val="hybridMultilevel"/>
    <w:tmpl w:val="39A4BB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965A72"/>
    <w:multiLevelType w:val="hybridMultilevel"/>
    <w:tmpl w:val="23CA7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CE1571"/>
    <w:multiLevelType w:val="hybridMultilevel"/>
    <w:tmpl w:val="B7FCF0E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170C3"/>
    <w:multiLevelType w:val="hybridMultilevel"/>
    <w:tmpl w:val="594AF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DA19B7"/>
    <w:multiLevelType w:val="multilevel"/>
    <w:tmpl w:val="8064E4C8"/>
    <w:lvl w:ilvl="0">
      <w:start w:val="1"/>
      <w:numFmt w:val="bullet"/>
      <w:lvlText w:val="▪"/>
      <w:lvlJc w:val="left"/>
      <w:pPr>
        <w:ind w:left="1428" w:firstLine="1068"/>
      </w:pPr>
      <w:rPr>
        <w:rFonts w:ascii="Arial" w:eastAsia="Arial" w:hAnsi="Arial" w:cs="Arial"/>
      </w:rPr>
    </w:lvl>
    <w:lvl w:ilvl="1">
      <w:start w:val="1"/>
      <w:numFmt w:val="lowerLetter"/>
      <w:lvlText w:val="%2."/>
      <w:lvlJc w:val="left"/>
      <w:pPr>
        <w:ind w:left="2148" w:firstLine="1788"/>
      </w:pPr>
    </w:lvl>
    <w:lvl w:ilvl="2">
      <w:start w:val="1"/>
      <w:numFmt w:val="lowerRoman"/>
      <w:lvlText w:val="%3."/>
      <w:lvlJc w:val="right"/>
      <w:pPr>
        <w:ind w:left="2868" w:firstLine="2688"/>
      </w:pPr>
    </w:lvl>
    <w:lvl w:ilvl="3">
      <w:start w:val="1"/>
      <w:numFmt w:val="decimal"/>
      <w:lvlText w:val="%4."/>
      <w:lvlJc w:val="left"/>
      <w:pPr>
        <w:ind w:left="3588" w:firstLine="3228"/>
      </w:pPr>
    </w:lvl>
    <w:lvl w:ilvl="4">
      <w:start w:val="1"/>
      <w:numFmt w:val="lowerLetter"/>
      <w:lvlText w:val="%5."/>
      <w:lvlJc w:val="left"/>
      <w:pPr>
        <w:ind w:left="4308" w:firstLine="3948"/>
      </w:pPr>
    </w:lvl>
    <w:lvl w:ilvl="5">
      <w:start w:val="1"/>
      <w:numFmt w:val="lowerRoman"/>
      <w:lvlText w:val="%6."/>
      <w:lvlJc w:val="right"/>
      <w:pPr>
        <w:ind w:left="5028" w:firstLine="4848"/>
      </w:pPr>
    </w:lvl>
    <w:lvl w:ilvl="6">
      <w:start w:val="1"/>
      <w:numFmt w:val="decimal"/>
      <w:lvlText w:val="%7."/>
      <w:lvlJc w:val="left"/>
      <w:pPr>
        <w:ind w:left="5748" w:firstLine="5388"/>
      </w:pPr>
    </w:lvl>
    <w:lvl w:ilvl="7">
      <w:start w:val="1"/>
      <w:numFmt w:val="lowerLetter"/>
      <w:lvlText w:val="%8."/>
      <w:lvlJc w:val="left"/>
      <w:pPr>
        <w:ind w:left="6468" w:firstLine="6108"/>
      </w:pPr>
    </w:lvl>
    <w:lvl w:ilvl="8">
      <w:start w:val="1"/>
      <w:numFmt w:val="lowerRoman"/>
      <w:lvlText w:val="%9."/>
      <w:lvlJc w:val="right"/>
      <w:pPr>
        <w:ind w:left="7188" w:firstLine="7008"/>
      </w:pPr>
    </w:lvl>
  </w:abstractNum>
  <w:abstractNum w:abstractNumId="7" w15:restartNumberingAfterBreak="0">
    <w:nsid w:val="153E151D"/>
    <w:multiLevelType w:val="hybridMultilevel"/>
    <w:tmpl w:val="634007E0"/>
    <w:lvl w:ilvl="0" w:tplc="7102D4C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18C041EA"/>
    <w:multiLevelType w:val="hybridMultilevel"/>
    <w:tmpl w:val="F3081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480809"/>
    <w:multiLevelType w:val="hybridMultilevel"/>
    <w:tmpl w:val="659470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E7DCE"/>
    <w:multiLevelType w:val="hybridMultilevel"/>
    <w:tmpl w:val="31C4B35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6C7199"/>
    <w:multiLevelType w:val="multilevel"/>
    <w:tmpl w:val="9ED4A8D2"/>
    <w:lvl w:ilvl="0">
      <w:start w:val="1"/>
      <w:numFmt w:val="bullet"/>
      <w:lvlText w:val="▪"/>
      <w:lvlJc w:val="left"/>
      <w:pPr>
        <w:ind w:left="1428" w:firstLine="1068"/>
      </w:pPr>
      <w:rPr>
        <w:rFonts w:ascii="Arial" w:eastAsia="Arial" w:hAnsi="Arial" w:cs="Arial"/>
      </w:rPr>
    </w:lvl>
    <w:lvl w:ilvl="1">
      <w:start w:val="1"/>
      <w:numFmt w:val="lowerLetter"/>
      <w:lvlText w:val="%2."/>
      <w:lvlJc w:val="left"/>
      <w:pPr>
        <w:ind w:left="2148" w:firstLine="1788"/>
      </w:pPr>
    </w:lvl>
    <w:lvl w:ilvl="2">
      <w:start w:val="1"/>
      <w:numFmt w:val="lowerRoman"/>
      <w:lvlText w:val="%3."/>
      <w:lvlJc w:val="right"/>
      <w:pPr>
        <w:ind w:left="2868" w:firstLine="2688"/>
      </w:pPr>
    </w:lvl>
    <w:lvl w:ilvl="3">
      <w:start w:val="1"/>
      <w:numFmt w:val="decimal"/>
      <w:lvlText w:val="%4."/>
      <w:lvlJc w:val="left"/>
      <w:pPr>
        <w:ind w:left="3588" w:firstLine="3228"/>
      </w:pPr>
    </w:lvl>
    <w:lvl w:ilvl="4">
      <w:start w:val="1"/>
      <w:numFmt w:val="lowerLetter"/>
      <w:lvlText w:val="%5."/>
      <w:lvlJc w:val="left"/>
      <w:pPr>
        <w:ind w:left="4308" w:firstLine="3948"/>
      </w:pPr>
    </w:lvl>
    <w:lvl w:ilvl="5">
      <w:start w:val="1"/>
      <w:numFmt w:val="lowerRoman"/>
      <w:lvlText w:val="%6."/>
      <w:lvlJc w:val="right"/>
      <w:pPr>
        <w:ind w:left="5028" w:firstLine="4848"/>
      </w:pPr>
    </w:lvl>
    <w:lvl w:ilvl="6">
      <w:start w:val="1"/>
      <w:numFmt w:val="decimal"/>
      <w:lvlText w:val="%7."/>
      <w:lvlJc w:val="left"/>
      <w:pPr>
        <w:ind w:left="5748" w:firstLine="5388"/>
      </w:pPr>
    </w:lvl>
    <w:lvl w:ilvl="7">
      <w:start w:val="1"/>
      <w:numFmt w:val="lowerLetter"/>
      <w:lvlText w:val="%8."/>
      <w:lvlJc w:val="left"/>
      <w:pPr>
        <w:ind w:left="6468" w:firstLine="6108"/>
      </w:pPr>
    </w:lvl>
    <w:lvl w:ilvl="8">
      <w:start w:val="1"/>
      <w:numFmt w:val="lowerRoman"/>
      <w:lvlText w:val="%9."/>
      <w:lvlJc w:val="right"/>
      <w:pPr>
        <w:ind w:left="7188" w:firstLine="7008"/>
      </w:pPr>
    </w:lvl>
  </w:abstractNum>
  <w:abstractNum w:abstractNumId="12" w15:restartNumberingAfterBreak="0">
    <w:nsid w:val="28CF4909"/>
    <w:multiLevelType w:val="hybridMultilevel"/>
    <w:tmpl w:val="1D5480B4"/>
    <w:lvl w:ilvl="0" w:tplc="8E001D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CB7C31"/>
    <w:multiLevelType w:val="hybridMultilevel"/>
    <w:tmpl w:val="87FE8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112DF"/>
    <w:multiLevelType w:val="hybridMultilevel"/>
    <w:tmpl w:val="13AADF7A"/>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15" w15:restartNumberingAfterBreak="0">
    <w:nsid w:val="3DCD1A6A"/>
    <w:multiLevelType w:val="hybridMultilevel"/>
    <w:tmpl w:val="0366C49A"/>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16" w15:restartNumberingAfterBreak="0">
    <w:nsid w:val="41F648A2"/>
    <w:multiLevelType w:val="multilevel"/>
    <w:tmpl w:val="C9763666"/>
    <w:lvl w:ilvl="0">
      <w:start w:val="3"/>
      <w:numFmt w:val="decimal"/>
      <w:lvlText w:val="%1."/>
      <w:lvlJc w:val="left"/>
      <w:pPr>
        <w:ind w:left="360" w:hanging="360"/>
      </w:pPr>
      <w:rPr>
        <w:rFonts w:hint="default"/>
      </w:rPr>
    </w:lvl>
    <w:lvl w:ilvl="1">
      <w:start w:val="3"/>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4135EE7"/>
    <w:multiLevelType w:val="hybridMultilevel"/>
    <w:tmpl w:val="1696C5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46D53BF"/>
    <w:multiLevelType w:val="hybridMultilevel"/>
    <w:tmpl w:val="00681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7102A5"/>
    <w:multiLevelType w:val="hybridMultilevel"/>
    <w:tmpl w:val="45240D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B6601D"/>
    <w:multiLevelType w:val="hybridMultilevel"/>
    <w:tmpl w:val="EC76FAD0"/>
    <w:lvl w:ilvl="0" w:tplc="9C527D6A">
      <w:start w:val="1"/>
      <w:numFmt w:val="bullet"/>
      <w:lvlText w:val=""/>
      <w:lvlJc w:val="left"/>
      <w:pPr>
        <w:ind w:left="720" w:hanging="360"/>
      </w:pPr>
      <w:rPr>
        <w:rFonts w:ascii="Symbol" w:hAnsi="Symbol" w:hint="default"/>
      </w:rPr>
    </w:lvl>
    <w:lvl w:ilvl="1" w:tplc="AF528B96">
      <w:start w:val="1"/>
      <w:numFmt w:val="bullet"/>
      <w:lvlText w:val="o"/>
      <w:lvlJc w:val="left"/>
      <w:pPr>
        <w:ind w:left="1440" w:hanging="360"/>
      </w:pPr>
      <w:rPr>
        <w:rFonts w:ascii="Courier New" w:hAnsi="Courier New" w:hint="default"/>
      </w:rPr>
    </w:lvl>
    <w:lvl w:ilvl="2" w:tplc="A0AE9C80">
      <w:start w:val="1"/>
      <w:numFmt w:val="bullet"/>
      <w:lvlText w:val=""/>
      <w:lvlJc w:val="left"/>
      <w:pPr>
        <w:ind w:left="2160" w:hanging="360"/>
      </w:pPr>
      <w:rPr>
        <w:rFonts w:ascii="Wingdings" w:hAnsi="Wingdings" w:hint="default"/>
      </w:rPr>
    </w:lvl>
    <w:lvl w:ilvl="3" w:tplc="4E4ADCCE">
      <w:start w:val="1"/>
      <w:numFmt w:val="bullet"/>
      <w:lvlText w:val=""/>
      <w:lvlJc w:val="left"/>
      <w:pPr>
        <w:ind w:left="2880" w:hanging="360"/>
      </w:pPr>
      <w:rPr>
        <w:rFonts w:ascii="Symbol" w:hAnsi="Symbol" w:hint="default"/>
      </w:rPr>
    </w:lvl>
    <w:lvl w:ilvl="4" w:tplc="85822BB2">
      <w:start w:val="1"/>
      <w:numFmt w:val="bullet"/>
      <w:lvlText w:val="o"/>
      <w:lvlJc w:val="left"/>
      <w:pPr>
        <w:ind w:left="3600" w:hanging="360"/>
      </w:pPr>
      <w:rPr>
        <w:rFonts w:ascii="Courier New" w:hAnsi="Courier New" w:hint="default"/>
      </w:rPr>
    </w:lvl>
    <w:lvl w:ilvl="5" w:tplc="C64AA862">
      <w:start w:val="1"/>
      <w:numFmt w:val="bullet"/>
      <w:lvlText w:val=""/>
      <w:lvlJc w:val="left"/>
      <w:pPr>
        <w:ind w:left="4320" w:hanging="360"/>
      </w:pPr>
      <w:rPr>
        <w:rFonts w:ascii="Wingdings" w:hAnsi="Wingdings" w:hint="default"/>
      </w:rPr>
    </w:lvl>
    <w:lvl w:ilvl="6" w:tplc="664AAA98">
      <w:start w:val="1"/>
      <w:numFmt w:val="bullet"/>
      <w:lvlText w:val=""/>
      <w:lvlJc w:val="left"/>
      <w:pPr>
        <w:ind w:left="5040" w:hanging="360"/>
      </w:pPr>
      <w:rPr>
        <w:rFonts w:ascii="Symbol" w:hAnsi="Symbol" w:hint="default"/>
      </w:rPr>
    </w:lvl>
    <w:lvl w:ilvl="7" w:tplc="08EA341A">
      <w:start w:val="1"/>
      <w:numFmt w:val="bullet"/>
      <w:lvlText w:val="o"/>
      <w:lvlJc w:val="left"/>
      <w:pPr>
        <w:ind w:left="5760" w:hanging="360"/>
      </w:pPr>
      <w:rPr>
        <w:rFonts w:ascii="Courier New" w:hAnsi="Courier New" w:hint="default"/>
      </w:rPr>
    </w:lvl>
    <w:lvl w:ilvl="8" w:tplc="12B2BB18">
      <w:start w:val="1"/>
      <w:numFmt w:val="bullet"/>
      <w:lvlText w:val=""/>
      <w:lvlJc w:val="left"/>
      <w:pPr>
        <w:ind w:left="6480" w:hanging="360"/>
      </w:pPr>
      <w:rPr>
        <w:rFonts w:ascii="Wingdings" w:hAnsi="Wingdings" w:hint="default"/>
      </w:rPr>
    </w:lvl>
  </w:abstractNum>
  <w:abstractNum w:abstractNumId="21" w15:restartNumberingAfterBreak="0">
    <w:nsid w:val="52210410"/>
    <w:multiLevelType w:val="hybridMultilevel"/>
    <w:tmpl w:val="FD647948"/>
    <w:lvl w:ilvl="0" w:tplc="4F1EA806">
      <w:start w:val="1"/>
      <w:numFmt w:val="decimal"/>
      <w:lvlText w:val="%1."/>
      <w:lvlJc w:val="left"/>
      <w:pPr>
        <w:ind w:left="699" w:hanging="567"/>
      </w:pPr>
      <w:rPr>
        <w:rFonts w:ascii="Times New Roman" w:eastAsia="Times New Roman" w:hAnsi="Times New Roman" w:cs="Times New Roman" w:hint="default"/>
        <w:spacing w:val="-8"/>
        <w:w w:val="100"/>
        <w:sz w:val="24"/>
        <w:szCs w:val="24"/>
        <w:lang w:val="sk-SK" w:eastAsia="sk-SK" w:bidi="sk-SK"/>
      </w:rPr>
    </w:lvl>
    <w:lvl w:ilvl="1" w:tplc="993ABB7E">
      <w:numFmt w:val="bullet"/>
      <w:lvlText w:val="•"/>
      <w:lvlJc w:val="left"/>
      <w:pPr>
        <w:ind w:left="1618" w:hanging="567"/>
      </w:pPr>
      <w:rPr>
        <w:rFonts w:hint="default"/>
        <w:lang w:val="sk-SK" w:eastAsia="sk-SK" w:bidi="sk-SK"/>
      </w:rPr>
    </w:lvl>
    <w:lvl w:ilvl="2" w:tplc="67E09B16">
      <w:numFmt w:val="bullet"/>
      <w:lvlText w:val="•"/>
      <w:lvlJc w:val="left"/>
      <w:pPr>
        <w:ind w:left="2537" w:hanging="567"/>
      </w:pPr>
      <w:rPr>
        <w:rFonts w:hint="default"/>
        <w:lang w:val="sk-SK" w:eastAsia="sk-SK" w:bidi="sk-SK"/>
      </w:rPr>
    </w:lvl>
    <w:lvl w:ilvl="3" w:tplc="4822AEA8">
      <w:numFmt w:val="bullet"/>
      <w:lvlText w:val="•"/>
      <w:lvlJc w:val="left"/>
      <w:pPr>
        <w:ind w:left="3455" w:hanging="567"/>
      </w:pPr>
      <w:rPr>
        <w:rFonts w:hint="default"/>
        <w:lang w:val="sk-SK" w:eastAsia="sk-SK" w:bidi="sk-SK"/>
      </w:rPr>
    </w:lvl>
    <w:lvl w:ilvl="4" w:tplc="014E49E4">
      <w:numFmt w:val="bullet"/>
      <w:lvlText w:val="•"/>
      <w:lvlJc w:val="left"/>
      <w:pPr>
        <w:ind w:left="4374" w:hanging="567"/>
      </w:pPr>
      <w:rPr>
        <w:rFonts w:hint="default"/>
        <w:lang w:val="sk-SK" w:eastAsia="sk-SK" w:bidi="sk-SK"/>
      </w:rPr>
    </w:lvl>
    <w:lvl w:ilvl="5" w:tplc="2300355C">
      <w:numFmt w:val="bullet"/>
      <w:lvlText w:val="•"/>
      <w:lvlJc w:val="left"/>
      <w:pPr>
        <w:ind w:left="5293" w:hanging="567"/>
      </w:pPr>
      <w:rPr>
        <w:rFonts w:hint="default"/>
        <w:lang w:val="sk-SK" w:eastAsia="sk-SK" w:bidi="sk-SK"/>
      </w:rPr>
    </w:lvl>
    <w:lvl w:ilvl="6" w:tplc="61461D40">
      <w:numFmt w:val="bullet"/>
      <w:lvlText w:val="•"/>
      <w:lvlJc w:val="left"/>
      <w:pPr>
        <w:ind w:left="6211" w:hanging="567"/>
      </w:pPr>
      <w:rPr>
        <w:rFonts w:hint="default"/>
        <w:lang w:val="sk-SK" w:eastAsia="sk-SK" w:bidi="sk-SK"/>
      </w:rPr>
    </w:lvl>
    <w:lvl w:ilvl="7" w:tplc="8050ED66">
      <w:numFmt w:val="bullet"/>
      <w:lvlText w:val="•"/>
      <w:lvlJc w:val="left"/>
      <w:pPr>
        <w:ind w:left="7130" w:hanging="567"/>
      </w:pPr>
      <w:rPr>
        <w:rFonts w:hint="default"/>
        <w:lang w:val="sk-SK" w:eastAsia="sk-SK" w:bidi="sk-SK"/>
      </w:rPr>
    </w:lvl>
    <w:lvl w:ilvl="8" w:tplc="0EA4F7EA">
      <w:numFmt w:val="bullet"/>
      <w:lvlText w:val="•"/>
      <w:lvlJc w:val="left"/>
      <w:pPr>
        <w:ind w:left="8049" w:hanging="567"/>
      </w:pPr>
      <w:rPr>
        <w:rFonts w:hint="default"/>
        <w:lang w:val="sk-SK" w:eastAsia="sk-SK" w:bidi="sk-SK"/>
      </w:rPr>
    </w:lvl>
  </w:abstractNum>
  <w:abstractNum w:abstractNumId="22" w15:restartNumberingAfterBreak="0">
    <w:nsid w:val="59514484"/>
    <w:multiLevelType w:val="hybridMultilevel"/>
    <w:tmpl w:val="848C7346"/>
    <w:lvl w:ilvl="0" w:tplc="04050011">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47C430D"/>
    <w:multiLevelType w:val="hybridMultilevel"/>
    <w:tmpl w:val="37867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835EE8"/>
    <w:multiLevelType w:val="hybridMultilevel"/>
    <w:tmpl w:val="7E38AD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B628C1"/>
    <w:multiLevelType w:val="multilevel"/>
    <w:tmpl w:val="DD188C4A"/>
    <w:lvl w:ilvl="0">
      <w:start w:val="1"/>
      <w:numFmt w:val="decimal"/>
      <w:pStyle w:val="Styl1"/>
      <w:lvlText w:val="%1."/>
      <w:lvlJc w:val="left"/>
      <w:pPr>
        <w:ind w:left="360" w:firstLine="0"/>
      </w:pPr>
    </w:lvl>
    <w:lvl w:ilvl="1">
      <w:start w:val="2"/>
      <w:numFmt w:val="decimal"/>
      <w:lvlText w:val="%1.%2"/>
      <w:lvlJc w:val="left"/>
      <w:pPr>
        <w:ind w:left="64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6" w15:restartNumberingAfterBreak="0">
    <w:nsid w:val="70070994"/>
    <w:multiLevelType w:val="hybridMultilevel"/>
    <w:tmpl w:val="6302C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73732F"/>
    <w:multiLevelType w:val="hybridMultilevel"/>
    <w:tmpl w:val="3E581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CA5E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045B3D"/>
    <w:multiLevelType w:val="multilevel"/>
    <w:tmpl w:val="038A3848"/>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060F7E"/>
    <w:multiLevelType w:val="hybridMultilevel"/>
    <w:tmpl w:val="274C1656"/>
    <w:lvl w:ilvl="0" w:tplc="37D693FE">
      <w:start w:val="1"/>
      <w:numFmt w:val="bullet"/>
      <w:lvlText w:val=""/>
      <w:lvlJc w:val="left"/>
      <w:pPr>
        <w:ind w:left="720" w:hanging="360"/>
      </w:pPr>
      <w:rPr>
        <w:rFonts w:ascii="Symbol" w:hAnsi="Symbol" w:hint="default"/>
      </w:rPr>
    </w:lvl>
    <w:lvl w:ilvl="1" w:tplc="F05461C0">
      <w:start w:val="1"/>
      <w:numFmt w:val="bullet"/>
      <w:lvlText w:val="o"/>
      <w:lvlJc w:val="left"/>
      <w:pPr>
        <w:ind w:left="1440" w:hanging="360"/>
      </w:pPr>
      <w:rPr>
        <w:rFonts w:ascii="Courier New" w:hAnsi="Courier New" w:hint="default"/>
      </w:rPr>
    </w:lvl>
    <w:lvl w:ilvl="2" w:tplc="76D42C4C">
      <w:start w:val="1"/>
      <w:numFmt w:val="bullet"/>
      <w:lvlText w:val=""/>
      <w:lvlJc w:val="left"/>
      <w:pPr>
        <w:ind w:left="2160" w:hanging="360"/>
      </w:pPr>
      <w:rPr>
        <w:rFonts w:ascii="Wingdings" w:hAnsi="Wingdings" w:hint="default"/>
      </w:rPr>
    </w:lvl>
    <w:lvl w:ilvl="3" w:tplc="B5FE47C6">
      <w:start w:val="1"/>
      <w:numFmt w:val="bullet"/>
      <w:lvlText w:val=""/>
      <w:lvlJc w:val="left"/>
      <w:pPr>
        <w:ind w:left="2880" w:hanging="360"/>
      </w:pPr>
      <w:rPr>
        <w:rFonts w:ascii="Symbol" w:hAnsi="Symbol" w:hint="default"/>
      </w:rPr>
    </w:lvl>
    <w:lvl w:ilvl="4" w:tplc="01882ACA">
      <w:start w:val="1"/>
      <w:numFmt w:val="bullet"/>
      <w:lvlText w:val="o"/>
      <w:lvlJc w:val="left"/>
      <w:pPr>
        <w:ind w:left="3600" w:hanging="360"/>
      </w:pPr>
      <w:rPr>
        <w:rFonts w:ascii="Courier New" w:hAnsi="Courier New" w:hint="default"/>
      </w:rPr>
    </w:lvl>
    <w:lvl w:ilvl="5" w:tplc="E5DCDAD8">
      <w:start w:val="1"/>
      <w:numFmt w:val="bullet"/>
      <w:lvlText w:val=""/>
      <w:lvlJc w:val="left"/>
      <w:pPr>
        <w:ind w:left="4320" w:hanging="360"/>
      </w:pPr>
      <w:rPr>
        <w:rFonts w:ascii="Wingdings" w:hAnsi="Wingdings" w:hint="default"/>
      </w:rPr>
    </w:lvl>
    <w:lvl w:ilvl="6" w:tplc="20FCBD74">
      <w:start w:val="1"/>
      <w:numFmt w:val="bullet"/>
      <w:lvlText w:val=""/>
      <w:lvlJc w:val="left"/>
      <w:pPr>
        <w:ind w:left="5040" w:hanging="360"/>
      </w:pPr>
      <w:rPr>
        <w:rFonts w:ascii="Symbol" w:hAnsi="Symbol" w:hint="default"/>
      </w:rPr>
    </w:lvl>
    <w:lvl w:ilvl="7" w:tplc="A9DE2E34">
      <w:start w:val="1"/>
      <w:numFmt w:val="bullet"/>
      <w:lvlText w:val="o"/>
      <w:lvlJc w:val="left"/>
      <w:pPr>
        <w:ind w:left="5760" w:hanging="360"/>
      </w:pPr>
      <w:rPr>
        <w:rFonts w:ascii="Courier New" w:hAnsi="Courier New" w:hint="default"/>
      </w:rPr>
    </w:lvl>
    <w:lvl w:ilvl="8" w:tplc="FF62EB9C">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25"/>
  </w:num>
  <w:num w:numId="5">
    <w:abstractNumId w:val="29"/>
  </w:num>
  <w:num w:numId="6">
    <w:abstractNumId w:val="12"/>
  </w:num>
  <w:num w:numId="7">
    <w:abstractNumId w:val="25"/>
  </w:num>
  <w:num w:numId="8">
    <w:abstractNumId w:val="25"/>
    <w:lvlOverride w:ilvl="0">
      <w:startOverride w:val="3"/>
    </w:lvlOverride>
    <w:lvlOverride w:ilvl="1">
      <w:startOverride w:val="1"/>
    </w:lvlOverride>
  </w:num>
  <w:num w:numId="9">
    <w:abstractNumId w:val="4"/>
  </w:num>
  <w:num w:numId="10">
    <w:abstractNumId w:val="9"/>
  </w:num>
  <w:num w:numId="11">
    <w:abstractNumId w:val="16"/>
  </w:num>
  <w:num w:numId="12">
    <w:abstractNumId w:val="25"/>
  </w:num>
  <w:num w:numId="13">
    <w:abstractNumId w:val="13"/>
  </w:num>
  <w:num w:numId="14">
    <w:abstractNumId w:val="5"/>
  </w:num>
  <w:num w:numId="15">
    <w:abstractNumId w:val="25"/>
  </w:num>
  <w:num w:numId="16">
    <w:abstractNumId w:val="2"/>
  </w:num>
  <w:num w:numId="17">
    <w:abstractNumId w:val="8"/>
  </w:num>
  <w:num w:numId="18">
    <w:abstractNumId w:val="28"/>
  </w:num>
  <w:num w:numId="19">
    <w:abstractNumId w:val="25"/>
  </w:num>
  <w:num w:numId="20">
    <w:abstractNumId w:val="25"/>
  </w:num>
  <w:num w:numId="21">
    <w:abstractNumId w:val="25"/>
  </w:num>
  <w:num w:numId="22">
    <w:abstractNumId w:val="25"/>
  </w:num>
  <w:num w:numId="23">
    <w:abstractNumId w:val="14"/>
  </w:num>
  <w:num w:numId="24">
    <w:abstractNumId w:val="19"/>
  </w:num>
  <w:num w:numId="25">
    <w:abstractNumId w:val="24"/>
  </w:num>
  <w:num w:numId="26">
    <w:abstractNumId w:val="17"/>
  </w:num>
  <w:num w:numId="27">
    <w:abstractNumId w:val="26"/>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0"/>
  </w:num>
  <w:num w:numId="32">
    <w:abstractNumId w:val="0"/>
  </w:num>
  <w:num w:numId="33">
    <w:abstractNumId w:val="25"/>
  </w:num>
  <w:num w:numId="34">
    <w:abstractNumId w:val="21"/>
  </w:num>
  <w:num w:numId="35">
    <w:abstractNumId w:val="27"/>
  </w:num>
  <w:num w:numId="36">
    <w:abstractNumId w:val="23"/>
  </w:num>
  <w:num w:numId="37">
    <w:abstractNumId w:val="30"/>
  </w:num>
  <w:num w:numId="38">
    <w:abstractNumId w:val="20"/>
  </w:num>
  <w:num w:numId="39">
    <w:abstractNumId w:val="3"/>
  </w:num>
  <w:num w:numId="40">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7F"/>
    <w:rsid w:val="00000807"/>
    <w:rsid w:val="00000824"/>
    <w:rsid w:val="00001E70"/>
    <w:rsid w:val="00001E8B"/>
    <w:rsid w:val="0000272A"/>
    <w:rsid w:val="000030CB"/>
    <w:rsid w:val="0000552D"/>
    <w:rsid w:val="000075E5"/>
    <w:rsid w:val="00010E42"/>
    <w:rsid w:val="000117A9"/>
    <w:rsid w:val="00011BDC"/>
    <w:rsid w:val="00011E96"/>
    <w:rsid w:val="00014051"/>
    <w:rsid w:val="000173EF"/>
    <w:rsid w:val="000179D6"/>
    <w:rsid w:val="0002183C"/>
    <w:rsid w:val="00022A69"/>
    <w:rsid w:val="00022E9E"/>
    <w:rsid w:val="00023EBB"/>
    <w:rsid w:val="000247C8"/>
    <w:rsid w:val="00024814"/>
    <w:rsid w:val="000268DA"/>
    <w:rsid w:val="0003102B"/>
    <w:rsid w:val="00032F22"/>
    <w:rsid w:val="000330F5"/>
    <w:rsid w:val="0003499B"/>
    <w:rsid w:val="000406ED"/>
    <w:rsid w:val="00040E2F"/>
    <w:rsid w:val="00042630"/>
    <w:rsid w:val="00043C8F"/>
    <w:rsid w:val="0004477C"/>
    <w:rsid w:val="00044D22"/>
    <w:rsid w:val="00046357"/>
    <w:rsid w:val="00050BA7"/>
    <w:rsid w:val="00050EB3"/>
    <w:rsid w:val="00051B67"/>
    <w:rsid w:val="00051D88"/>
    <w:rsid w:val="0005373F"/>
    <w:rsid w:val="00054539"/>
    <w:rsid w:val="0006140C"/>
    <w:rsid w:val="0006563E"/>
    <w:rsid w:val="00065C00"/>
    <w:rsid w:val="00071434"/>
    <w:rsid w:val="00071EFF"/>
    <w:rsid w:val="0007358A"/>
    <w:rsid w:val="00073FAA"/>
    <w:rsid w:val="000762A2"/>
    <w:rsid w:val="00076999"/>
    <w:rsid w:val="000776F4"/>
    <w:rsid w:val="00080412"/>
    <w:rsid w:val="000823DE"/>
    <w:rsid w:val="000824F4"/>
    <w:rsid w:val="00082559"/>
    <w:rsid w:val="00083E08"/>
    <w:rsid w:val="00085ECA"/>
    <w:rsid w:val="00086E99"/>
    <w:rsid w:val="000876DA"/>
    <w:rsid w:val="000876F9"/>
    <w:rsid w:val="000903E1"/>
    <w:rsid w:val="00095DE1"/>
    <w:rsid w:val="00097D16"/>
    <w:rsid w:val="000A180C"/>
    <w:rsid w:val="000A2FEE"/>
    <w:rsid w:val="000A3206"/>
    <w:rsid w:val="000A3582"/>
    <w:rsid w:val="000A3A80"/>
    <w:rsid w:val="000A4492"/>
    <w:rsid w:val="000A4B67"/>
    <w:rsid w:val="000A6402"/>
    <w:rsid w:val="000B1269"/>
    <w:rsid w:val="000B154C"/>
    <w:rsid w:val="000B4447"/>
    <w:rsid w:val="000B467A"/>
    <w:rsid w:val="000B5C31"/>
    <w:rsid w:val="000B5C87"/>
    <w:rsid w:val="000B5E20"/>
    <w:rsid w:val="000B7590"/>
    <w:rsid w:val="000B7F24"/>
    <w:rsid w:val="000C079E"/>
    <w:rsid w:val="000C18F3"/>
    <w:rsid w:val="000C3C1C"/>
    <w:rsid w:val="000C4FA7"/>
    <w:rsid w:val="000C623C"/>
    <w:rsid w:val="000C7990"/>
    <w:rsid w:val="000D0585"/>
    <w:rsid w:val="000D0FC6"/>
    <w:rsid w:val="000D1A62"/>
    <w:rsid w:val="000D5450"/>
    <w:rsid w:val="000E03DB"/>
    <w:rsid w:val="000E20A5"/>
    <w:rsid w:val="000E3FFF"/>
    <w:rsid w:val="000E572C"/>
    <w:rsid w:val="000E6C9B"/>
    <w:rsid w:val="000F22EE"/>
    <w:rsid w:val="000F3BF0"/>
    <w:rsid w:val="000F4A15"/>
    <w:rsid w:val="000F4EF9"/>
    <w:rsid w:val="000F566C"/>
    <w:rsid w:val="000F6412"/>
    <w:rsid w:val="000F6C75"/>
    <w:rsid w:val="000F79A2"/>
    <w:rsid w:val="000F7A8B"/>
    <w:rsid w:val="0010127F"/>
    <w:rsid w:val="001014A8"/>
    <w:rsid w:val="00102346"/>
    <w:rsid w:val="001023B5"/>
    <w:rsid w:val="001024DD"/>
    <w:rsid w:val="00104525"/>
    <w:rsid w:val="00105702"/>
    <w:rsid w:val="001100D5"/>
    <w:rsid w:val="00110244"/>
    <w:rsid w:val="00110AA5"/>
    <w:rsid w:val="001117E0"/>
    <w:rsid w:val="00115A1E"/>
    <w:rsid w:val="00116B31"/>
    <w:rsid w:val="00120EC5"/>
    <w:rsid w:val="00121DF7"/>
    <w:rsid w:val="0012373B"/>
    <w:rsid w:val="00123D79"/>
    <w:rsid w:val="00124D46"/>
    <w:rsid w:val="0013277E"/>
    <w:rsid w:val="001335B3"/>
    <w:rsid w:val="00137909"/>
    <w:rsid w:val="00140786"/>
    <w:rsid w:val="00140A18"/>
    <w:rsid w:val="00141FBB"/>
    <w:rsid w:val="00143819"/>
    <w:rsid w:val="00143E89"/>
    <w:rsid w:val="0015267D"/>
    <w:rsid w:val="00153039"/>
    <w:rsid w:val="00153F78"/>
    <w:rsid w:val="00154AE1"/>
    <w:rsid w:val="00154C94"/>
    <w:rsid w:val="001568E4"/>
    <w:rsid w:val="0015741C"/>
    <w:rsid w:val="001578CC"/>
    <w:rsid w:val="001611E1"/>
    <w:rsid w:val="001614F7"/>
    <w:rsid w:val="00161A51"/>
    <w:rsid w:val="0016313B"/>
    <w:rsid w:val="0016368F"/>
    <w:rsid w:val="001648E7"/>
    <w:rsid w:val="00166467"/>
    <w:rsid w:val="00167BF3"/>
    <w:rsid w:val="0017205C"/>
    <w:rsid w:val="00173BFE"/>
    <w:rsid w:val="001753F2"/>
    <w:rsid w:val="00176A4D"/>
    <w:rsid w:val="001779F4"/>
    <w:rsid w:val="001807F0"/>
    <w:rsid w:val="00182048"/>
    <w:rsid w:val="00183130"/>
    <w:rsid w:val="0018520C"/>
    <w:rsid w:val="00185526"/>
    <w:rsid w:val="0018692D"/>
    <w:rsid w:val="00187CC8"/>
    <w:rsid w:val="00187CDA"/>
    <w:rsid w:val="00187FE9"/>
    <w:rsid w:val="00192429"/>
    <w:rsid w:val="00192851"/>
    <w:rsid w:val="00192D8C"/>
    <w:rsid w:val="0019543C"/>
    <w:rsid w:val="0019661A"/>
    <w:rsid w:val="001A0217"/>
    <w:rsid w:val="001A107F"/>
    <w:rsid w:val="001A7B6A"/>
    <w:rsid w:val="001B2267"/>
    <w:rsid w:val="001B29DC"/>
    <w:rsid w:val="001B3FEA"/>
    <w:rsid w:val="001B54CA"/>
    <w:rsid w:val="001B562B"/>
    <w:rsid w:val="001B6AA8"/>
    <w:rsid w:val="001B6E2E"/>
    <w:rsid w:val="001B7BA9"/>
    <w:rsid w:val="001C0ECC"/>
    <w:rsid w:val="001C0F47"/>
    <w:rsid w:val="001C53C0"/>
    <w:rsid w:val="001C5410"/>
    <w:rsid w:val="001C62F4"/>
    <w:rsid w:val="001C71BD"/>
    <w:rsid w:val="001D0516"/>
    <w:rsid w:val="001D2215"/>
    <w:rsid w:val="001D2C1F"/>
    <w:rsid w:val="001D4A48"/>
    <w:rsid w:val="001D4BCA"/>
    <w:rsid w:val="001D7646"/>
    <w:rsid w:val="001D7D05"/>
    <w:rsid w:val="001E19D2"/>
    <w:rsid w:val="001E2CD6"/>
    <w:rsid w:val="001E40E1"/>
    <w:rsid w:val="001E578A"/>
    <w:rsid w:val="001E5A90"/>
    <w:rsid w:val="001F1876"/>
    <w:rsid w:val="001F219D"/>
    <w:rsid w:val="001F3C0A"/>
    <w:rsid w:val="001F59C3"/>
    <w:rsid w:val="001F6AFF"/>
    <w:rsid w:val="00202371"/>
    <w:rsid w:val="00204534"/>
    <w:rsid w:val="00206A5B"/>
    <w:rsid w:val="002118CB"/>
    <w:rsid w:val="00212102"/>
    <w:rsid w:val="002143EB"/>
    <w:rsid w:val="00214BDC"/>
    <w:rsid w:val="00214ECE"/>
    <w:rsid w:val="002173D5"/>
    <w:rsid w:val="002219D5"/>
    <w:rsid w:val="002222B3"/>
    <w:rsid w:val="00226193"/>
    <w:rsid w:val="00233E84"/>
    <w:rsid w:val="002362F1"/>
    <w:rsid w:val="00237007"/>
    <w:rsid w:val="00237737"/>
    <w:rsid w:val="00240E73"/>
    <w:rsid w:val="00242EC1"/>
    <w:rsid w:val="00243376"/>
    <w:rsid w:val="00244FC6"/>
    <w:rsid w:val="0024551A"/>
    <w:rsid w:val="00247C27"/>
    <w:rsid w:val="0025130E"/>
    <w:rsid w:val="002533D1"/>
    <w:rsid w:val="00253C8F"/>
    <w:rsid w:val="002556D7"/>
    <w:rsid w:val="002565EE"/>
    <w:rsid w:val="002566F6"/>
    <w:rsid w:val="00256E58"/>
    <w:rsid w:val="00257660"/>
    <w:rsid w:val="00260E4E"/>
    <w:rsid w:val="00263153"/>
    <w:rsid w:val="00263891"/>
    <w:rsid w:val="00264C09"/>
    <w:rsid w:val="00265811"/>
    <w:rsid w:val="00266947"/>
    <w:rsid w:val="00271980"/>
    <w:rsid w:val="00273A26"/>
    <w:rsid w:val="00274819"/>
    <w:rsid w:val="00274E19"/>
    <w:rsid w:val="0027569C"/>
    <w:rsid w:val="002757C9"/>
    <w:rsid w:val="00276588"/>
    <w:rsid w:val="002765CC"/>
    <w:rsid w:val="00276B6D"/>
    <w:rsid w:val="00277AA8"/>
    <w:rsid w:val="0028022D"/>
    <w:rsid w:val="0028390B"/>
    <w:rsid w:val="00285368"/>
    <w:rsid w:val="00285A1F"/>
    <w:rsid w:val="00293371"/>
    <w:rsid w:val="00294CBD"/>
    <w:rsid w:val="002959B1"/>
    <w:rsid w:val="00295B03"/>
    <w:rsid w:val="002969ED"/>
    <w:rsid w:val="00297CCA"/>
    <w:rsid w:val="00297EF3"/>
    <w:rsid w:val="002A015B"/>
    <w:rsid w:val="002A44E8"/>
    <w:rsid w:val="002A5BED"/>
    <w:rsid w:val="002A6910"/>
    <w:rsid w:val="002A6BB4"/>
    <w:rsid w:val="002A751F"/>
    <w:rsid w:val="002B05D0"/>
    <w:rsid w:val="002B21CA"/>
    <w:rsid w:val="002B2C57"/>
    <w:rsid w:val="002B565F"/>
    <w:rsid w:val="002B5B17"/>
    <w:rsid w:val="002B73FF"/>
    <w:rsid w:val="002C00F8"/>
    <w:rsid w:val="002C163E"/>
    <w:rsid w:val="002C236C"/>
    <w:rsid w:val="002C28B1"/>
    <w:rsid w:val="002C5780"/>
    <w:rsid w:val="002C57AC"/>
    <w:rsid w:val="002C6E30"/>
    <w:rsid w:val="002D34C1"/>
    <w:rsid w:val="002D3560"/>
    <w:rsid w:val="002D45BB"/>
    <w:rsid w:val="002D533F"/>
    <w:rsid w:val="002D5358"/>
    <w:rsid w:val="002D5B20"/>
    <w:rsid w:val="002D63A9"/>
    <w:rsid w:val="002D63D7"/>
    <w:rsid w:val="002D6458"/>
    <w:rsid w:val="002E1B17"/>
    <w:rsid w:val="002E3EB6"/>
    <w:rsid w:val="002E3F81"/>
    <w:rsid w:val="002E613B"/>
    <w:rsid w:val="002F0668"/>
    <w:rsid w:val="002F2D76"/>
    <w:rsid w:val="002F512C"/>
    <w:rsid w:val="002F540D"/>
    <w:rsid w:val="002F55C3"/>
    <w:rsid w:val="002F70E5"/>
    <w:rsid w:val="002F7B0D"/>
    <w:rsid w:val="00300207"/>
    <w:rsid w:val="003006BA"/>
    <w:rsid w:val="003007C5"/>
    <w:rsid w:val="00301212"/>
    <w:rsid w:val="003025DD"/>
    <w:rsid w:val="00302720"/>
    <w:rsid w:val="0030397B"/>
    <w:rsid w:val="00303F17"/>
    <w:rsid w:val="00304096"/>
    <w:rsid w:val="003043FD"/>
    <w:rsid w:val="003063EF"/>
    <w:rsid w:val="00306D38"/>
    <w:rsid w:val="00310BCC"/>
    <w:rsid w:val="003135D2"/>
    <w:rsid w:val="00313FD2"/>
    <w:rsid w:val="00313FED"/>
    <w:rsid w:val="00314C42"/>
    <w:rsid w:val="00315042"/>
    <w:rsid w:val="00317B2D"/>
    <w:rsid w:val="00320244"/>
    <w:rsid w:val="00320C48"/>
    <w:rsid w:val="00321BD5"/>
    <w:rsid w:val="00321BED"/>
    <w:rsid w:val="00321FE7"/>
    <w:rsid w:val="003224DC"/>
    <w:rsid w:val="00324019"/>
    <w:rsid w:val="003242C8"/>
    <w:rsid w:val="0032512F"/>
    <w:rsid w:val="003265A2"/>
    <w:rsid w:val="003271EB"/>
    <w:rsid w:val="0033024E"/>
    <w:rsid w:val="003317C3"/>
    <w:rsid w:val="00331E6B"/>
    <w:rsid w:val="00332556"/>
    <w:rsid w:val="003337D1"/>
    <w:rsid w:val="0033487B"/>
    <w:rsid w:val="00334B33"/>
    <w:rsid w:val="00335072"/>
    <w:rsid w:val="0033516E"/>
    <w:rsid w:val="00340402"/>
    <w:rsid w:val="003422C2"/>
    <w:rsid w:val="00344CC0"/>
    <w:rsid w:val="00345BBD"/>
    <w:rsid w:val="003469A7"/>
    <w:rsid w:val="00350AB3"/>
    <w:rsid w:val="003510B8"/>
    <w:rsid w:val="00353DFA"/>
    <w:rsid w:val="00354378"/>
    <w:rsid w:val="003562A6"/>
    <w:rsid w:val="0036011B"/>
    <w:rsid w:val="003619BC"/>
    <w:rsid w:val="003626AD"/>
    <w:rsid w:val="00363D37"/>
    <w:rsid w:val="00364D2C"/>
    <w:rsid w:val="003703AC"/>
    <w:rsid w:val="0037119F"/>
    <w:rsid w:val="00371246"/>
    <w:rsid w:val="00372AE3"/>
    <w:rsid w:val="00372EB0"/>
    <w:rsid w:val="00373156"/>
    <w:rsid w:val="00374ADC"/>
    <w:rsid w:val="00377B00"/>
    <w:rsid w:val="00380484"/>
    <w:rsid w:val="00383565"/>
    <w:rsid w:val="003844F0"/>
    <w:rsid w:val="00384B5D"/>
    <w:rsid w:val="003851F6"/>
    <w:rsid w:val="00386746"/>
    <w:rsid w:val="00386994"/>
    <w:rsid w:val="00387390"/>
    <w:rsid w:val="003878A0"/>
    <w:rsid w:val="00387CB4"/>
    <w:rsid w:val="00393512"/>
    <w:rsid w:val="003935E6"/>
    <w:rsid w:val="003945B0"/>
    <w:rsid w:val="00395491"/>
    <w:rsid w:val="003A08EA"/>
    <w:rsid w:val="003A1128"/>
    <w:rsid w:val="003A2F95"/>
    <w:rsid w:val="003A307A"/>
    <w:rsid w:val="003A3EF4"/>
    <w:rsid w:val="003A3EFB"/>
    <w:rsid w:val="003A5A71"/>
    <w:rsid w:val="003A5D74"/>
    <w:rsid w:val="003A6DFA"/>
    <w:rsid w:val="003A792B"/>
    <w:rsid w:val="003A79A5"/>
    <w:rsid w:val="003B0AC1"/>
    <w:rsid w:val="003B212B"/>
    <w:rsid w:val="003B3853"/>
    <w:rsid w:val="003B4037"/>
    <w:rsid w:val="003B6D61"/>
    <w:rsid w:val="003B6E83"/>
    <w:rsid w:val="003B74F9"/>
    <w:rsid w:val="003C02C2"/>
    <w:rsid w:val="003C13A1"/>
    <w:rsid w:val="003C16FF"/>
    <w:rsid w:val="003C2B2A"/>
    <w:rsid w:val="003C2BB4"/>
    <w:rsid w:val="003C2E36"/>
    <w:rsid w:val="003C3E61"/>
    <w:rsid w:val="003C6053"/>
    <w:rsid w:val="003C6737"/>
    <w:rsid w:val="003C6E56"/>
    <w:rsid w:val="003D0A71"/>
    <w:rsid w:val="003D1C73"/>
    <w:rsid w:val="003D2D7C"/>
    <w:rsid w:val="003D399D"/>
    <w:rsid w:val="003D4353"/>
    <w:rsid w:val="003D4C15"/>
    <w:rsid w:val="003E0AD6"/>
    <w:rsid w:val="003E1151"/>
    <w:rsid w:val="003E290A"/>
    <w:rsid w:val="003E3B24"/>
    <w:rsid w:val="003E3E1A"/>
    <w:rsid w:val="003E52A3"/>
    <w:rsid w:val="003E5727"/>
    <w:rsid w:val="003E7AF2"/>
    <w:rsid w:val="003F1439"/>
    <w:rsid w:val="003F4466"/>
    <w:rsid w:val="00400058"/>
    <w:rsid w:val="00402147"/>
    <w:rsid w:val="004033BD"/>
    <w:rsid w:val="00403A5F"/>
    <w:rsid w:val="0040487E"/>
    <w:rsid w:val="00406495"/>
    <w:rsid w:val="0040705B"/>
    <w:rsid w:val="00410464"/>
    <w:rsid w:val="004151C4"/>
    <w:rsid w:val="00415281"/>
    <w:rsid w:val="00416FE8"/>
    <w:rsid w:val="00423D78"/>
    <w:rsid w:val="00426576"/>
    <w:rsid w:val="004271D5"/>
    <w:rsid w:val="0042769C"/>
    <w:rsid w:val="00427ED7"/>
    <w:rsid w:val="00431B14"/>
    <w:rsid w:val="00432FD2"/>
    <w:rsid w:val="004359BA"/>
    <w:rsid w:val="00435C30"/>
    <w:rsid w:val="00435DB5"/>
    <w:rsid w:val="00441699"/>
    <w:rsid w:val="004417A8"/>
    <w:rsid w:val="004429F3"/>
    <w:rsid w:val="0044335E"/>
    <w:rsid w:val="004433F3"/>
    <w:rsid w:val="004441E9"/>
    <w:rsid w:val="00445435"/>
    <w:rsid w:val="00446627"/>
    <w:rsid w:val="004472C1"/>
    <w:rsid w:val="00450318"/>
    <w:rsid w:val="00450F57"/>
    <w:rsid w:val="00452362"/>
    <w:rsid w:val="00455512"/>
    <w:rsid w:val="0046061C"/>
    <w:rsid w:val="00463FE4"/>
    <w:rsid w:val="00464F3E"/>
    <w:rsid w:val="0046517E"/>
    <w:rsid w:val="00465800"/>
    <w:rsid w:val="00465898"/>
    <w:rsid w:val="00466DBC"/>
    <w:rsid w:val="004674A4"/>
    <w:rsid w:val="00467C45"/>
    <w:rsid w:val="00470177"/>
    <w:rsid w:val="00471AF6"/>
    <w:rsid w:val="00471EDE"/>
    <w:rsid w:val="00473361"/>
    <w:rsid w:val="00476F10"/>
    <w:rsid w:val="004774CC"/>
    <w:rsid w:val="004809F5"/>
    <w:rsid w:val="00482B8E"/>
    <w:rsid w:val="004831C7"/>
    <w:rsid w:val="00483E28"/>
    <w:rsid w:val="004851D0"/>
    <w:rsid w:val="004857D7"/>
    <w:rsid w:val="00485A12"/>
    <w:rsid w:val="004872A5"/>
    <w:rsid w:val="00491525"/>
    <w:rsid w:val="00491BB3"/>
    <w:rsid w:val="0049249F"/>
    <w:rsid w:val="00495E3A"/>
    <w:rsid w:val="0049680B"/>
    <w:rsid w:val="004A1351"/>
    <w:rsid w:val="004A1907"/>
    <w:rsid w:val="004A20A0"/>
    <w:rsid w:val="004A25D2"/>
    <w:rsid w:val="004A49AF"/>
    <w:rsid w:val="004A4B39"/>
    <w:rsid w:val="004A59A4"/>
    <w:rsid w:val="004A6233"/>
    <w:rsid w:val="004A686E"/>
    <w:rsid w:val="004A7302"/>
    <w:rsid w:val="004A7ACA"/>
    <w:rsid w:val="004B059F"/>
    <w:rsid w:val="004B0D88"/>
    <w:rsid w:val="004B0ED0"/>
    <w:rsid w:val="004B1D43"/>
    <w:rsid w:val="004B2C5F"/>
    <w:rsid w:val="004B32CB"/>
    <w:rsid w:val="004B33D6"/>
    <w:rsid w:val="004B414F"/>
    <w:rsid w:val="004B54B1"/>
    <w:rsid w:val="004B79F6"/>
    <w:rsid w:val="004B7EF8"/>
    <w:rsid w:val="004C1244"/>
    <w:rsid w:val="004C305C"/>
    <w:rsid w:val="004C3609"/>
    <w:rsid w:val="004C594D"/>
    <w:rsid w:val="004C5EA9"/>
    <w:rsid w:val="004C66C9"/>
    <w:rsid w:val="004C7858"/>
    <w:rsid w:val="004C7914"/>
    <w:rsid w:val="004C7B30"/>
    <w:rsid w:val="004D0C09"/>
    <w:rsid w:val="004D162F"/>
    <w:rsid w:val="004D3D7E"/>
    <w:rsid w:val="004D4165"/>
    <w:rsid w:val="004D5872"/>
    <w:rsid w:val="004D651A"/>
    <w:rsid w:val="004E3B0D"/>
    <w:rsid w:val="004E42EA"/>
    <w:rsid w:val="004E52C4"/>
    <w:rsid w:val="004E573C"/>
    <w:rsid w:val="004E7BB6"/>
    <w:rsid w:val="004F2155"/>
    <w:rsid w:val="004F3526"/>
    <w:rsid w:val="004F529C"/>
    <w:rsid w:val="004F78A0"/>
    <w:rsid w:val="00500EFF"/>
    <w:rsid w:val="00500F1C"/>
    <w:rsid w:val="00501872"/>
    <w:rsid w:val="00502B2A"/>
    <w:rsid w:val="0050397A"/>
    <w:rsid w:val="00503A73"/>
    <w:rsid w:val="00504332"/>
    <w:rsid w:val="0050453C"/>
    <w:rsid w:val="00505322"/>
    <w:rsid w:val="00510DE3"/>
    <w:rsid w:val="00511E70"/>
    <w:rsid w:val="0051229C"/>
    <w:rsid w:val="005165ED"/>
    <w:rsid w:val="0052025D"/>
    <w:rsid w:val="005203F1"/>
    <w:rsid w:val="0052303F"/>
    <w:rsid w:val="00525144"/>
    <w:rsid w:val="005268B0"/>
    <w:rsid w:val="00527106"/>
    <w:rsid w:val="005277C0"/>
    <w:rsid w:val="00530DCE"/>
    <w:rsid w:val="00530EDA"/>
    <w:rsid w:val="00534247"/>
    <w:rsid w:val="005351B6"/>
    <w:rsid w:val="00535728"/>
    <w:rsid w:val="00535EBC"/>
    <w:rsid w:val="00536540"/>
    <w:rsid w:val="0054083C"/>
    <w:rsid w:val="00540AF6"/>
    <w:rsid w:val="00540C23"/>
    <w:rsid w:val="005449E5"/>
    <w:rsid w:val="00547887"/>
    <w:rsid w:val="005502C7"/>
    <w:rsid w:val="00550AF5"/>
    <w:rsid w:val="0055102F"/>
    <w:rsid w:val="00551A20"/>
    <w:rsid w:val="00551D69"/>
    <w:rsid w:val="00551DB8"/>
    <w:rsid w:val="00554094"/>
    <w:rsid w:val="0055415B"/>
    <w:rsid w:val="00556E3B"/>
    <w:rsid w:val="005572E9"/>
    <w:rsid w:val="005579C7"/>
    <w:rsid w:val="00557BC6"/>
    <w:rsid w:val="00560ED6"/>
    <w:rsid w:val="005633DF"/>
    <w:rsid w:val="00563D69"/>
    <w:rsid w:val="00563D84"/>
    <w:rsid w:val="00564210"/>
    <w:rsid w:val="00564EA5"/>
    <w:rsid w:val="005663AE"/>
    <w:rsid w:val="005675F3"/>
    <w:rsid w:val="00567689"/>
    <w:rsid w:val="00571085"/>
    <w:rsid w:val="005732A2"/>
    <w:rsid w:val="005733BB"/>
    <w:rsid w:val="00574AD2"/>
    <w:rsid w:val="005759B1"/>
    <w:rsid w:val="00576FE1"/>
    <w:rsid w:val="00577059"/>
    <w:rsid w:val="00577780"/>
    <w:rsid w:val="00577FC0"/>
    <w:rsid w:val="005828CD"/>
    <w:rsid w:val="00583060"/>
    <w:rsid w:val="00584422"/>
    <w:rsid w:val="00584BD2"/>
    <w:rsid w:val="005851C7"/>
    <w:rsid w:val="00585D5E"/>
    <w:rsid w:val="00587169"/>
    <w:rsid w:val="00593FC1"/>
    <w:rsid w:val="00595050"/>
    <w:rsid w:val="00597265"/>
    <w:rsid w:val="005A0D67"/>
    <w:rsid w:val="005A3057"/>
    <w:rsid w:val="005A4B13"/>
    <w:rsid w:val="005A5405"/>
    <w:rsid w:val="005A69D2"/>
    <w:rsid w:val="005B0748"/>
    <w:rsid w:val="005B44E8"/>
    <w:rsid w:val="005B5069"/>
    <w:rsid w:val="005C2C87"/>
    <w:rsid w:val="005C38D1"/>
    <w:rsid w:val="005C540F"/>
    <w:rsid w:val="005D5B21"/>
    <w:rsid w:val="005D7D37"/>
    <w:rsid w:val="005E013E"/>
    <w:rsid w:val="005E0D5D"/>
    <w:rsid w:val="005E2ECB"/>
    <w:rsid w:val="005E2F5D"/>
    <w:rsid w:val="005E326F"/>
    <w:rsid w:val="005F35E9"/>
    <w:rsid w:val="005F3635"/>
    <w:rsid w:val="005F41DD"/>
    <w:rsid w:val="005F61D0"/>
    <w:rsid w:val="005F66DA"/>
    <w:rsid w:val="005F741C"/>
    <w:rsid w:val="00601F43"/>
    <w:rsid w:val="006020E0"/>
    <w:rsid w:val="00602A63"/>
    <w:rsid w:val="00605D2B"/>
    <w:rsid w:val="006078C7"/>
    <w:rsid w:val="00610EC8"/>
    <w:rsid w:val="00611156"/>
    <w:rsid w:val="006120CB"/>
    <w:rsid w:val="0061792F"/>
    <w:rsid w:val="0062096B"/>
    <w:rsid w:val="00622E8B"/>
    <w:rsid w:val="0062436F"/>
    <w:rsid w:val="00624712"/>
    <w:rsid w:val="00630547"/>
    <w:rsid w:val="00630CC8"/>
    <w:rsid w:val="00631744"/>
    <w:rsid w:val="0063182C"/>
    <w:rsid w:val="0063244E"/>
    <w:rsid w:val="00632CCB"/>
    <w:rsid w:val="006367F2"/>
    <w:rsid w:val="00636821"/>
    <w:rsid w:val="00637C9F"/>
    <w:rsid w:val="00641EA7"/>
    <w:rsid w:val="0064336E"/>
    <w:rsid w:val="00643377"/>
    <w:rsid w:val="00644AD1"/>
    <w:rsid w:val="00644D99"/>
    <w:rsid w:val="0064715F"/>
    <w:rsid w:val="006504BA"/>
    <w:rsid w:val="006512D8"/>
    <w:rsid w:val="006518A2"/>
    <w:rsid w:val="006519DB"/>
    <w:rsid w:val="00651B05"/>
    <w:rsid w:val="00652B99"/>
    <w:rsid w:val="00657E0D"/>
    <w:rsid w:val="00660646"/>
    <w:rsid w:val="00662B1F"/>
    <w:rsid w:val="006640A6"/>
    <w:rsid w:val="0066709A"/>
    <w:rsid w:val="0067002F"/>
    <w:rsid w:val="00670B14"/>
    <w:rsid w:val="00671C9D"/>
    <w:rsid w:val="00673643"/>
    <w:rsid w:val="00677B14"/>
    <w:rsid w:val="006800FD"/>
    <w:rsid w:val="00680121"/>
    <w:rsid w:val="006804AB"/>
    <w:rsid w:val="006807B3"/>
    <w:rsid w:val="006816F0"/>
    <w:rsid w:val="006833A8"/>
    <w:rsid w:val="006837DD"/>
    <w:rsid w:val="00683D7F"/>
    <w:rsid w:val="00684A11"/>
    <w:rsid w:val="00686F7E"/>
    <w:rsid w:val="00687F31"/>
    <w:rsid w:val="00690EE8"/>
    <w:rsid w:val="0069616C"/>
    <w:rsid w:val="006A29F7"/>
    <w:rsid w:val="006A3018"/>
    <w:rsid w:val="006A4F09"/>
    <w:rsid w:val="006A6A00"/>
    <w:rsid w:val="006B17C7"/>
    <w:rsid w:val="006B2B2E"/>
    <w:rsid w:val="006B2CD0"/>
    <w:rsid w:val="006B3AF7"/>
    <w:rsid w:val="006B487C"/>
    <w:rsid w:val="006B4CDE"/>
    <w:rsid w:val="006B5257"/>
    <w:rsid w:val="006B59B5"/>
    <w:rsid w:val="006B673F"/>
    <w:rsid w:val="006B6FBE"/>
    <w:rsid w:val="006B7AE1"/>
    <w:rsid w:val="006B7ECE"/>
    <w:rsid w:val="006C0A31"/>
    <w:rsid w:val="006C1EAD"/>
    <w:rsid w:val="006C316A"/>
    <w:rsid w:val="006C4735"/>
    <w:rsid w:val="006C5129"/>
    <w:rsid w:val="006C6363"/>
    <w:rsid w:val="006C6B93"/>
    <w:rsid w:val="006C72B4"/>
    <w:rsid w:val="006C76ED"/>
    <w:rsid w:val="006D10F1"/>
    <w:rsid w:val="006D17E7"/>
    <w:rsid w:val="006D18BB"/>
    <w:rsid w:val="006D20F7"/>
    <w:rsid w:val="006D2990"/>
    <w:rsid w:val="006D505B"/>
    <w:rsid w:val="006D5E35"/>
    <w:rsid w:val="006D717B"/>
    <w:rsid w:val="006D772C"/>
    <w:rsid w:val="006E31AE"/>
    <w:rsid w:val="006E3687"/>
    <w:rsid w:val="006E381D"/>
    <w:rsid w:val="006E554B"/>
    <w:rsid w:val="006E56F1"/>
    <w:rsid w:val="006F1F75"/>
    <w:rsid w:val="006F352A"/>
    <w:rsid w:val="006F3588"/>
    <w:rsid w:val="006F5A33"/>
    <w:rsid w:val="006F67E5"/>
    <w:rsid w:val="006F6E50"/>
    <w:rsid w:val="00700E63"/>
    <w:rsid w:val="00702AC8"/>
    <w:rsid w:val="007040F9"/>
    <w:rsid w:val="0070470A"/>
    <w:rsid w:val="00706BC5"/>
    <w:rsid w:val="007110E5"/>
    <w:rsid w:val="0071143D"/>
    <w:rsid w:val="00712EBC"/>
    <w:rsid w:val="00715F84"/>
    <w:rsid w:val="00716982"/>
    <w:rsid w:val="00721A64"/>
    <w:rsid w:val="007229CA"/>
    <w:rsid w:val="00722BA7"/>
    <w:rsid w:val="00724480"/>
    <w:rsid w:val="00732DB6"/>
    <w:rsid w:val="00733D0D"/>
    <w:rsid w:val="00734438"/>
    <w:rsid w:val="007349A0"/>
    <w:rsid w:val="00734ECB"/>
    <w:rsid w:val="0073500F"/>
    <w:rsid w:val="00735E09"/>
    <w:rsid w:val="0073637D"/>
    <w:rsid w:val="00736F3D"/>
    <w:rsid w:val="007403DD"/>
    <w:rsid w:val="00741B7C"/>
    <w:rsid w:val="007437AC"/>
    <w:rsid w:val="00745CC1"/>
    <w:rsid w:val="007502B6"/>
    <w:rsid w:val="0075048C"/>
    <w:rsid w:val="007504B2"/>
    <w:rsid w:val="007514CF"/>
    <w:rsid w:val="007525BB"/>
    <w:rsid w:val="007538A1"/>
    <w:rsid w:val="0075461A"/>
    <w:rsid w:val="007547D3"/>
    <w:rsid w:val="00754A3F"/>
    <w:rsid w:val="00754E8A"/>
    <w:rsid w:val="00760D42"/>
    <w:rsid w:val="00761D79"/>
    <w:rsid w:val="007624C1"/>
    <w:rsid w:val="00762954"/>
    <w:rsid w:val="00763598"/>
    <w:rsid w:val="007635BA"/>
    <w:rsid w:val="007644C1"/>
    <w:rsid w:val="00764532"/>
    <w:rsid w:val="0076580D"/>
    <w:rsid w:val="00770874"/>
    <w:rsid w:val="0077157A"/>
    <w:rsid w:val="00773192"/>
    <w:rsid w:val="0077460E"/>
    <w:rsid w:val="0077510C"/>
    <w:rsid w:val="00775680"/>
    <w:rsid w:val="007775DF"/>
    <w:rsid w:val="00780E5B"/>
    <w:rsid w:val="00781717"/>
    <w:rsid w:val="00783E02"/>
    <w:rsid w:val="0078471A"/>
    <w:rsid w:val="007856EC"/>
    <w:rsid w:val="00785AE5"/>
    <w:rsid w:val="00786027"/>
    <w:rsid w:val="00787C54"/>
    <w:rsid w:val="00787D62"/>
    <w:rsid w:val="00787D7C"/>
    <w:rsid w:val="00790321"/>
    <w:rsid w:val="00790EF8"/>
    <w:rsid w:val="00790F89"/>
    <w:rsid w:val="00791E81"/>
    <w:rsid w:val="0079469B"/>
    <w:rsid w:val="00794919"/>
    <w:rsid w:val="00794A18"/>
    <w:rsid w:val="00794D59"/>
    <w:rsid w:val="007963A8"/>
    <w:rsid w:val="00797947"/>
    <w:rsid w:val="007A014B"/>
    <w:rsid w:val="007A3351"/>
    <w:rsid w:val="007A3DF3"/>
    <w:rsid w:val="007A58E2"/>
    <w:rsid w:val="007B35D3"/>
    <w:rsid w:val="007C100F"/>
    <w:rsid w:val="007C53D9"/>
    <w:rsid w:val="007C5CA7"/>
    <w:rsid w:val="007C64CC"/>
    <w:rsid w:val="007D1421"/>
    <w:rsid w:val="007D220A"/>
    <w:rsid w:val="007D2A0C"/>
    <w:rsid w:val="007D4517"/>
    <w:rsid w:val="007D4C2D"/>
    <w:rsid w:val="007D4DCA"/>
    <w:rsid w:val="007D5E41"/>
    <w:rsid w:val="007D7216"/>
    <w:rsid w:val="007E5F58"/>
    <w:rsid w:val="007E7628"/>
    <w:rsid w:val="007E7AA0"/>
    <w:rsid w:val="007F082B"/>
    <w:rsid w:val="007F10FE"/>
    <w:rsid w:val="007F1DF8"/>
    <w:rsid w:val="007F2A68"/>
    <w:rsid w:val="007F2FA1"/>
    <w:rsid w:val="007F3BFC"/>
    <w:rsid w:val="007F79E5"/>
    <w:rsid w:val="008002F8"/>
    <w:rsid w:val="008012A3"/>
    <w:rsid w:val="00804467"/>
    <w:rsid w:val="00805251"/>
    <w:rsid w:val="00805D7E"/>
    <w:rsid w:val="00806F2D"/>
    <w:rsid w:val="00807D2B"/>
    <w:rsid w:val="008103C7"/>
    <w:rsid w:val="0081276F"/>
    <w:rsid w:val="00814484"/>
    <w:rsid w:val="00814BFF"/>
    <w:rsid w:val="00816BC7"/>
    <w:rsid w:val="008170EA"/>
    <w:rsid w:val="00820756"/>
    <w:rsid w:val="0082112A"/>
    <w:rsid w:val="00822912"/>
    <w:rsid w:val="0082339E"/>
    <w:rsid w:val="00823DA4"/>
    <w:rsid w:val="00824AFF"/>
    <w:rsid w:val="00825D89"/>
    <w:rsid w:val="008263B8"/>
    <w:rsid w:val="00826BED"/>
    <w:rsid w:val="0082703A"/>
    <w:rsid w:val="008330EB"/>
    <w:rsid w:val="00834641"/>
    <w:rsid w:val="00836176"/>
    <w:rsid w:val="00836A3E"/>
    <w:rsid w:val="00836B52"/>
    <w:rsid w:val="00837270"/>
    <w:rsid w:val="008372E1"/>
    <w:rsid w:val="0083774B"/>
    <w:rsid w:val="00837E33"/>
    <w:rsid w:val="00840291"/>
    <w:rsid w:val="00841258"/>
    <w:rsid w:val="008451A4"/>
    <w:rsid w:val="008458EC"/>
    <w:rsid w:val="008463B2"/>
    <w:rsid w:val="00846C0D"/>
    <w:rsid w:val="00846FA9"/>
    <w:rsid w:val="008504CE"/>
    <w:rsid w:val="0085120E"/>
    <w:rsid w:val="008519B8"/>
    <w:rsid w:val="00852673"/>
    <w:rsid w:val="008544EA"/>
    <w:rsid w:val="00854789"/>
    <w:rsid w:val="00854E90"/>
    <w:rsid w:val="00856483"/>
    <w:rsid w:val="00856B86"/>
    <w:rsid w:val="00860279"/>
    <w:rsid w:val="008612E8"/>
    <w:rsid w:val="00861657"/>
    <w:rsid w:val="00862011"/>
    <w:rsid w:val="00863C1D"/>
    <w:rsid w:val="008659C8"/>
    <w:rsid w:val="00865A78"/>
    <w:rsid w:val="008676B8"/>
    <w:rsid w:val="00867C32"/>
    <w:rsid w:val="008721F1"/>
    <w:rsid w:val="008726D8"/>
    <w:rsid w:val="0088006A"/>
    <w:rsid w:val="00881F78"/>
    <w:rsid w:val="0088363C"/>
    <w:rsid w:val="0088389E"/>
    <w:rsid w:val="008878EA"/>
    <w:rsid w:val="00887A79"/>
    <w:rsid w:val="00891062"/>
    <w:rsid w:val="008914AF"/>
    <w:rsid w:val="00891F1B"/>
    <w:rsid w:val="00892024"/>
    <w:rsid w:val="0089565F"/>
    <w:rsid w:val="0089587F"/>
    <w:rsid w:val="008959FA"/>
    <w:rsid w:val="008960FE"/>
    <w:rsid w:val="0089772C"/>
    <w:rsid w:val="00897B76"/>
    <w:rsid w:val="008A06A4"/>
    <w:rsid w:val="008A1698"/>
    <w:rsid w:val="008A2681"/>
    <w:rsid w:val="008A554F"/>
    <w:rsid w:val="008A7DC5"/>
    <w:rsid w:val="008A7E8D"/>
    <w:rsid w:val="008B1827"/>
    <w:rsid w:val="008B2089"/>
    <w:rsid w:val="008B27EC"/>
    <w:rsid w:val="008B3422"/>
    <w:rsid w:val="008B3E09"/>
    <w:rsid w:val="008B4A94"/>
    <w:rsid w:val="008B543E"/>
    <w:rsid w:val="008B5678"/>
    <w:rsid w:val="008B583A"/>
    <w:rsid w:val="008B6234"/>
    <w:rsid w:val="008B7DC5"/>
    <w:rsid w:val="008C1A45"/>
    <w:rsid w:val="008C42B9"/>
    <w:rsid w:val="008C4B68"/>
    <w:rsid w:val="008C5A21"/>
    <w:rsid w:val="008C6165"/>
    <w:rsid w:val="008C65BB"/>
    <w:rsid w:val="008C7411"/>
    <w:rsid w:val="008C7E78"/>
    <w:rsid w:val="008D006A"/>
    <w:rsid w:val="008D01D8"/>
    <w:rsid w:val="008D099B"/>
    <w:rsid w:val="008D50CD"/>
    <w:rsid w:val="008D7AD0"/>
    <w:rsid w:val="008E0241"/>
    <w:rsid w:val="008E0E05"/>
    <w:rsid w:val="008E2664"/>
    <w:rsid w:val="008E2BA9"/>
    <w:rsid w:val="008E2D05"/>
    <w:rsid w:val="008E2FB8"/>
    <w:rsid w:val="008E414C"/>
    <w:rsid w:val="008E45DC"/>
    <w:rsid w:val="008E4F84"/>
    <w:rsid w:val="008E5A67"/>
    <w:rsid w:val="008E65D5"/>
    <w:rsid w:val="008E670D"/>
    <w:rsid w:val="008E683E"/>
    <w:rsid w:val="008E7964"/>
    <w:rsid w:val="008E796E"/>
    <w:rsid w:val="008F0307"/>
    <w:rsid w:val="008F188A"/>
    <w:rsid w:val="008F189A"/>
    <w:rsid w:val="008F18C5"/>
    <w:rsid w:val="008F20CC"/>
    <w:rsid w:val="008F4643"/>
    <w:rsid w:val="008F7381"/>
    <w:rsid w:val="009005D7"/>
    <w:rsid w:val="00900711"/>
    <w:rsid w:val="009013F1"/>
    <w:rsid w:val="00902DFC"/>
    <w:rsid w:val="009038E7"/>
    <w:rsid w:val="0090422A"/>
    <w:rsid w:val="00905F9F"/>
    <w:rsid w:val="0090684C"/>
    <w:rsid w:val="00906E21"/>
    <w:rsid w:val="009116D7"/>
    <w:rsid w:val="0091225D"/>
    <w:rsid w:val="009129C9"/>
    <w:rsid w:val="00912CA4"/>
    <w:rsid w:val="00913CBB"/>
    <w:rsid w:val="00914DA8"/>
    <w:rsid w:val="00915D36"/>
    <w:rsid w:val="00916517"/>
    <w:rsid w:val="00917757"/>
    <w:rsid w:val="00921AF9"/>
    <w:rsid w:val="00922280"/>
    <w:rsid w:val="0092357A"/>
    <w:rsid w:val="00923E7B"/>
    <w:rsid w:val="00924BFD"/>
    <w:rsid w:val="00925286"/>
    <w:rsid w:val="00925B2A"/>
    <w:rsid w:val="00927D70"/>
    <w:rsid w:val="0093049F"/>
    <w:rsid w:val="00930EF9"/>
    <w:rsid w:val="009314E2"/>
    <w:rsid w:val="009405D3"/>
    <w:rsid w:val="00943047"/>
    <w:rsid w:val="00945844"/>
    <w:rsid w:val="00946B67"/>
    <w:rsid w:val="00951341"/>
    <w:rsid w:val="00952350"/>
    <w:rsid w:val="00953A85"/>
    <w:rsid w:val="00954820"/>
    <w:rsid w:val="00956724"/>
    <w:rsid w:val="009568ED"/>
    <w:rsid w:val="00957E9D"/>
    <w:rsid w:val="00957EB8"/>
    <w:rsid w:val="00961A01"/>
    <w:rsid w:val="009624CD"/>
    <w:rsid w:val="009668B5"/>
    <w:rsid w:val="009670E4"/>
    <w:rsid w:val="009703EF"/>
    <w:rsid w:val="009712C6"/>
    <w:rsid w:val="0097181A"/>
    <w:rsid w:val="009730DF"/>
    <w:rsid w:val="00974D20"/>
    <w:rsid w:val="00975001"/>
    <w:rsid w:val="00976B6F"/>
    <w:rsid w:val="00977854"/>
    <w:rsid w:val="009819E7"/>
    <w:rsid w:val="00982D30"/>
    <w:rsid w:val="0098536F"/>
    <w:rsid w:val="00990553"/>
    <w:rsid w:val="0099253E"/>
    <w:rsid w:val="00993C02"/>
    <w:rsid w:val="00995C82"/>
    <w:rsid w:val="00996993"/>
    <w:rsid w:val="00996C3F"/>
    <w:rsid w:val="00997DA5"/>
    <w:rsid w:val="009A0C78"/>
    <w:rsid w:val="009A280B"/>
    <w:rsid w:val="009A2FD5"/>
    <w:rsid w:val="009A4A29"/>
    <w:rsid w:val="009A5158"/>
    <w:rsid w:val="009A6DF2"/>
    <w:rsid w:val="009B2A0E"/>
    <w:rsid w:val="009B34D8"/>
    <w:rsid w:val="009B3BE9"/>
    <w:rsid w:val="009C163D"/>
    <w:rsid w:val="009C193A"/>
    <w:rsid w:val="009C34B5"/>
    <w:rsid w:val="009C7088"/>
    <w:rsid w:val="009D1B30"/>
    <w:rsid w:val="009D2AFC"/>
    <w:rsid w:val="009D4B8E"/>
    <w:rsid w:val="009D4F9D"/>
    <w:rsid w:val="009D663B"/>
    <w:rsid w:val="009E1950"/>
    <w:rsid w:val="009E38FD"/>
    <w:rsid w:val="009E406B"/>
    <w:rsid w:val="009E4325"/>
    <w:rsid w:val="009E4CB6"/>
    <w:rsid w:val="009E5E0B"/>
    <w:rsid w:val="009F0019"/>
    <w:rsid w:val="009F13CD"/>
    <w:rsid w:val="009F308D"/>
    <w:rsid w:val="009F6940"/>
    <w:rsid w:val="00A0253C"/>
    <w:rsid w:val="00A03411"/>
    <w:rsid w:val="00A03EAD"/>
    <w:rsid w:val="00A049F0"/>
    <w:rsid w:val="00A049F1"/>
    <w:rsid w:val="00A07537"/>
    <w:rsid w:val="00A104D0"/>
    <w:rsid w:val="00A11908"/>
    <w:rsid w:val="00A14B70"/>
    <w:rsid w:val="00A15C96"/>
    <w:rsid w:val="00A17611"/>
    <w:rsid w:val="00A21414"/>
    <w:rsid w:val="00A218E9"/>
    <w:rsid w:val="00A22666"/>
    <w:rsid w:val="00A237DE"/>
    <w:rsid w:val="00A241AC"/>
    <w:rsid w:val="00A265AB"/>
    <w:rsid w:val="00A26D26"/>
    <w:rsid w:val="00A270FC"/>
    <w:rsid w:val="00A31BC3"/>
    <w:rsid w:val="00A33F74"/>
    <w:rsid w:val="00A34D7E"/>
    <w:rsid w:val="00A401FC"/>
    <w:rsid w:val="00A4060A"/>
    <w:rsid w:val="00A40BB1"/>
    <w:rsid w:val="00A41884"/>
    <w:rsid w:val="00A4223E"/>
    <w:rsid w:val="00A42783"/>
    <w:rsid w:val="00A439E5"/>
    <w:rsid w:val="00A43B33"/>
    <w:rsid w:val="00A43E36"/>
    <w:rsid w:val="00A443FD"/>
    <w:rsid w:val="00A509D0"/>
    <w:rsid w:val="00A5143C"/>
    <w:rsid w:val="00A515FD"/>
    <w:rsid w:val="00A517F7"/>
    <w:rsid w:val="00A5193F"/>
    <w:rsid w:val="00A53585"/>
    <w:rsid w:val="00A54372"/>
    <w:rsid w:val="00A54A42"/>
    <w:rsid w:val="00A5720F"/>
    <w:rsid w:val="00A610C1"/>
    <w:rsid w:val="00A63961"/>
    <w:rsid w:val="00A63B11"/>
    <w:rsid w:val="00A644B7"/>
    <w:rsid w:val="00A65E8A"/>
    <w:rsid w:val="00A70810"/>
    <w:rsid w:val="00A71F07"/>
    <w:rsid w:val="00A728F2"/>
    <w:rsid w:val="00A72976"/>
    <w:rsid w:val="00A75CAF"/>
    <w:rsid w:val="00A76ACE"/>
    <w:rsid w:val="00A77318"/>
    <w:rsid w:val="00A7731A"/>
    <w:rsid w:val="00A815D8"/>
    <w:rsid w:val="00A82312"/>
    <w:rsid w:val="00A83129"/>
    <w:rsid w:val="00A8329B"/>
    <w:rsid w:val="00A83E28"/>
    <w:rsid w:val="00A846EA"/>
    <w:rsid w:val="00A855BE"/>
    <w:rsid w:val="00A85803"/>
    <w:rsid w:val="00A85EBE"/>
    <w:rsid w:val="00A875EB"/>
    <w:rsid w:val="00A87764"/>
    <w:rsid w:val="00A9048E"/>
    <w:rsid w:val="00A95898"/>
    <w:rsid w:val="00A95918"/>
    <w:rsid w:val="00A96255"/>
    <w:rsid w:val="00AA0067"/>
    <w:rsid w:val="00AA0330"/>
    <w:rsid w:val="00AA17DF"/>
    <w:rsid w:val="00AA2519"/>
    <w:rsid w:val="00AA532C"/>
    <w:rsid w:val="00AB211E"/>
    <w:rsid w:val="00AB68D2"/>
    <w:rsid w:val="00AB79E2"/>
    <w:rsid w:val="00AC5499"/>
    <w:rsid w:val="00AC5AA8"/>
    <w:rsid w:val="00AC6DD1"/>
    <w:rsid w:val="00AC7740"/>
    <w:rsid w:val="00AD050E"/>
    <w:rsid w:val="00AD1E06"/>
    <w:rsid w:val="00AD2317"/>
    <w:rsid w:val="00AD2384"/>
    <w:rsid w:val="00AD3E12"/>
    <w:rsid w:val="00AD52FC"/>
    <w:rsid w:val="00AD5ABF"/>
    <w:rsid w:val="00AD6504"/>
    <w:rsid w:val="00AD77AD"/>
    <w:rsid w:val="00AE0260"/>
    <w:rsid w:val="00AE07C5"/>
    <w:rsid w:val="00AE0CF9"/>
    <w:rsid w:val="00AE0F17"/>
    <w:rsid w:val="00AE13FC"/>
    <w:rsid w:val="00AE3C5E"/>
    <w:rsid w:val="00AE5642"/>
    <w:rsid w:val="00AE5F4B"/>
    <w:rsid w:val="00AE615B"/>
    <w:rsid w:val="00AE6508"/>
    <w:rsid w:val="00AE74DA"/>
    <w:rsid w:val="00AE76B7"/>
    <w:rsid w:val="00AE7FA1"/>
    <w:rsid w:val="00AE7FC7"/>
    <w:rsid w:val="00AF033C"/>
    <w:rsid w:val="00AF082B"/>
    <w:rsid w:val="00AF13B4"/>
    <w:rsid w:val="00AF1571"/>
    <w:rsid w:val="00AF2ED7"/>
    <w:rsid w:val="00AF606F"/>
    <w:rsid w:val="00AF757C"/>
    <w:rsid w:val="00B00786"/>
    <w:rsid w:val="00B008AE"/>
    <w:rsid w:val="00B035A1"/>
    <w:rsid w:val="00B0365C"/>
    <w:rsid w:val="00B0429E"/>
    <w:rsid w:val="00B04B09"/>
    <w:rsid w:val="00B054CC"/>
    <w:rsid w:val="00B0576B"/>
    <w:rsid w:val="00B073C0"/>
    <w:rsid w:val="00B13424"/>
    <w:rsid w:val="00B13662"/>
    <w:rsid w:val="00B14FA2"/>
    <w:rsid w:val="00B1624C"/>
    <w:rsid w:val="00B16489"/>
    <w:rsid w:val="00B16591"/>
    <w:rsid w:val="00B1670C"/>
    <w:rsid w:val="00B17B2E"/>
    <w:rsid w:val="00B22A0B"/>
    <w:rsid w:val="00B242C2"/>
    <w:rsid w:val="00B26B31"/>
    <w:rsid w:val="00B27F57"/>
    <w:rsid w:val="00B34564"/>
    <w:rsid w:val="00B34A8C"/>
    <w:rsid w:val="00B35C6E"/>
    <w:rsid w:val="00B35E6B"/>
    <w:rsid w:val="00B37BF1"/>
    <w:rsid w:val="00B41EAE"/>
    <w:rsid w:val="00B43187"/>
    <w:rsid w:val="00B434D9"/>
    <w:rsid w:val="00B44B62"/>
    <w:rsid w:val="00B453BC"/>
    <w:rsid w:val="00B46A74"/>
    <w:rsid w:val="00B47E96"/>
    <w:rsid w:val="00B51D40"/>
    <w:rsid w:val="00B5567B"/>
    <w:rsid w:val="00B56737"/>
    <w:rsid w:val="00B56B64"/>
    <w:rsid w:val="00B571AE"/>
    <w:rsid w:val="00B576EA"/>
    <w:rsid w:val="00B60E5E"/>
    <w:rsid w:val="00B616B0"/>
    <w:rsid w:val="00B63FF3"/>
    <w:rsid w:val="00B65581"/>
    <w:rsid w:val="00B65FC4"/>
    <w:rsid w:val="00B6693B"/>
    <w:rsid w:val="00B701C9"/>
    <w:rsid w:val="00B71BB9"/>
    <w:rsid w:val="00B71FE9"/>
    <w:rsid w:val="00B727AE"/>
    <w:rsid w:val="00B727E5"/>
    <w:rsid w:val="00B7405A"/>
    <w:rsid w:val="00B74D06"/>
    <w:rsid w:val="00B754C4"/>
    <w:rsid w:val="00B75A48"/>
    <w:rsid w:val="00B76EBF"/>
    <w:rsid w:val="00B806A6"/>
    <w:rsid w:val="00B809D1"/>
    <w:rsid w:val="00B81A75"/>
    <w:rsid w:val="00B8257C"/>
    <w:rsid w:val="00B8322B"/>
    <w:rsid w:val="00B903D8"/>
    <w:rsid w:val="00B9091D"/>
    <w:rsid w:val="00B90D03"/>
    <w:rsid w:val="00B9396D"/>
    <w:rsid w:val="00B94F14"/>
    <w:rsid w:val="00B956FD"/>
    <w:rsid w:val="00BA1CFB"/>
    <w:rsid w:val="00BA1F7D"/>
    <w:rsid w:val="00BA26ED"/>
    <w:rsid w:val="00BA32AE"/>
    <w:rsid w:val="00BA48E7"/>
    <w:rsid w:val="00BA651B"/>
    <w:rsid w:val="00BA6F44"/>
    <w:rsid w:val="00BA7159"/>
    <w:rsid w:val="00BB075D"/>
    <w:rsid w:val="00BB0843"/>
    <w:rsid w:val="00BB1618"/>
    <w:rsid w:val="00BB2394"/>
    <w:rsid w:val="00BB2BE0"/>
    <w:rsid w:val="00BB3E8F"/>
    <w:rsid w:val="00BB4CD5"/>
    <w:rsid w:val="00BB64AF"/>
    <w:rsid w:val="00BC0C87"/>
    <w:rsid w:val="00BC11D7"/>
    <w:rsid w:val="00BC2D24"/>
    <w:rsid w:val="00BC63A2"/>
    <w:rsid w:val="00BC6966"/>
    <w:rsid w:val="00BC7A3D"/>
    <w:rsid w:val="00BD1294"/>
    <w:rsid w:val="00BD1B27"/>
    <w:rsid w:val="00BD3449"/>
    <w:rsid w:val="00BD5EFC"/>
    <w:rsid w:val="00BD7F98"/>
    <w:rsid w:val="00BE056C"/>
    <w:rsid w:val="00BE0C90"/>
    <w:rsid w:val="00BE2B26"/>
    <w:rsid w:val="00BE3DC4"/>
    <w:rsid w:val="00BE3FB2"/>
    <w:rsid w:val="00BE40BA"/>
    <w:rsid w:val="00BE695F"/>
    <w:rsid w:val="00BF1773"/>
    <w:rsid w:val="00BF2F22"/>
    <w:rsid w:val="00BF6807"/>
    <w:rsid w:val="00BF7AC6"/>
    <w:rsid w:val="00C01546"/>
    <w:rsid w:val="00C01770"/>
    <w:rsid w:val="00C0261F"/>
    <w:rsid w:val="00C0425D"/>
    <w:rsid w:val="00C0521F"/>
    <w:rsid w:val="00C069A8"/>
    <w:rsid w:val="00C0708C"/>
    <w:rsid w:val="00C078D6"/>
    <w:rsid w:val="00C07AFA"/>
    <w:rsid w:val="00C10949"/>
    <w:rsid w:val="00C12669"/>
    <w:rsid w:val="00C14188"/>
    <w:rsid w:val="00C14562"/>
    <w:rsid w:val="00C153C0"/>
    <w:rsid w:val="00C17F74"/>
    <w:rsid w:val="00C231CD"/>
    <w:rsid w:val="00C25FD4"/>
    <w:rsid w:val="00C2695B"/>
    <w:rsid w:val="00C27D46"/>
    <w:rsid w:val="00C305FF"/>
    <w:rsid w:val="00C3175E"/>
    <w:rsid w:val="00C31891"/>
    <w:rsid w:val="00C31FB7"/>
    <w:rsid w:val="00C32449"/>
    <w:rsid w:val="00C34ADD"/>
    <w:rsid w:val="00C37915"/>
    <w:rsid w:val="00C41D9E"/>
    <w:rsid w:val="00C420C1"/>
    <w:rsid w:val="00C428CC"/>
    <w:rsid w:val="00C50057"/>
    <w:rsid w:val="00C5053E"/>
    <w:rsid w:val="00C50A63"/>
    <w:rsid w:val="00C50CE3"/>
    <w:rsid w:val="00C50F7D"/>
    <w:rsid w:val="00C5287B"/>
    <w:rsid w:val="00C52B23"/>
    <w:rsid w:val="00C53FB0"/>
    <w:rsid w:val="00C56E8E"/>
    <w:rsid w:val="00C57277"/>
    <w:rsid w:val="00C57BE6"/>
    <w:rsid w:val="00C602D5"/>
    <w:rsid w:val="00C615E7"/>
    <w:rsid w:val="00C63631"/>
    <w:rsid w:val="00C64F14"/>
    <w:rsid w:val="00C658A2"/>
    <w:rsid w:val="00C65916"/>
    <w:rsid w:val="00C67E4F"/>
    <w:rsid w:val="00C701E9"/>
    <w:rsid w:val="00C73528"/>
    <w:rsid w:val="00C743B6"/>
    <w:rsid w:val="00C777AA"/>
    <w:rsid w:val="00C77CE0"/>
    <w:rsid w:val="00C77D1F"/>
    <w:rsid w:val="00C80A96"/>
    <w:rsid w:val="00C80DFE"/>
    <w:rsid w:val="00C83B38"/>
    <w:rsid w:val="00C841AD"/>
    <w:rsid w:val="00C854FE"/>
    <w:rsid w:val="00C90A71"/>
    <w:rsid w:val="00C91D2A"/>
    <w:rsid w:val="00C924D8"/>
    <w:rsid w:val="00C928D9"/>
    <w:rsid w:val="00C92DA6"/>
    <w:rsid w:val="00C92FDA"/>
    <w:rsid w:val="00C93305"/>
    <w:rsid w:val="00C94D79"/>
    <w:rsid w:val="00C954CF"/>
    <w:rsid w:val="00C96162"/>
    <w:rsid w:val="00C9725A"/>
    <w:rsid w:val="00CA051C"/>
    <w:rsid w:val="00CA0BF5"/>
    <w:rsid w:val="00CA1F1B"/>
    <w:rsid w:val="00CA249E"/>
    <w:rsid w:val="00CA3B4D"/>
    <w:rsid w:val="00CA3E74"/>
    <w:rsid w:val="00CA5E1A"/>
    <w:rsid w:val="00CA635D"/>
    <w:rsid w:val="00CB3302"/>
    <w:rsid w:val="00CB446E"/>
    <w:rsid w:val="00CB487F"/>
    <w:rsid w:val="00CB5131"/>
    <w:rsid w:val="00CB6C60"/>
    <w:rsid w:val="00CC0D85"/>
    <w:rsid w:val="00CC4AF5"/>
    <w:rsid w:val="00CC541A"/>
    <w:rsid w:val="00CC65F5"/>
    <w:rsid w:val="00CD161E"/>
    <w:rsid w:val="00CD5397"/>
    <w:rsid w:val="00CD6EBD"/>
    <w:rsid w:val="00CD7C34"/>
    <w:rsid w:val="00CD7CFC"/>
    <w:rsid w:val="00CE2C89"/>
    <w:rsid w:val="00CE4EAC"/>
    <w:rsid w:val="00CE6327"/>
    <w:rsid w:val="00CE6766"/>
    <w:rsid w:val="00CF100C"/>
    <w:rsid w:val="00CF130E"/>
    <w:rsid w:val="00CF13C5"/>
    <w:rsid w:val="00CF3651"/>
    <w:rsid w:val="00CF39E0"/>
    <w:rsid w:val="00D01EA7"/>
    <w:rsid w:val="00D02429"/>
    <w:rsid w:val="00D03C3A"/>
    <w:rsid w:val="00D0581D"/>
    <w:rsid w:val="00D0602C"/>
    <w:rsid w:val="00D10F28"/>
    <w:rsid w:val="00D1394A"/>
    <w:rsid w:val="00D147B0"/>
    <w:rsid w:val="00D1547D"/>
    <w:rsid w:val="00D15B6A"/>
    <w:rsid w:val="00D162E4"/>
    <w:rsid w:val="00D16BBE"/>
    <w:rsid w:val="00D179E4"/>
    <w:rsid w:val="00D2024C"/>
    <w:rsid w:val="00D21AAD"/>
    <w:rsid w:val="00D227BC"/>
    <w:rsid w:val="00D259CF"/>
    <w:rsid w:val="00D25CE2"/>
    <w:rsid w:val="00D273A5"/>
    <w:rsid w:val="00D30FEB"/>
    <w:rsid w:val="00D3166E"/>
    <w:rsid w:val="00D33B5F"/>
    <w:rsid w:val="00D36476"/>
    <w:rsid w:val="00D371CA"/>
    <w:rsid w:val="00D37884"/>
    <w:rsid w:val="00D527E8"/>
    <w:rsid w:val="00D5504B"/>
    <w:rsid w:val="00D5729B"/>
    <w:rsid w:val="00D5730C"/>
    <w:rsid w:val="00D57FE2"/>
    <w:rsid w:val="00D615DE"/>
    <w:rsid w:val="00D63767"/>
    <w:rsid w:val="00D63D65"/>
    <w:rsid w:val="00D664D5"/>
    <w:rsid w:val="00D679E9"/>
    <w:rsid w:val="00D70BB9"/>
    <w:rsid w:val="00D70D7B"/>
    <w:rsid w:val="00D727AC"/>
    <w:rsid w:val="00D7582F"/>
    <w:rsid w:val="00D760CB"/>
    <w:rsid w:val="00D762C1"/>
    <w:rsid w:val="00D776D0"/>
    <w:rsid w:val="00D8142C"/>
    <w:rsid w:val="00D8184F"/>
    <w:rsid w:val="00D831F9"/>
    <w:rsid w:val="00D8340A"/>
    <w:rsid w:val="00D8433D"/>
    <w:rsid w:val="00D854EF"/>
    <w:rsid w:val="00D863E4"/>
    <w:rsid w:val="00D90A61"/>
    <w:rsid w:val="00D913BB"/>
    <w:rsid w:val="00D92793"/>
    <w:rsid w:val="00D955B4"/>
    <w:rsid w:val="00D95AB2"/>
    <w:rsid w:val="00D97B2D"/>
    <w:rsid w:val="00DA06BA"/>
    <w:rsid w:val="00DA0B09"/>
    <w:rsid w:val="00DA4B72"/>
    <w:rsid w:val="00DA4E91"/>
    <w:rsid w:val="00DA556D"/>
    <w:rsid w:val="00DA559B"/>
    <w:rsid w:val="00DA7B90"/>
    <w:rsid w:val="00DB3FC6"/>
    <w:rsid w:val="00DB6565"/>
    <w:rsid w:val="00DB68DF"/>
    <w:rsid w:val="00DB7A45"/>
    <w:rsid w:val="00DC036A"/>
    <w:rsid w:val="00DC169F"/>
    <w:rsid w:val="00DC171C"/>
    <w:rsid w:val="00DC40F3"/>
    <w:rsid w:val="00DC47EF"/>
    <w:rsid w:val="00DC7655"/>
    <w:rsid w:val="00DD03E5"/>
    <w:rsid w:val="00DD08B1"/>
    <w:rsid w:val="00DD1C24"/>
    <w:rsid w:val="00DD2A0D"/>
    <w:rsid w:val="00DD563A"/>
    <w:rsid w:val="00DD6332"/>
    <w:rsid w:val="00DD633B"/>
    <w:rsid w:val="00DD6887"/>
    <w:rsid w:val="00DD7A9C"/>
    <w:rsid w:val="00DE08FD"/>
    <w:rsid w:val="00DE27B5"/>
    <w:rsid w:val="00DE2F26"/>
    <w:rsid w:val="00DE4B3B"/>
    <w:rsid w:val="00DE7813"/>
    <w:rsid w:val="00DF03D9"/>
    <w:rsid w:val="00DF2195"/>
    <w:rsid w:val="00DF4563"/>
    <w:rsid w:val="00DF5334"/>
    <w:rsid w:val="00DF5A98"/>
    <w:rsid w:val="00E00D73"/>
    <w:rsid w:val="00E0172E"/>
    <w:rsid w:val="00E02EE9"/>
    <w:rsid w:val="00E02EF5"/>
    <w:rsid w:val="00E03660"/>
    <w:rsid w:val="00E03740"/>
    <w:rsid w:val="00E03EE1"/>
    <w:rsid w:val="00E040F4"/>
    <w:rsid w:val="00E0508A"/>
    <w:rsid w:val="00E05166"/>
    <w:rsid w:val="00E06F45"/>
    <w:rsid w:val="00E1009F"/>
    <w:rsid w:val="00E11224"/>
    <w:rsid w:val="00E12B74"/>
    <w:rsid w:val="00E14D60"/>
    <w:rsid w:val="00E151F2"/>
    <w:rsid w:val="00E16A71"/>
    <w:rsid w:val="00E175E3"/>
    <w:rsid w:val="00E211A1"/>
    <w:rsid w:val="00E23A54"/>
    <w:rsid w:val="00E247BE"/>
    <w:rsid w:val="00E24C0E"/>
    <w:rsid w:val="00E2545B"/>
    <w:rsid w:val="00E26304"/>
    <w:rsid w:val="00E2793D"/>
    <w:rsid w:val="00E27FF6"/>
    <w:rsid w:val="00E30269"/>
    <w:rsid w:val="00E33904"/>
    <w:rsid w:val="00E34535"/>
    <w:rsid w:val="00E353C0"/>
    <w:rsid w:val="00E35DBC"/>
    <w:rsid w:val="00E35F9D"/>
    <w:rsid w:val="00E3657B"/>
    <w:rsid w:val="00E40AB1"/>
    <w:rsid w:val="00E41A4B"/>
    <w:rsid w:val="00E45C37"/>
    <w:rsid w:val="00E45C50"/>
    <w:rsid w:val="00E46477"/>
    <w:rsid w:val="00E46601"/>
    <w:rsid w:val="00E467DA"/>
    <w:rsid w:val="00E51FC9"/>
    <w:rsid w:val="00E5498E"/>
    <w:rsid w:val="00E56476"/>
    <w:rsid w:val="00E568B3"/>
    <w:rsid w:val="00E57F9F"/>
    <w:rsid w:val="00E60F7E"/>
    <w:rsid w:val="00E61757"/>
    <w:rsid w:val="00E6183C"/>
    <w:rsid w:val="00E62914"/>
    <w:rsid w:val="00E62E05"/>
    <w:rsid w:val="00E6459D"/>
    <w:rsid w:val="00E6594E"/>
    <w:rsid w:val="00E67297"/>
    <w:rsid w:val="00E71C7C"/>
    <w:rsid w:val="00E72007"/>
    <w:rsid w:val="00E72058"/>
    <w:rsid w:val="00E720EA"/>
    <w:rsid w:val="00E72931"/>
    <w:rsid w:val="00E73681"/>
    <w:rsid w:val="00E74BDC"/>
    <w:rsid w:val="00E77EA3"/>
    <w:rsid w:val="00E812EB"/>
    <w:rsid w:val="00E83640"/>
    <w:rsid w:val="00E86525"/>
    <w:rsid w:val="00E87925"/>
    <w:rsid w:val="00E87A20"/>
    <w:rsid w:val="00E90284"/>
    <w:rsid w:val="00E9060E"/>
    <w:rsid w:val="00E91A00"/>
    <w:rsid w:val="00E92480"/>
    <w:rsid w:val="00E92CBF"/>
    <w:rsid w:val="00E94225"/>
    <w:rsid w:val="00E95BE2"/>
    <w:rsid w:val="00E962AD"/>
    <w:rsid w:val="00EA0516"/>
    <w:rsid w:val="00EA066E"/>
    <w:rsid w:val="00EA26A1"/>
    <w:rsid w:val="00EA2C81"/>
    <w:rsid w:val="00EA482A"/>
    <w:rsid w:val="00EA5FA7"/>
    <w:rsid w:val="00EA64A1"/>
    <w:rsid w:val="00EA66EC"/>
    <w:rsid w:val="00EA6776"/>
    <w:rsid w:val="00EA7356"/>
    <w:rsid w:val="00EB2C5C"/>
    <w:rsid w:val="00EB3F90"/>
    <w:rsid w:val="00EB5226"/>
    <w:rsid w:val="00EB5896"/>
    <w:rsid w:val="00EB66A4"/>
    <w:rsid w:val="00EB702A"/>
    <w:rsid w:val="00EB7D57"/>
    <w:rsid w:val="00EC16A3"/>
    <w:rsid w:val="00EC19B9"/>
    <w:rsid w:val="00EC1A2A"/>
    <w:rsid w:val="00EC7A15"/>
    <w:rsid w:val="00ED091E"/>
    <w:rsid w:val="00ED0DBB"/>
    <w:rsid w:val="00ED13AC"/>
    <w:rsid w:val="00ED1586"/>
    <w:rsid w:val="00ED198F"/>
    <w:rsid w:val="00ED1FDE"/>
    <w:rsid w:val="00ED22D9"/>
    <w:rsid w:val="00ED3368"/>
    <w:rsid w:val="00ED510C"/>
    <w:rsid w:val="00ED5321"/>
    <w:rsid w:val="00ED5632"/>
    <w:rsid w:val="00ED623F"/>
    <w:rsid w:val="00ED7EC6"/>
    <w:rsid w:val="00ED7EEA"/>
    <w:rsid w:val="00EE1B21"/>
    <w:rsid w:val="00EE1BAA"/>
    <w:rsid w:val="00EE3526"/>
    <w:rsid w:val="00EE3752"/>
    <w:rsid w:val="00EE7F27"/>
    <w:rsid w:val="00EF18E2"/>
    <w:rsid w:val="00EF1924"/>
    <w:rsid w:val="00EF20A1"/>
    <w:rsid w:val="00EF2603"/>
    <w:rsid w:val="00EF5928"/>
    <w:rsid w:val="00EF78AF"/>
    <w:rsid w:val="00EF7EFC"/>
    <w:rsid w:val="00F02263"/>
    <w:rsid w:val="00F04FB9"/>
    <w:rsid w:val="00F051FF"/>
    <w:rsid w:val="00F13762"/>
    <w:rsid w:val="00F13EA1"/>
    <w:rsid w:val="00F16AD7"/>
    <w:rsid w:val="00F176B5"/>
    <w:rsid w:val="00F178E3"/>
    <w:rsid w:val="00F21BD3"/>
    <w:rsid w:val="00F2212F"/>
    <w:rsid w:val="00F26368"/>
    <w:rsid w:val="00F27CD1"/>
    <w:rsid w:val="00F31E58"/>
    <w:rsid w:val="00F33677"/>
    <w:rsid w:val="00F33717"/>
    <w:rsid w:val="00F3459A"/>
    <w:rsid w:val="00F3470A"/>
    <w:rsid w:val="00F35580"/>
    <w:rsid w:val="00F3653B"/>
    <w:rsid w:val="00F37F61"/>
    <w:rsid w:val="00F40A00"/>
    <w:rsid w:val="00F44C04"/>
    <w:rsid w:val="00F45096"/>
    <w:rsid w:val="00F462E4"/>
    <w:rsid w:val="00F47F2F"/>
    <w:rsid w:val="00F51EA8"/>
    <w:rsid w:val="00F55F9E"/>
    <w:rsid w:val="00F564BD"/>
    <w:rsid w:val="00F57B84"/>
    <w:rsid w:val="00F6125E"/>
    <w:rsid w:val="00F6430B"/>
    <w:rsid w:val="00F64372"/>
    <w:rsid w:val="00F6536C"/>
    <w:rsid w:val="00F654D5"/>
    <w:rsid w:val="00F66AA2"/>
    <w:rsid w:val="00F70159"/>
    <w:rsid w:val="00F714DE"/>
    <w:rsid w:val="00F718CC"/>
    <w:rsid w:val="00F7299D"/>
    <w:rsid w:val="00F72C00"/>
    <w:rsid w:val="00F73FF1"/>
    <w:rsid w:val="00F7534D"/>
    <w:rsid w:val="00F7631F"/>
    <w:rsid w:val="00F77A88"/>
    <w:rsid w:val="00F77CD7"/>
    <w:rsid w:val="00F80BEE"/>
    <w:rsid w:val="00F80C91"/>
    <w:rsid w:val="00F8229E"/>
    <w:rsid w:val="00F8356A"/>
    <w:rsid w:val="00F83E42"/>
    <w:rsid w:val="00F84825"/>
    <w:rsid w:val="00F84E74"/>
    <w:rsid w:val="00F85354"/>
    <w:rsid w:val="00F86892"/>
    <w:rsid w:val="00F875D6"/>
    <w:rsid w:val="00F87B2D"/>
    <w:rsid w:val="00F87F74"/>
    <w:rsid w:val="00F9005B"/>
    <w:rsid w:val="00F90574"/>
    <w:rsid w:val="00F92991"/>
    <w:rsid w:val="00F93961"/>
    <w:rsid w:val="00F96CD7"/>
    <w:rsid w:val="00F97782"/>
    <w:rsid w:val="00FA3870"/>
    <w:rsid w:val="00FA3EC1"/>
    <w:rsid w:val="00FA5975"/>
    <w:rsid w:val="00FB02CB"/>
    <w:rsid w:val="00FB04C3"/>
    <w:rsid w:val="00FB158E"/>
    <w:rsid w:val="00FB21AA"/>
    <w:rsid w:val="00FB275D"/>
    <w:rsid w:val="00FB2BDE"/>
    <w:rsid w:val="00FB2CAB"/>
    <w:rsid w:val="00FB6D36"/>
    <w:rsid w:val="00FC030D"/>
    <w:rsid w:val="00FC0D38"/>
    <w:rsid w:val="00FC2C68"/>
    <w:rsid w:val="00FC3D35"/>
    <w:rsid w:val="00FC5F00"/>
    <w:rsid w:val="00FD09DB"/>
    <w:rsid w:val="00FD162E"/>
    <w:rsid w:val="00FD4F65"/>
    <w:rsid w:val="00FE05DA"/>
    <w:rsid w:val="00FE0DC5"/>
    <w:rsid w:val="00FE1423"/>
    <w:rsid w:val="00FE4826"/>
    <w:rsid w:val="00FE4924"/>
    <w:rsid w:val="00FE4971"/>
    <w:rsid w:val="00FE7D12"/>
    <w:rsid w:val="00FF31AE"/>
    <w:rsid w:val="00FF3940"/>
    <w:rsid w:val="00FF521F"/>
    <w:rsid w:val="00FF58F1"/>
    <w:rsid w:val="00FF6238"/>
    <w:rsid w:val="00FF6D64"/>
    <w:rsid w:val="00FF72D8"/>
    <w:rsid w:val="00FF7980"/>
    <w:rsid w:val="00FF7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74BA"/>
  <w15:docId w15:val="{D9031C6A-B24D-4437-A19C-02660B79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043FD"/>
    <w:pPr>
      <w:spacing w:after="120" w:line="276" w:lineRule="auto"/>
      <w:jc w:val="both"/>
    </w:pPr>
    <w:rPr>
      <w:color w:val="000000"/>
      <w:sz w:val="22"/>
      <w:szCs w:val="24"/>
    </w:rPr>
  </w:style>
  <w:style w:type="paragraph" w:styleId="Nadpis1">
    <w:name w:val="heading 1"/>
    <w:basedOn w:val="Normln"/>
    <w:next w:val="Normln"/>
    <w:link w:val="Nadpis1Char"/>
    <w:rsid w:val="00321BED"/>
    <w:pPr>
      <w:keepNext/>
      <w:keepLines/>
      <w:spacing w:after="60"/>
      <w:jc w:val="left"/>
      <w:outlineLvl w:val="0"/>
    </w:pPr>
    <w:rPr>
      <w:b/>
      <w:color w:val="17365D"/>
      <w:sz w:val="28"/>
      <w:szCs w:val="30"/>
      <w:lang w:val="x-none" w:eastAsia="x-none"/>
    </w:rPr>
  </w:style>
  <w:style w:type="paragraph" w:styleId="Nadpis2">
    <w:name w:val="heading 2"/>
    <w:basedOn w:val="Normln"/>
    <w:next w:val="Normln"/>
    <w:link w:val="Nadpis2Char"/>
    <w:rsid w:val="003043FD"/>
    <w:pPr>
      <w:keepNext/>
      <w:keepLines/>
      <w:spacing w:before="360" w:after="60"/>
      <w:outlineLvl w:val="1"/>
    </w:pPr>
    <w:rPr>
      <w:b/>
      <w:color w:val="17365D"/>
      <w:sz w:val="26"/>
      <w:szCs w:val="28"/>
      <w:lang w:val="x-none" w:eastAsia="x-none"/>
    </w:rPr>
  </w:style>
  <w:style w:type="paragraph" w:styleId="Nadpis3">
    <w:name w:val="heading 3"/>
    <w:basedOn w:val="Normln"/>
    <w:next w:val="Normln"/>
    <w:link w:val="Nadpis3Char"/>
    <w:rsid w:val="003043FD"/>
    <w:pPr>
      <w:keepNext/>
      <w:keepLines/>
      <w:spacing w:before="480" w:after="60"/>
      <w:outlineLvl w:val="2"/>
    </w:pPr>
    <w:rPr>
      <w:b/>
      <w:color w:val="17365D"/>
      <w:sz w:val="24"/>
      <w:szCs w:val="26"/>
      <w:lang w:val="x-none" w:eastAsia="x-none"/>
    </w:rPr>
  </w:style>
  <w:style w:type="paragraph" w:styleId="Nadpis4">
    <w:name w:val="heading 4"/>
    <w:basedOn w:val="Normln"/>
    <w:next w:val="Normln"/>
    <w:pPr>
      <w:keepNext/>
      <w:keepLines/>
      <w:spacing w:before="200" w:after="0"/>
      <w:outlineLvl w:val="3"/>
    </w:pPr>
    <w:rPr>
      <w:rFonts w:ascii="Cambria" w:eastAsia="Cambria" w:hAnsi="Cambria" w:cs="Cambria"/>
      <w:b/>
      <w:i/>
      <w:color w:val="4F81BD"/>
    </w:rPr>
  </w:style>
  <w:style w:type="paragraph" w:styleId="Nadpis5">
    <w:name w:val="heading 5"/>
    <w:basedOn w:val="Normln"/>
    <w:next w:val="Normln"/>
    <w:pPr>
      <w:keepNext/>
      <w:keepLines/>
      <w:spacing w:before="220" w:after="40"/>
      <w:contextualSpacing/>
      <w:outlineLvl w:val="4"/>
    </w:pPr>
    <w:rPr>
      <w:b/>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pPr>
      <w:spacing w:after="120" w:line="276" w:lineRule="auto"/>
      <w:jc w:val="both"/>
    </w:pPr>
    <w:rPr>
      <w:color w:val="000000"/>
      <w:sz w:val="24"/>
      <w:szCs w:val="24"/>
    </w:rPr>
    <w:tblPr>
      <w:tblCellMar>
        <w:top w:w="0" w:type="dxa"/>
        <w:left w:w="0" w:type="dxa"/>
        <w:bottom w:w="0" w:type="dxa"/>
        <w:right w:w="0" w:type="dxa"/>
      </w:tblCellMar>
    </w:tblPr>
  </w:style>
  <w:style w:type="paragraph" w:styleId="Nzev">
    <w:name w:val="Title"/>
    <w:basedOn w:val="Normln"/>
    <w:next w:val="Normln"/>
    <w:pPr>
      <w:keepNext/>
      <w:keepLines/>
      <w:spacing w:before="480"/>
      <w:contextualSpacing/>
    </w:pPr>
    <w:rPr>
      <w:b/>
      <w:sz w:val="72"/>
      <w:szCs w:val="72"/>
    </w:rPr>
  </w:style>
  <w:style w:type="paragraph" w:customStyle="1" w:styleId="Podtitul1">
    <w:name w:val="Podtitul1"/>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pPr>
      <w:spacing w:line="240" w:lineRule="auto"/>
    </w:pPr>
    <w:rPr>
      <w:color w:val="auto"/>
      <w:sz w:val="20"/>
      <w:szCs w:val="20"/>
      <w:lang w:val="x-none" w:eastAsia="x-none"/>
    </w:rPr>
  </w:style>
  <w:style w:type="character" w:customStyle="1" w:styleId="TextkomenteChar">
    <w:name w:val="Text komentáře Char"/>
    <w:link w:val="Textkomente"/>
    <w:uiPriority w:val="99"/>
    <w:rPr>
      <w:sz w:val="20"/>
      <w:szCs w:val="20"/>
    </w:rPr>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uiPriority w:val="99"/>
    <w:semiHidden/>
    <w:unhideWhenUsed/>
    <w:rsid w:val="00C91D2A"/>
    <w:pPr>
      <w:spacing w:after="0" w:line="240" w:lineRule="auto"/>
    </w:pPr>
    <w:rPr>
      <w:rFonts w:ascii="Tahoma" w:hAnsi="Tahoma"/>
      <w:color w:val="auto"/>
      <w:sz w:val="16"/>
      <w:szCs w:val="16"/>
      <w:lang w:val="x-none" w:eastAsia="x-none"/>
    </w:rPr>
  </w:style>
  <w:style w:type="character" w:customStyle="1" w:styleId="TextbublinyChar">
    <w:name w:val="Text bubliny Char"/>
    <w:link w:val="Textbubliny"/>
    <w:uiPriority w:val="99"/>
    <w:semiHidden/>
    <w:rsid w:val="00C91D2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AF13B4"/>
    <w:rPr>
      <w:b/>
      <w:bCs/>
    </w:rPr>
  </w:style>
  <w:style w:type="character" w:customStyle="1" w:styleId="PedmtkomenteChar">
    <w:name w:val="Předmět komentáře Char"/>
    <w:link w:val="Pedmtkomente"/>
    <w:uiPriority w:val="99"/>
    <w:semiHidden/>
    <w:rsid w:val="00AF13B4"/>
    <w:rPr>
      <w:b/>
      <w:bCs/>
      <w:sz w:val="20"/>
      <w:szCs w:val="20"/>
    </w:rPr>
  </w:style>
  <w:style w:type="paragraph" w:styleId="Zhlav">
    <w:name w:val="header"/>
    <w:basedOn w:val="Normln"/>
    <w:link w:val="ZhlavChar"/>
    <w:uiPriority w:val="99"/>
    <w:unhideWhenUsed/>
    <w:rsid w:val="00ED15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1586"/>
  </w:style>
  <w:style w:type="paragraph" w:styleId="Zpat">
    <w:name w:val="footer"/>
    <w:basedOn w:val="Normln"/>
    <w:link w:val="ZpatChar"/>
    <w:uiPriority w:val="99"/>
    <w:unhideWhenUsed/>
    <w:rsid w:val="00ED1586"/>
    <w:pPr>
      <w:tabs>
        <w:tab w:val="center" w:pos="4536"/>
        <w:tab w:val="right" w:pos="9072"/>
      </w:tabs>
      <w:spacing w:after="0" w:line="240" w:lineRule="auto"/>
    </w:pPr>
  </w:style>
  <w:style w:type="character" w:customStyle="1" w:styleId="ZpatChar">
    <w:name w:val="Zápatí Char"/>
    <w:basedOn w:val="Standardnpsmoodstavce"/>
    <w:link w:val="Zpat"/>
    <w:uiPriority w:val="99"/>
    <w:rsid w:val="00ED1586"/>
  </w:style>
  <w:style w:type="character" w:styleId="Hypertextovodkaz">
    <w:name w:val="Hyperlink"/>
    <w:uiPriority w:val="99"/>
    <w:unhideWhenUsed/>
    <w:rsid w:val="0007358A"/>
    <w:rPr>
      <w:color w:val="0000FF"/>
      <w:u w:val="single"/>
    </w:rPr>
  </w:style>
  <w:style w:type="paragraph" w:customStyle="1" w:styleId="Styl1">
    <w:name w:val="Styl 1"/>
    <w:basedOn w:val="Nadpis1"/>
    <w:link w:val="Styl1Char"/>
    <w:qFormat/>
    <w:rsid w:val="00321BED"/>
    <w:pPr>
      <w:numPr>
        <w:numId w:val="4"/>
      </w:numPr>
    </w:pPr>
  </w:style>
  <w:style w:type="paragraph" w:styleId="Bezmezer">
    <w:name w:val="No Spacing"/>
    <w:uiPriority w:val="1"/>
    <w:qFormat/>
    <w:rsid w:val="00EE7F27"/>
    <w:pPr>
      <w:jc w:val="both"/>
    </w:pPr>
    <w:rPr>
      <w:color w:val="000000"/>
      <w:sz w:val="24"/>
      <w:szCs w:val="24"/>
    </w:rPr>
  </w:style>
  <w:style w:type="character" w:customStyle="1" w:styleId="Nadpis1Char">
    <w:name w:val="Nadpis 1 Char"/>
    <w:link w:val="Nadpis1"/>
    <w:rsid w:val="00321BED"/>
    <w:rPr>
      <w:b/>
      <w:color w:val="17365D"/>
      <w:sz w:val="28"/>
      <w:szCs w:val="30"/>
      <w:lang w:val="x-none" w:eastAsia="x-none"/>
    </w:rPr>
  </w:style>
  <w:style w:type="character" w:customStyle="1" w:styleId="Styl1Char">
    <w:name w:val="Styl 1 Char"/>
    <w:link w:val="Styl1"/>
    <w:rsid w:val="00321BED"/>
    <w:rPr>
      <w:b/>
      <w:color w:val="17365D"/>
      <w:sz w:val="28"/>
      <w:szCs w:val="30"/>
      <w:lang w:val="x-none" w:eastAsia="x-none"/>
    </w:rPr>
  </w:style>
  <w:style w:type="paragraph" w:styleId="Revize">
    <w:name w:val="Revision"/>
    <w:hidden/>
    <w:uiPriority w:val="99"/>
    <w:semiHidden/>
    <w:rsid w:val="00EE7F27"/>
    <w:rPr>
      <w:color w:val="000000"/>
      <w:sz w:val="24"/>
      <w:szCs w:val="24"/>
    </w:rPr>
  </w:style>
  <w:style w:type="paragraph" w:styleId="Odstavecseseznamem">
    <w:name w:val="List Paragraph"/>
    <w:aliases w:val="Odstavec_muj,Nad,List Paragraph (Czech Tourism),List Paragraph,Odstavec cíl se seznamem,Odstavec se seznamem5,_Odstavec se seznamem,Seznam - odrážky,Conclusion de partie,Odstavec se seznamem2,Odrážky,Odstavec se seznamem1,Odstavec1"/>
    <w:basedOn w:val="Normln"/>
    <w:link w:val="OdstavecseseznamemChar"/>
    <w:uiPriority w:val="35"/>
    <w:qFormat/>
    <w:rsid w:val="006B7AE1"/>
    <w:pPr>
      <w:ind w:left="720"/>
      <w:contextualSpacing/>
    </w:pPr>
  </w:style>
  <w:style w:type="table" w:customStyle="1" w:styleId="Mkatabulky1">
    <w:name w:val="Mřížka tabulky1"/>
    <w:basedOn w:val="Normlntabulka"/>
    <w:uiPriority w:val="59"/>
    <w:rsid w:val="00912CA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adpis2"/>
    <w:link w:val="Styl2Char"/>
    <w:qFormat/>
    <w:rsid w:val="00321BED"/>
  </w:style>
  <w:style w:type="paragraph" w:customStyle="1" w:styleId="Styl3">
    <w:name w:val="Styl3"/>
    <w:basedOn w:val="Nadpis3"/>
    <w:link w:val="Styl3Char"/>
    <w:qFormat/>
    <w:rsid w:val="00321BED"/>
    <w:pPr>
      <w:numPr>
        <w:ilvl w:val="2"/>
        <w:numId w:val="3"/>
      </w:numPr>
      <w:ind w:hanging="720"/>
    </w:pPr>
  </w:style>
  <w:style w:type="character" w:customStyle="1" w:styleId="Nadpis2Char">
    <w:name w:val="Nadpis 2 Char"/>
    <w:link w:val="Nadpis2"/>
    <w:rsid w:val="003043FD"/>
    <w:rPr>
      <w:b/>
      <w:color w:val="17365D"/>
      <w:sz w:val="26"/>
      <w:szCs w:val="28"/>
    </w:rPr>
  </w:style>
  <w:style w:type="character" w:customStyle="1" w:styleId="Styl2Char">
    <w:name w:val="Styl2 Char"/>
    <w:link w:val="Styl2"/>
    <w:rsid w:val="00321BED"/>
    <w:rPr>
      <w:b/>
      <w:color w:val="17365D"/>
      <w:sz w:val="26"/>
      <w:szCs w:val="28"/>
      <w:lang w:val="x-none" w:eastAsia="x-none"/>
    </w:rPr>
  </w:style>
  <w:style w:type="character" w:customStyle="1" w:styleId="Nadpis3Char">
    <w:name w:val="Nadpis 3 Char"/>
    <w:link w:val="Nadpis3"/>
    <w:rsid w:val="003043FD"/>
    <w:rPr>
      <w:b/>
      <w:color w:val="17365D"/>
      <w:sz w:val="24"/>
      <w:szCs w:val="26"/>
    </w:rPr>
  </w:style>
  <w:style w:type="character" w:customStyle="1" w:styleId="Styl3Char">
    <w:name w:val="Styl3 Char"/>
    <w:link w:val="Styl3"/>
    <w:rsid w:val="00321BED"/>
    <w:rPr>
      <w:b/>
      <w:color w:val="17365D"/>
      <w:sz w:val="24"/>
      <w:szCs w:val="26"/>
      <w:lang w:val="x-none" w:eastAsia="x-none"/>
    </w:rPr>
  </w:style>
  <w:style w:type="paragraph" w:styleId="Nadpisobsahu">
    <w:name w:val="TOC Heading"/>
    <w:basedOn w:val="Nadpis1"/>
    <w:next w:val="Normln"/>
    <w:uiPriority w:val="39"/>
    <w:unhideWhenUsed/>
    <w:qFormat/>
    <w:rsid w:val="00E71C7C"/>
    <w:pPr>
      <w:spacing w:before="480" w:after="0"/>
      <w:outlineLvl w:val="9"/>
    </w:pPr>
    <w:rPr>
      <w:rFonts w:ascii="Cambria" w:hAnsi="Cambria"/>
      <w:bCs/>
      <w:color w:val="365F91"/>
      <w:szCs w:val="28"/>
    </w:rPr>
  </w:style>
  <w:style w:type="paragraph" w:styleId="Obsah1">
    <w:name w:val="toc 1"/>
    <w:basedOn w:val="Normln"/>
    <w:next w:val="Normln"/>
    <w:autoRedefine/>
    <w:uiPriority w:val="39"/>
    <w:unhideWhenUsed/>
    <w:rsid w:val="00E71C7C"/>
    <w:pPr>
      <w:spacing w:after="100"/>
    </w:pPr>
    <w:rPr>
      <w:b/>
    </w:rPr>
  </w:style>
  <w:style w:type="paragraph" w:styleId="Obsah2">
    <w:name w:val="toc 2"/>
    <w:basedOn w:val="Normln"/>
    <w:next w:val="Normln"/>
    <w:autoRedefine/>
    <w:uiPriority w:val="39"/>
    <w:unhideWhenUsed/>
    <w:rsid w:val="00E71C7C"/>
    <w:pPr>
      <w:spacing w:after="100"/>
      <w:ind w:left="240"/>
    </w:pPr>
  </w:style>
  <w:style w:type="paragraph" w:styleId="Obsah3">
    <w:name w:val="toc 3"/>
    <w:basedOn w:val="Normln"/>
    <w:next w:val="Normln"/>
    <w:autoRedefine/>
    <w:uiPriority w:val="39"/>
    <w:unhideWhenUsed/>
    <w:rsid w:val="00E71C7C"/>
    <w:pPr>
      <w:spacing w:after="100"/>
      <w:ind w:left="480"/>
    </w:pPr>
  </w:style>
  <w:style w:type="paragraph" w:styleId="Titulek">
    <w:name w:val="caption"/>
    <w:basedOn w:val="Normln"/>
    <w:next w:val="Normln"/>
    <w:uiPriority w:val="35"/>
    <w:unhideWhenUsed/>
    <w:qFormat/>
    <w:rsid w:val="00264C09"/>
    <w:pPr>
      <w:spacing w:before="240" w:after="60" w:line="240" w:lineRule="auto"/>
    </w:pPr>
    <w:rPr>
      <w:b/>
      <w:bCs/>
      <w:color w:val="auto"/>
      <w:szCs w:val="18"/>
    </w:rPr>
  </w:style>
  <w:style w:type="paragraph" w:styleId="Seznamobrzk">
    <w:name w:val="table of figures"/>
    <w:basedOn w:val="Normln"/>
    <w:next w:val="Normln"/>
    <w:uiPriority w:val="99"/>
    <w:unhideWhenUsed/>
    <w:rsid w:val="0006140C"/>
    <w:pPr>
      <w:spacing w:after="0"/>
    </w:pPr>
  </w:style>
  <w:style w:type="character" w:styleId="Sledovanodkaz">
    <w:name w:val="FollowedHyperlink"/>
    <w:uiPriority w:val="99"/>
    <w:semiHidden/>
    <w:unhideWhenUsed/>
    <w:rsid w:val="003C6053"/>
    <w:rPr>
      <w:color w:val="800080"/>
      <w:u w:val="single"/>
    </w:rPr>
  </w:style>
  <w:style w:type="paragraph" w:styleId="Textpoznpodarou">
    <w:name w:val="footnote text"/>
    <w:aliases w:val="Poznámka pod čarou,Schriftart: 9 pt,Schriftart: 10 pt,Schriftart: 8 pt,Char,Text pozn. pod čarou1,Char Char Char1,Char Char1,Footnote Text Char1,Footnote Text Char1 Char1 Char,Footnote Text Char,Char1,Text poznámky pod čiarou 007,fn"/>
    <w:basedOn w:val="Normln"/>
    <w:link w:val="TextpoznpodarouChar"/>
    <w:uiPriority w:val="99"/>
    <w:unhideWhenUsed/>
    <w:qFormat/>
    <w:rsid w:val="00395491"/>
    <w:rPr>
      <w:sz w:val="20"/>
      <w:szCs w:val="20"/>
      <w:lang w:val="x-none" w:eastAsia="x-none"/>
    </w:rPr>
  </w:style>
  <w:style w:type="character" w:customStyle="1" w:styleId="TextpoznpodarouChar">
    <w:name w:val="Text pozn. pod čarou Char"/>
    <w:aliases w:val="Poznámka pod čarou Char,Schriftart: 9 pt Char,Schriftart: 10 pt Char,Schriftart: 8 pt Char,Char Char,Text pozn. pod čarou1 Char,Char Char Char1 Char,Char Char1 Char,Footnote Text Char1 Char,Footnote Text Char1 Char1 Char Char"/>
    <w:link w:val="Textpoznpodarou"/>
    <w:uiPriority w:val="99"/>
    <w:qFormat/>
    <w:rsid w:val="00395491"/>
    <w:rPr>
      <w:color w:val="000000"/>
    </w:rPr>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SUPE"/>
    <w:uiPriority w:val="99"/>
    <w:unhideWhenUsed/>
    <w:qFormat/>
    <w:rsid w:val="00395491"/>
    <w:rPr>
      <w:vertAlign w:val="superscript"/>
    </w:rPr>
  </w:style>
  <w:style w:type="paragraph" w:customStyle="1" w:styleId="Nzvyopatennadpis">
    <w:name w:val="Názvy opatření (nadpis)"/>
    <w:basedOn w:val="Normln"/>
    <w:link w:val="NzvyopatennadpisChar"/>
    <w:qFormat/>
    <w:rsid w:val="00E24C0E"/>
    <w:pPr>
      <w:spacing w:before="240" w:after="60"/>
    </w:pPr>
    <w:rPr>
      <w:b/>
    </w:rPr>
  </w:style>
  <w:style w:type="character" w:styleId="Siln">
    <w:name w:val="Strong"/>
    <w:uiPriority w:val="22"/>
    <w:qFormat/>
    <w:rsid w:val="00502B2A"/>
    <w:rPr>
      <w:b/>
      <w:bCs/>
    </w:rPr>
  </w:style>
  <w:style w:type="character" w:customStyle="1" w:styleId="NzvyopatennadpisChar">
    <w:name w:val="Názvy opatření (nadpis) Char"/>
    <w:link w:val="Nzvyopatennadpis"/>
    <w:qFormat/>
    <w:rsid w:val="00E24C0E"/>
    <w:rPr>
      <w:b/>
      <w:color w:val="000000"/>
      <w:sz w:val="22"/>
      <w:szCs w:val="24"/>
    </w:rPr>
  </w:style>
  <w:style w:type="character" w:customStyle="1" w:styleId="st">
    <w:name w:val="st"/>
    <w:rsid w:val="002E1B17"/>
  </w:style>
  <w:style w:type="character" w:customStyle="1" w:styleId="nezalamovatgen">
    <w:name w:val="nezalamovatgen"/>
    <w:rsid w:val="00476F10"/>
  </w:style>
  <w:style w:type="character" w:customStyle="1" w:styleId="Zvraznn1">
    <w:name w:val="Zvýraznění1"/>
    <w:uiPriority w:val="20"/>
    <w:qFormat/>
    <w:rsid w:val="002E613B"/>
    <w:rPr>
      <w:i/>
      <w:iCs/>
    </w:rPr>
  </w:style>
  <w:style w:type="paragraph" w:styleId="Prosttext">
    <w:name w:val="Plain Text"/>
    <w:basedOn w:val="Normln"/>
    <w:link w:val="ProsttextChar"/>
    <w:uiPriority w:val="99"/>
    <w:semiHidden/>
    <w:unhideWhenUsed/>
    <w:rsid w:val="000C7990"/>
    <w:pPr>
      <w:spacing w:after="0" w:line="240" w:lineRule="auto"/>
      <w:jc w:val="left"/>
    </w:pPr>
    <w:rPr>
      <w:rFonts w:ascii="Calibri" w:eastAsia="Calibri" w:hAnsi="Calibri"/>
      <w:color w:val="auto"/>
      <w:szCs w:val="21"/>
      <w:lang w:eastAsia="en-US"/>
    </w:rPr>
  </w:style>
  <w:style w:type="character" w:customStyle="1" w:styleId="ProsttextChar">
    <w:name w:val="Prostý text Char"/>
    <w:link w:val="Prosttext"/>
    <w:uiPriority w:val="99"/>
    <w:semiHidden/>
    <w:rsid w:val="000C7990"/>
    <w:rPr>
      <w:rFonts w:ascii="Calibri" w:eastAsia="Calibri" w:hAnsi="Calibri"/>
      <w:sz w:val="22"/>
      <w:szCs w:val="21"/>
      <w:lang w:eastAsia="en-US"/>
    </w:rPr>
  </w:style>
  <w:style w:type="paragraph" w:customStyle="1" w:styleId="OdstavecCOPS">
    <w:name w:val="Odstavec COPS"/>
    <w:basedOn w:val="Normln"/>
    <w:rsid w:val="001F3C0A"/>
    <w:pPr>
      <w:spacing w:before="80" w:after="160" w:line="240" w:lineRule="auto"/>
      <w:jc w:val="left"/>
    </w:pPr>
    <w:rPr>
      <w:bCs/>
      <w:color w:val="auto"/>
      <w:sz w:val="24"/>
    </w:rPr>
  </w:style>
  <w:style w:type="paragraph" w:customStyle="1" w:styleId="text">
    <w:name w:val="text"/>
    <w:basedOn w:val="Normln"/>
    <w:link w:val="textChar"/>
    <w:qFormat/>
    <w:rsid w:val="006833A8"/>
    <w:pPr>
      <w:spacing w:before="240" w:after="240" w:line="288" w:lineRule="auto"/>
    </w:pPr>
    <w:rPr>
      <w:rFonts w:ascii="Arial" w:eastAsia="Calibri" w:hAnsi="Arial"/>
      <w:sz w:val="18"/>
    </w:rPr>
  </w:style>
  <w:style w:type="character" w:customStyle="1" w:styleId="textChar">
    <w:name w:val="text Char"/>
    <w:link w:val="text"/>
    <w:rsid w:val="006833A8"/>
    <w:rPr>
      <w:rFonts w:ascii="Arial" w:eastAsia="Calibri" w:hAnsi="Arial"/>
      <w:color w:val="000000"/>
      <w:sz w:val="18"/>
      <w:szCs w:val="24"/>
      <w:lang w:eastAsia="cs-CZ"/>
    </w:rPr>
  </w:style>
  <w:style w:type="paragraph" w:customStyle="1" w:styleId="ZKDvousloupcov">
    <w:name w:val="ZK_Dvousloupcový"/>
    <w:basedOn w:val="Normln"/>
    <w:link w:val="ZKDvousloupcovChar"/>
    <w:rsid w:val="006D17E7"/>
    <w:pPr>
      <w:spacing w:line="240" w:lineRule="auto"/>
    </w:pPr>
    <w:rPr>
      <w:rFonts w:ascii="Calibri" w:hAnsi="Calibri"/>
      <w:color w:val="auto"/>
      <w:kern w:val="20"/>
      <w:sz w:val="20"/>
    </w:rPr>
  </w:style>
  <w:style w:type="character" w:customStyle="1" w:styleId="ZKDvousloupcovChar">
    <w:name w:val="ZK_Dvousloupcový Char"/>
    <w:link w:val="ZKDvousloupcov"/>
    <w:rsid w:val="006D17E7"/>
    <w:rPr>
      <w:rFonts w:ascii="Calibri" w:hAnsi="Calibri"/>
      <w:kern w:val="20"/>
      <w:szCs w:val="24"/>
    </w:rPr>
  </w:style>
  <w:style w:type="character" w:customStyle="1" w:styleId="OdstavecseseznamemChar">
    <w:name w:val="Odstavec se seznamem Char"/>
    <w:aliases w:val="Odstavec_muj Char,Nad Char,List Paragraph (Czech Tourism) Char,List Paragraph Char,Odstavec cíl se seznamem Char,Odstavec se seznamem5 Char,_Odstavec se seznamem Char,Seznam - odrážky Char,Conclusion de partie Char,Odrážky Char"/>
    <w:link w:val="Odstavecseseznamem"/>
    <w:uiPriority w:val="35"/>
    <w:qFormat/>
    <w:locked/>
    <w:rsid w:val="00D01EA7"/>
    <w:rPr>
      <w:color w:val="000000"/>
      <w:sz w:val="22"/>
      <w:szCs w:val="24"/>
    </w:rPr>
  </w:style>
  <w:style w:type="paragraph" w:styleId="Textvysvtlivek">
    <w:name w:val="endnote text"/>
    <w:basedOn w:val="Normln"/>
    <w:link w:val="TextvysvtlivekChar"/>
    <w:unhideWhenUsed/>
    <w:qFormat/>
    <w:rsid w:val="003C2B2A"/>
    <w:pPr>
      <w:spacing w:after="0" w:line="240" w:lineRule="auto"/>
    </w:pPr>
    <w:rPr>
      <w:rFonts w:eastAsia="Calibri"/>
      <w:color w:val="0D0D0D"/>
      <w:sz w:val="20"/>
      <w:szCs w:val="20"/>
      <w:lang w:eastAsia="en-US"/>
    </w:rPr>
  </w:style>
  <w:style w:type="character" w:customStyle="1" w:styleId="TextvysvtlivekChar">
    <w:name w:val="Text vysvětlivek Char"/>
    <w:basedOn w:val="Standardnpsmoodstavce"/>
    <w:link w:val="Textvysvtlivek"/>
    <w:qFormat/>
    <w:rsid w:val="003C2B2A"/>
    <w:rPr>
      <w:rFonts w:eastAsia="Calibri"/>
      <w:color w:val="0D0D0D"/>
      <w:lang w:eastAsia="en-US"/>
    </w:rPr>
  </w:style>
  <w:style w:type="paragraph" w:customStyle="1" w:styleId="Zkladntext21">
    <w:name w:val="Základní text 21"/>
    <w:basedOn w:val="Normln"/>
    <w:rsid w:val="008E683E"/>
    <w:pPr>
      <w:overflowPunct w:val="0"/>
      <w:autoSpaceDE w:val="0"/>
      <w:autoSpaceDN w:val="0"/>
      <w:spacing w:after="0" w:line="360" w:lineRule="auto"/>
      <w:ind w:firstLine="708"/>
    </w:pPr>
    <w:rPr>
      <w:rFonts w:ascii="Arial" w:eastAsia="Calibri" w:hAnsi="Arial" w:cs="Arial"/>
      <w:color w:val="auto"/>
      <w:sz w:val="24"/>
    </w:rPr>
  </w:style>
  <w:style w:type="paragraph" w:customStyle="1" w:styleId="Default">
    <w:name w:val="Default"/>
    <w:rsid w:val="008E683E"/>
    <w:pPr>
      <w:autoSpaceDE w:val="0"/>
      <w:autoSpaceDN w:val="0"/>
      <w:adjustRightInd w:val="0"/>
    </w:pPr>
    <w:rPr>
      <w:rFonts w:ascii="Verdana" w:hAnsi="Verdana" w:cs="Verdana"/>
      <w:color w:val="000000"/>
      <w:sz w:val="24"/>
      <w:szCs w:val="24"/>
    </w:rPr>
  </w:style>
  <w:style w:type="character" w:customStyle="1" w:styleId="e24kjd">
    <w:name w:val="e24kjd"/>
    <w:rsid w:val="008D7AD0"/>
  </w:style>
  <w:style w:type="paragraph" w:styleId="Normlnweb">
    <w:name w:val="Normal (Web)"/>
    <w:basedOn w:val="Normln"/>
    <w:uiPriority w:val="99"/>
    <w:unhideWhenUsed/>
    <w:rsid w:val="00DD03E5"/>
    <w:pPr>
      <w:spacing w:before="100" w:beforeAutospacing="1" w:after="100" w:afterAutospacing="1" w:line="240" w:lineRule="auto"/>
      <w:jc w:val="left"/>
    </w:pPr>
    <w:rPr>
      <w:color w:val="auto"/>
      <w:sz w:val="24"/>
    </w:rPr>
  </w:style>
  <w:style w:type="paragraph" w:styleId="Zkladntext">
    <w:name w:val="Body Text"/>
    <w:basedOn w:val="Normln"/>
    <w:link w:val="ZkladntextChar"/>
    <w:uiPriority w:val="1"/>
    <w:qFormat/>
    <w:rsid w:val="00CD7C34"/>
    <w:pPr>
      <w:widowControl w:val="0"/>
      <w:autoSpaceDE w:val="0"/>
      <w:autoSpaceDN w:val="0"/>
      <w:spacing w:after="0" w:line="240" w:lineRule="auto"/>
      <w:jc w:val="left"/>
    </w:pPr>
    <w:rPr>
      <w:color w:val="auto"/>
      <w:sz w:val="24"/>
      <w:lang w:val="sk-SK" w:eastAsia="sk-SK" w:bidi="sk-SK"/>
    </w:rPr>
  </w:style>
  <w:style w:type="character" w:customStyle="1" w:styleId="ZkladntextChar">
    <w:name w:val="Základní text Char"/>
    <w:basedOn w:val="Standardnpsmoodstavce"/>
    <w:link w:val="Zkladntext"/>
    <w:uiPriority w:val="1"/>
    <w:rsid w:val="00CD7C34"/>
    <w:rPr>
      <w:sz w:val="24"/>
      <w:szCs w:val="24"/>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2558">
      <w:bodyDiv w:val="1"/>
      <w:marLeft w:val="0"/>
      <w:marRight w:val="0"/>
      <w:marTop w:val="0"/>
      <w:marBottom w:val="0"/>
      <w:divBdr>
        <w:top w:val="none" w:sz="0" w:space="0" w:color="auto"/>
        <w:left w:val="none" w:sz="0" w:space="0" w:color="auto"/>
        <w:bottom w:val="none" w:sz="0" w:space="0" w:color="auto"/>
        <w:right w:val="none" w:sz="0" w:space="0" w:color="auto"/>
      </w:divBdr>
      <w:divsChild>
        <w:div w:id="3871414">
          <w:marLeft w:val="0"/>
          <w:marRight w:val="0"/>
          <w:marTop w:val="0"/>
          <w:marBottom w:val="0"/>
          <w:divBdr>
            <w:top w:val="none" w:sz="0" w:space="0" w:color="auto"/>
            <w:left w:val="none" w:sz="0" w:space="0" w:color="auto"/>
            <w:bottom w:val="none" w:sz="0" w:space="0" w:color="auto"/>
            <w:right w:val="none" w:sz="0" w:space="0" w:color="auto"/>
          </w:divBdr>
        </w:div>
        <w:div w:id="10492455">
          <w:marLeft w:val="0"/>
          <w:marRight w:val="0"/>
          <w:marTop w:val="0"/>
          <w:marBottom w:val="0"/>
          <w:divBdr>
            <w:top w:val="none" w:sz="0" w:space="0" w:color="auto"/>
            <w:left w:val="none" w:sz="0" w:space="0" w:color="auto"/>
            <w:bottom w:val="none" w:sz="0" w:space="0" w:color="auto"/>
            <w:right w:val="none" w:sz="0" w:space="0" w:color="auto"/>
          </w:divBdr>
        </w:div>
        <w:div w:id="12612613">
          <w:marLeft w:val="0"/>
          <w:marRight w:val="0"/>
          <w:marTop w:val="0"/>
          <w:marBottom w:val="0"/>
          <w:divBdr>
            <w:top w:val="none" w:sz="0" w:space="0" w:color="auto"/>
            <w:left w:val="none" w:sz="0" w:space="0" w:color="auto"/>
            <w:bottom w:val="none" w:sz="0" w:space="0" w:color="auto"/>
            <w:right w:val="none" w:sz="0" w:space="0" w:color="auto"/>
          </w:divBdr>
        </w:div>
        <w:div w:id="14814382">
          <w:marLeft w:val="0"/>
          <w:marRight w:val="0"/>
          <w:marTop w:val="0"/>
          <w:marBottom w:val="0"/>
          <w:divBdr>
            <w:top w:val="none" w:sz="0" w:space="0" w:color="auto"/>
            <w:left w:val="none" w:sz="0" w:space="0" w:color="auto"/>
            <w:bottom w:val="none" w:sz="0" w:space="0" w:color="auto"/>
            <w:right w:val="none" w:sz="0" w:space="0" w:color="auto"/>
          </w:divBdr>
        </w:div>
        <w:div w:id="36006814">
          <w:marLeft w:val="0"/>
          <w:marRight w:val="0"/>
          <w:marTop w:val="0"/>
          <w:marBottom w:val="0"/>
          <w:divBdr>
            <w:top w:val="none" w:sz="0" w:space="0" w:color="auto"/>
            <w:left w:val="none" w:sz="0" w:space="0" w:color="auto"/>
            <w:bottom w:val="none" w:sz="0" w:space="0" w:color="auto"/>
            <w:right w:val="none" w:sz="0" w:space="0" w:color="auto"/>
          </w:divBdr>
        </w:div>
        <w:div w:id="38281938">
          <w:marLeft w:val="0"/>
          <w:marRight w:val="0"/>
          <w:marTop w:val="0"/>
          <w:marBottom w:val="0"/>
          <w:divBdr>
            <w:top w:val="none" w:sz="0" w:space="0" w:color="auto"/>
            <w:left w:val="none" w:sz="0" w:space="0" w:color="auto"/>
            <w:bottom w:val="none" w:sz="0" w:space="0" w:color="auto"/>
            <w:right w:val="none" w:sz="0" w:space="0" w:color="auto"/>
          </w:divBdr>
        </w:div>
        <w:div w:id="49311407">
          <w:marLeft w:val="0"/>
          <w:marRight w:val="0"/>
          <w:marTop w:val="0"/>
          <w:marBottom w:val="0"/>
          <w:divBdr>
            <w:top w:val="none" w:sz="0" w:space="0" w:color="auto"/>
            <w:left w:val="none" w:sz="0" w:space="0" w:color="auto"/>
            <w:bottom w:val="none" w:sz="0" w:space="0" w:color="auto"/>
            <w:right w:val="none" w:sz="0" w:space="0" w:color="auto"/>
          </w:divBdr>
        </w:div>
        <w:div w:id="53895749">
          <w:marLeft w:val="0"/>
          <w:marRight w:val="0"/>
          <w:marTop w:val="0"/>
          <w:marBottom w:val="0"/>
          <w:divBdr>
            <w:top w:val="none" w:sz="0" w:space="0" w:color="auto"/>
            <w:left w:val="none" w:sz="0" w:space="0" w:color="auto"/>
            <w:bottom w:val="none" w:sz="0" w:space="0" w:color="auto"/>
            <w:right w:val="none" w:sz="0" w:space="0" w:color="auto"/>
          </w:divBdr>
        </w:div>
        <w:div w:id="74329017">
          <w:marLeft w:val="0"/>
          <w:marRight w:val="0"/>
          <w:marTop w:val="0"/>
          <w:marBottom w:val="0"/>
          <w:divBdr>
            <w:top w:val="none" w:sz="0" w:space="0" w:color="auto"/>
            <w:left w:val="none" w:sz="0" w:space="0" w:color="auto"/>
            <w:bottom w:val="none" w:sz="0" w:space="0" w:color="auto"/>
            <w:right w:val="none" w:sz="0" w:space="0" w:color="auto"/>
          </w:divBdr>
        </w:div>
        <w:div w:id="78794394">
          <w:marLeft w:val="0"/>
          <w:marRight w:val="0"/>
          <w:marTop w:val="0"/>
          <w:marBottom w:val="0"/>
          <w:divBdr>
            <w:top w:val="none" w:sz="0" w:space="0" w:color="auto"/>
            <w:left w:val="none" w:sz="0" w:space="0" w:color="auto"/>
            <w:bottom w:val="none" w:sz="0" w:space="0" w:color="auto"/>
            <w:right w:val="none" w:sz="0" w:space="0" w:color="auto"/>
          </w:divBdr>
        </w:div>
        <w:div w:id="79715449">
          <w:marLeft w:val="0"/>
          <w:marRight w:val="0"/>
          <w:marTop w:val="0"/>
          <w:marBottom w:val="0"/>
          <w:divBdr>
            <w:top w:val="none" w:sz="0" w:space="0" w:color="auto"/>
            <w:left w:val="none" w:sz="0" w:space="0" w:color="auto"/>
            <w:bottom w:val="none" w:sz="0" w:space="0" w:color="auto"/>
            <w:right w:val="none" w:sz="0" w:space="0" w:color="auto"/>
          </w:divBdr>
        </w:div>
        <w:div w:id="82772545">
          <w:marLeft w:val="0"/>
          <w:marRight w:val="0"/>
          <w:marTop w:val="0"/>
          <w:marBottom w:val="0"/>
          <w:divBdr>
            <w:top w:val="none" w:sz="0" w:space="0" w:color="auto"/>
            <w:left w:val="none" w:sz="0" w:space="0" w:color="auto"/>
            <w:bottom w:val="none" w:sz="0" w:space="0" w:color="auto"/>
            <w:right w:val="none" w:sz="0" w:space="0" w:color="auto"/>
          </w:divBdr>
        </w:div>
        <w:div w:id="89468022">
          <w:marLeft w:val="0"/>
          <w:marRight w:val="0"/>
          <w:marTop w:val="0"/>
          <w:marBottom w:val="0"/>
          <w:divBdr>
            <w:top w:val="none" w:sz="0" w:space="0" w:color="auto"/>
            <w:left w:val="none" w:sz="0" w:space="0" w:color="auto"/>
            <w:bottom w:val="none" w:sz="0" w:space="0" w:color="auto"/>
            <w:right w:val="none" w:sz="0" w:space="0" w:color="auto"/>
          </w:divBdr>
        </w:div>
        <w:div w:id="100885022">
          <w:marLeft w:val="0"/>
          <w:marRight w:val="0"/>
          <w:marTop w:val="0"/>
          <w:marBottom w:val="0"/>
          <w:divBdr>
            <w:top w:val="none" w:sz="0" w:space="0" w:color="auto"/>
            <w:left w:val="none" w:sz="0" w:space="0" w:color="auto"/>
            <w:bottom w:val="none" w:sz="0" w:space="0" w:color="auto"/>
            <w:right w:val="none" w:sz="0" w:space="0" w:color="auto"/>
          </w:divBdr>
        </w:div>
        <w:div w:id="104472240">
          <w:marLeft w:val="0"/>
          <w:marRight w:val="0"/>
          <w:marTop w:val="0"/>
          <w:marBottom w:val="0"/>
          <w:divBdr>
            <w:top w:val="none" w:sz="0" w:space="0" w:color="auto"/>
            <w:left w:val="none" w:sz="0" w:space="0" w:color="auto"/>
            <w:bottom w:val="none" w:sz="0" w:space="0" w:color="auto"/>
            <w:right w:val="none" w:sz="0" w:space="0" w:color="auto"/>
          </w:divBdr>
        </w:div>
        <w:div w:id="111289411">
          <w:marLeft w:val="0"/>
          <w:marRight w:val="0"/>
          <w:marTop w:val="0"/>
          <w:marBottom w:val="0"/>
          <w:divBdr>
            <w:top w:val="none" w:sz="0" w:space="0" w:color="auto"/>
            <w:left w:val="none" w:sz="0" w:space="0" w:color="auto"/>
            <w:bottom w:val="none" w:sz="0" w:space="0" w:color="auto"/>
            <w:right w:val="none" w:sz="0" w:space="0" w:color="auto"/>
          </w:divBdr>
        </w:div>
        <w:div w:id="125778814">
          <w:marLeft w:val="0"/>
          <w:marRight w:val="0"/>
          <w:marTop w:val="0"/>
          <w:marBottom w:val="0"/>
          <w:divBdr>
            <w:top w:val="none" w:sz="0" w:space="0" w:color="auto"/>
            <w:left w:val="none" w:sz="0" w:space="0" w:color="auto"/>
            <w:bottom w:val="none" w:sz="0" w:space="0" w:color="auto"/>
            <w:right w:val="none" w:sz="0" w:space="0" w:color="auto"/>
          </w:divBdr>
        </w:div>
        <w:div w:id="129638904">
          <w:marLeft w:val="0"/>
          <w:marRight w:val="0"/>
          <w:marTop w:val="0"/>
          <w:marBottom w:val="0"/>
          <w:divBdr>
            <w:top w:val="none" w:sz="0" w:space="0" w:color="auto"/>
            <w:left w:val="none" w:sz="0" w:space="0" w:color="auto"/>
            <w:bottom w:val="none" w:sz="0" w:space="0" w:color="auto"/>
            <w:right w:val="none" w:sz="0" w:space="0" w:color="auto"/>
          </w:divBdr>
        </w:div>
        <w:div w:id="137916708">
          <w:marLeft w:val="0"/>
          <w:marRight w:val="0"/>
          <w:marTop w:val="0"/>
          <w:marBottom w:val="0"/>
          <w:divBdr>
            <w:top w:val="none" w:sz="0" w:space="0" w:color="auto"/>
            <w:left w:val="none" w:sz="0" w:space="0" w:color="auto"/>
            <w:bottom w:val="none" w:sz="0" w:space="0" w:color="auto"/>
            <w:right w:val="none" w:sz="0" w:space="0" w:color="auto"/>
          </w:divBdr>
        </w:div>
        <w:div w:id="155075523">
          <w:marLeft w:val="0"/>
          <w:marRight w:val="0"/>
          <w:marTop w:val="0"/>
          <w:marBottom w:val="0"/>
          <w:divBdr>
            <w:top w:val="none" w:sz="0" w:space="0" w:color="auto"/>
            <w:left w:val="none" w:sz="0" w:space="0" w:color="auto"/>
            <w:bottom w:val="none" w:sz="0" w:space="0" w:color="auto"/>
            <w:right w:val="none" w:sz="0" w:space="0" w:color="auto"/>
          </w:divBdr>
        </w:div>
        <w:div w:id="155417522">
          <w:marLeft w:val="0"/>
          <w:marRight w:val="0"/>
          <w:marTop w:val="0"/>
          <w:marBottom w:val="0"/>
          <w:divBdr>
            <w:top w:val="none" w:sz="0" w:space="0" w:color="auto"/>
            <w:left w:val="none" w:sz="0" w:space="0" w:color="auto"/>
            <w:bottom w:val="none" w:sz="0" w:space="0" w:color="auto"/>
            <w:right w:val="none" w:sz="0" w:space="0" w:color="auto"/>
          </w:divBdr>
        </w:div>
        <w:div w:id="156843346">
          <w:marLeft w:val="0"/>
          <w:marRight w:val="0"/>
          <w:marTop w:val="0"/>
          <w:marBottom w:val="0"/>
          <w:divBdr>
            <w:top w:val="none" w:sz="0" w:space="0" w:color="auto"/>
            <w:left w:val="none" w:sz="0" w:space="0" w:color="auto"/>
            <w:bottom w:val="none" w:sz="0" w:space="0" w:color="auto"/>
            <w:right w:val="none" w:sz="0" w:space="0" w:color="auto"/>
          </w:divBdr>
        </w:div>
        <w:div w:id="168298746">
          <w:marLeft w:val="0"/>
          <w:marRight w:val="0"/>
          <w:marTop w:val="0"/>
          <w:marBottom w:val="0"/>
          <w:divBdr>
            <w:top w:val="none" w:sz="0" w:space="0" w:color="auto"/>
            <w:left w:val="none" w:sz="0" w:space="0" w:color="auto"/>
            <w:bottom w:val="none" w:sz="0" w:space="0" w:color="auto"/>
            <w:right w:val="none" w:sz="0" w:space="0" w:color="auto"/>
          </w:divBdr>
        </w:div>
        <w:div w:id="173957886">
          <w:marLeft w:val="0"/>
          <w:marRight w:val="0"/>
          <w:marTop w:val="0"/>
          <w:marBottom w:val="0"/>
          <w:divBdr>
            <w:top w:val="none" w:sz="0" w:space="0" w:color="auto"/>
            <w:left w:val="none" w:sz="0" w:space="0" w:color="auto"/>
            <w:bottom w:val="none" w:sz="0" w:space="0" w:color="auto"/>
            <w:right w:val="none" w:sz="0" w:space="0" w:color="auto"/>
          </w:divBdr>
        </w:div>
        <w:div w:id="215818965">
          <w:marLeft w:val="0"/>
          <w:marRight w:val="0"/>
          <w:marTop w:val="0"/>
          <w:marBottom w:val="0"/>
          <w:divBdr>
            <w:top w:val="none" w:sz="0" w:space="0" w:color="auto"/>
            <w:left w:val="none" w:sz="0" w:space="0" w:color="auto"/>
            <w:bottom w:val="none" w:sz="0" w:space="0" w:color="auto"/>
            <w:right w:val="none" w:sz="0" w:space="0" w:color="auto"/>
          </w:divBdr>
        </w:div>
        <w:div w:id="223831985">
          <w:marLeft w:val="0"/>
          <w:marRight w:val="0"/>
          <w:marTop w:val="0"/>
          <w:marBottom w:val="0"/>
          <w:divBdr>
            <w:top w:val="none" w:sz="0" w:space="0" w:color="auto"/>
            <w:left w:val="none" w:sz="0" w:space="0" w:color="auto"/>
            <w:bottom w:val="none" w:sz="0" w:space="0" w:color="auto"/>
            <w:right w:val="none" w:sz="0" w:space="0" w:color="auto"/>
          </w:divBdr>
        </w:div>
        <w:div w:id="230584695">
          <w:marLeft w:val="0"/>
          <w:marRight w:val="0"/>
          <w:marTop w:val="0"/>
          <w:marBottom w:val="0"/>
          <w:divBdr>
            <w:top w:val="none" w:sz="0" w:space="0" w:color="auto"/>
            <w:left w:val="none" w:sz="0" w:space="0" w:color="auto"/>
            <w:bottom w:val="none" w:sz="0" w:space="0" w:color="auto"/>
            <w:right w:val="none" w:sz="0" w:space="0" w:color="auto"/>
          </w:divBdr>
        </w:div>
        <w:div w:id="233659725">
          <w:marLeft w:val="0"/>
          <w:marRight w:val="0"/>
          <w:marTop w:val="0"/>
          <w:marBottom w:val="0"/>
          <w:divBdr>
            <w:top w:val="none" w:sz="0" w:space="0" w:color="auto"/>
            <w:left w:val="none" w:sz="0" w:space="0" w:color="auto"/>
            <w:bottom w:val="none" w:sz="0" w:space="0" w:color="auto"/>
            <w:right w:val="none" w:sz="0" w:space="0" w:color="auto"/>
          </w:divBdr>
        </w:div>
        <w:div w:id="236718753">
          <w:marLeft w:val="0"/>
          <w:marRight w:val="0"/>
          <w:marTop w:val="0"/>
          <w:marBottom w:val="0"/>
          <w:divBdr>
            <w:top w:val="none" w:sz="0" w:space="0" w:color="auto"/>
            <w:left w:val="none" w:sz="0" w:space="0" w:color="auto"/>
            <w:bottom w:val="none" w:sz="0" w:space="0" w:color="auto"/>
            <w:right w:val="none" w:sz="0" w:space="0" w:color="auto"/>
          </w:divBdr>
        </w:div>
        <w:div w:id="246304672">
          <w:marLeft w:val="0"/>
          <w:marRight w:val="0"/>
          <w:marTop w:val="0"/>
          <w:marBottom w:val="0"/>
          <w:divBdr>
            <w:top w:val="none" w:sz="0" w:space="0" w:color="auto"/>
            <w:left w:val="none" w:sz="0" w:space="0" w:color="auto"/>
            <w:bottom w:val="none" w:sz="0" w:space="0" w:color="auto"/>
            <w:right w:val="none" w:sz="0" w:space="0" w:color="auto"/>
          </w:divBdr>
        </w:div>
        <w:div w:id="251624617">
          <w:marLeft w:val="0"/>
          <w:marRight w:val="0"/>
          <w:marTop w:val="0"/>
          <w:marBottom w:val="0"/>
          <w:divBdr>
            <w:top w:val="none" w:sz="0" w:space="0" w:color="auto"/>
            <w:left w:val="none" w:sz="0" w:space="0" w:color="auto"/>
            <w:bottom w:val="none" w:sz="0" w:space="0" w:color="auto"/>
            <w:right w:val="none" w:sz="0" w:space="0" w:color="auto"/>
          </w:divBdr>
        </w:div>
        <w:div w:id="269823753">
          <w:marLeft w:val="0"/>
          <w:marRight w:val="0"/>
          <w:marTop w:val="0"/>
          <w:marBottom w:val="0"/>
          <w:divBdr>
            <w:top w:val="none" w:sz="0" w:space="0" w:color="auto"/>
            <w:left w:val="none" w:sz="0" w:space="0" w:color="auto"/>
            <w:bottom w:val="none" w:sz="0" w:space="0" w:color="auto"/>
            <w:right w:val="none" w:sz="0" w:space="0" w:color="auto"/>
          </w:divBdr>
        </w:div>
        <w:div w:id="272368412">
          <w:marLeft w:val="0"/>
          <w:marRight w:val="0"/>
          <w:marTop w:val="0"/>
          <w:marBottom w:val="0"/>
          <w:divBdr>
            <w:top w:val="none" w:sz="0" w:space="0" w:color="auto"/>
            <w:left w:val="none" w:sz="0" w:space="0" w:color="auto"/>
            <w:bottom w:val="none" w:sz="0" w:space="0" w:color="auto"/>
            <w:right w:val="none" w:sz="0" w:space="0" w:color="auto"/>
          </w:divBdr>
        </w:div>
        <w:div w:id="273100099">
          <w:marLeft w:val="0"/>
          <w:marRight w:val="0"/>
          <w:marTop w:val="0"/>
          <w:marBottom w:val="0"/>
          <w:divBdr>
            <w:top w:val="none" w:sz="0" w:space="0" w:color="auto"/>
            <w:left w:val="none" w:sz="0" w:space="0" w:color="auto"/>
            <w:bottom w:val="none" w:sz="0" w:space="0" w:color="auto"/>
            <w:right w:val="none" w:sz="0" w:space="0" w:color="auto"/>
          </w:divBdr>
        </w:div>
        <w:div w:id="293489431">
          <w:marLeft w:val="0"/>
          <w:marRight w:val="0"/>
          <w:marTop w:val="0"/>
          <w:marBottom w:val="0"/>
          <w:divBdr>
            <w:top w:val="none" w:sz="0" w:space="0" w:color="auto"/>
            <w:left w:val="none" w:sz="0" w:space="0" w:color="auto"/>
            <w:bottom w:val="none" w:sz="0" w:space="0" w:color="auto"/>
            <w:right w:val="none" w:sz="0" w:space="0" w:color="auto"/>
          </w:divBdr>
        </w:div>
        <w:div w:id="302543083">
          <w:marLeft w:val="0"/>
          <w:marRight w:val="0"/>
          <w:marTop w:val="0"/>
          <w:marBottom w:val="0"/>
          <w:divBdr>
            <w:top w:val="none" w:sz="0" w:space="0" w:color="auto"/>
            <w:left w:val="none" w:sz="0" w:space="0" w:color="auto"/>
            <w:bottom w:val="none" w:sz="0" w:space="0" w:color="auto"/>
            <w:right w:val="none" w:sz="0" w:space="0" w:color="auto"/>
          </w:divBdr>
        </w:div>
        <w:div w:id="309482165">
          <w:marLeft w:val="0"/>
          <w:marRight w:val="0"/>
          <w:marTop w:val="0"/>
          <w:marBottom w:val="0"/>
          <w:divBdr>
            <w:top w:val="none" w:sz="0" w:space="0" w:color="auto"/>
            <w:left w:val="none" w:sz="0" w:space="0" w:color="auto"/>
            <w:bottom w:val="none" w:sz="0" w:space="0" w:color="auto"/>
            <w:right w:val="none" w:sz="0" w:space="0" w:color="auto"/>
          </w:divBdr>
        </w:div>
        <w:div w:id="338001814">
          <w:marLeft w:val="0"/>
          <w:marRight w:val="0"/>
          <w:marTop w:val="0"/>
          <w:marBottom w:val="0"/>
          <w:divBdr>
            <w:top w:val="none" w:sz="0" w:space="0" w:color="auto"/>
            <w:left w:val="none" w:sz="0" w:space="0" w:color="auto"/>
            <w:bottom w:val="none" w:sz="0" w:space="0" w:color="auto"/>
            <w:right w:val="none" w:sz="0" w:space="0" w:color="auto"/>
          </w:divBdr>
        </w:div>
        <w:div w:id="365060936">
          <w:marLeft w:val="0"/>
          <w:marRight w:val="0"/>
          <w:marTop w:val="0"/>
          <w:marBottom w:val="0"/>
          <w:divBdr>
            <w:top w:val="none" w:sz="0" w:space="0" w:color="auto"/>
            <w:left w:val="none" w:sz="0" w:space="0" w:color="auto"/>
            <w:bottom w:val="none" w:sz="0" w:space="0" w:color="auto"/>
            <w:right w:val="none" w:sz="0" w:space="0" w:color="auto"/>
          </w:divBdr>
        </w:div>
        <w:div w:id="381949657">
          <w:marLeft w:val="0"/>
          <w:marRight w:val="0"/>
          <w:marTop w:val="0"/>
          <w:marBottom w:val="0"/>
          <w:divBdr>
            <w:top w:val="none" w:sz="0" w:space="0" w:color="auto"/>
            <w:left w:val="none" w:sz="0" w:space="0" w:color="auto"/>
            <w:bottom w:val="none" w:sz="0" w:space="0" w:color="auto"/>
            <w:right w:val="none" w:sz="0" w:space="0" w:color="auto"/>
          </w:divBdr>
        </w:div>
        <w:div w:id="394086612">
          <w:marLeft w:val="0"/>
          <w:marRight w:val="0"/>
          <w:marTop w:val="0"/>
          <w:marBottom w:val="0"/>
          <w:divBdr>
            <w:top w:val="none" w:sz="0" w:space="0" w:color="auto"/>
            <w:left w:val="none" w:sz="0" w:space="0" w:color="auto"/>
            <w:bottom w:val="none" w:sz="0" w:space="0" w:color="auto"/>
            <w:right w:val="none" w:sz="0" w:space="0" w:color="auto"/>
          </w:divBdr>
        </w:div>
        <w:div w:id="422143950">
          <w:marLeft w:val="0"/>
          <w:marRight w:val="0"/>
          <w:marTop w:val="0"/>
          <w:marBottom w:val="0"/>
          <w:divBdr>
            <w:top w:val="none" w:sz="0" w:space="0" w:color="auto"/>
            <w:left w:val="none" w:sz="0" w:space="0" w:color="auto"/>
            <w:bottom w:val="none" w:sz="0" w:space="0" w:color="auto"/>
            <w:right w:val="none" w:sz="0" w:space="0" w:color="auto"/>
          </w:divBdr>
        </w:div>
        <w:div w:id="429399139">
          <w:marLeft w:val="0"/>
          <w:marRight w:val="0"/>
          <w:marTop w:val="0"/>
          <w:marBottom w:val="0"/>
          <w:divBdr>
            <w:top w:val="none" w:sz="0" w:space="0" w:color="auto"/>
            <w:left w:val="none" w:sz="0" w:space="0" w:color="auto"/>
            <w:bottom w:val="none" w:sz="0" w:space="0" w:color="auto"/>
            <w:right w:val="none" w:sz="0" w:space="0" w:color="auto"/>
          </w:divBdr>
        </w:div>
        <w:div w:id="441994837">
          <w:marLeft w:val="0"/>
          <w:marRight w:val="0"/>
          <w:marTop w:val="0"/>
          <w:marBottom w:val="0"/>
          <w:divBdr>
            <w:top w:val="none" w:sz="0" w:space="0" w:color="auto"/>
            <w:left w:val="none" w:sz="0" w:space="0" w:color="auto"/>
            <w:bottom w:val="none" w:sz="0" w:space="0" w:color="auto"/>
            <w:right w:val="none" w:sz="0" w:space="0" w:color="auto"/>
          </w:divBdr>
        </w:div>
        <w:div w:id="456290659">
          <w:marLeft w:val="0"/>
          <w:marRight w:val="0"/>
          <w:marTop w:val="0"/>
          <w:marBottom w:val="0"/>
          <w:divBdr>
            <w:top w:val="none" w:sz="0" w:space="0" w:color="auto"/>
            <w:left w:val="none" w:sz="0" w:space="0" w:color="auto"/>
            <w:bottom w:val="none" w:sz="0" w:space="0" w:color="auto"/>
            <w:right w:val="none" w:sz="0" w:space="0" w:color="auto"/>
          </w:divBdr>
        </w:div>
        <w:div w:id="456997314">
          <w:marLeft w:val="0"/>
          <w:marRight w:val="0"/>
          <w:marTop w:val="0"/>
          <w:marBottom w:val="0"/>
          <w:divBdr>
            <w:top w:val="none" w:sz="0" w:space="0" w:color="auto"/>
            <w:left w:val="none" w:sz="0" w:space="0" w:color="auto"/>
            <w:bottom w:val="none" w:sz="0" w:space="0" w:color="auto"/>
            <w:right w:val="none" w:sz="0" w:space="0" w:color="auto"/>
          </w:divBdr>
        </w:div>
        <w:div w:id="460460017">
          <w:marLeft w:val="0"/>
          <w:marRight w:val="0"/>
          <w:marTop w:val="0"/>
          <w:marBottom w:val="0"/>
          <w:divBdr>
            <w:top w:val="none" w:sz="0" w:space="0" w:color="auto"/>
            <w:left w:val="none" w:sz="0" w:space="0" w:color="auto"/>
            <w:bottom w:val="none" w:sz="0" w:space="0" w:color="auto"/>
            <w:right w:val="none" w:sz="0" w:space="0" w:color="auto"/>
          </w:divBdr>
        </w:div>
        <w:div w:id="474839532">
          <w:marLeft w:val="0"/>
          <w:marRight w:val="0"/>
          <w:marTop w:val="0"/>
          <w:marBottom w:val="0"/>
          <w:divBdr>
            <w:top w:val="none" w:sz="0" w:space="0" w:color="auto"/>
            <w:left w:val="none" w:sz="0" w:space="0" w:color="auto"/>
            <w:bottom w:val="none" w:sz="0" w:space="0" w:color="auto"/>
            <w:right w:val="none" w:sz="0" w:space="0" w:color="auto"/>
          </w:divBdr>
        </w:div>
        <w:div w:id="488786834">
          <w:marLeft w:val="0"/>
          <w:marRight w:val="0"/>
          <w:marTop w:val="0"/>
          <w:marBottom w:val="0"/>
          <w:divBdr>
            <w:top w:val="none" w:sz="0" w:space="0" w:color="auto"/>
            <w:left w:val="none" w:sz="0" w:space="0" w:color="auto"/>
            <w:bottom w:val="none" w:sz="0" w:space="0" w:color="auto"/>
            <w:right w:val="none" w:sz="0" w:space="0" w:color="auto"/>
          </w:divBdr>
        </w:div>
        <w:div w:id="491022537">
          <w:marLeft w:val="0"/>
          <w:marRight w:val="0"/>
          <w:marTop w:val="0"/>
          <w:marBottom w:val="0"/>
          <w:divBdr>
            <w:top w:val="none" w:sz="0" w:space="0" w:color="auto"/>
            <w:left w:val="none" w:sz="0" w:space="0" w:color="auto"/>
            <w:bottom w:val="none" w:sz="0" w:space="0" w:color="auto"/>
            <w:right w:val="none" w:sz="0" w:space="0" w:color="auto"/>
          </w:divBdr>
        </w:div>
        <w:div w:id="496771622">
          <w:marLeft w:val="0"/>
          <w:marRight w:val="0"/>
          <w:marTop w:val="0"/>
          <w:marBottom w:val="0"/>
          <w:divBdr>
            <w:top w:val="none" w:sz="0" w:space="0" w:color="auto"/>
            <w:left w:val="none" w:sz="0" w:space="0" w:color="auto"/>
            <w:bottom w:val="none" w:sz="0" w:space="0" w:color="auto"/>
            <w:right w:val="none" w:sz="0" w:space="0" w:color="auto"/>
          </w:divBdr>
        </w:div>
        <w:div w:id="513769088">
          <w:marLeft w:val="0"/>
          <w:marRight w:val="0"/>
          <w:marTop w:val="0"/>
          <w:marBottom w:val="0"/>
          <w:divBdr>
            <w:top w:val="none" w:sz="0" w:space="0" w:color="auto"/>
            <w:left w:val="none" w:sz="0" w:space="0" w:color="auto"/>
            <w:bottom w:val="none" w:sz="0" w:space="0" w:color="auto"/>
            <w:right w:val="none" w:sz="0" w:space="0" w:color="auto"/>
          </w:divBdr>
        </w:div>
        <w:div w:id="527565440">
          <w:marLeft w:val="0"/>
          <w:marRight w:val="0"/>
          <w:marTop w:val="0"/>
          <w:marBottom w:val="0"/>
          <w:divBdr>
            <w:top w:val="none" w:sz="0" w:space="0" w:color="auto"/>
            <w:left w:val="none" w:sz="0" w:space="0" w:color="auto"/>
            <w:bottom w:val="none" w:sz="0" w:space="0" w:color="auto"/>
            <w:right w:val="none" w:sz="0" w:space="0" w:color="auto"/>
          </w:divBdr>
        </w:div>
        <w:div w:id="540167058">
          <w:marLeft w:val="0"/>
          <w:marRight w:val="0"/>
          <w:marTop w:val="0"/>
          <w:marBottom w:val="0"/>
          <w:divBdr>
            <w:top w:val="none" w:sz="0" w:space="0" w:color="auto"/>
            <w:left w:val="none" w:sz="0" w:space="0" w:color="auto"/>
            <w:bottom w:val="none" w:sz="0" w:space="0" w:color="auto"/>
            <w:right w:val="none" w:sz="0" w:space="0" w:color="auto"/>
          </w:divBdr>
        </w:div>
        <w:div w:id="545870395">
          <w:marLeft w:val="0"/>
          <w:marRight w:val="0"/>
          <w:marTop w:val="0"/>
          <w:marBottom w:val="0"/>
          <w:divBdr>
            <w:top w:val="none" w:sz="0" w:space="0" w:color="auto"/>
            <w:left w:val="none" w:sz="0" w:space="0" w:color="auto"/>
            <w:bottom w:val="none" w:sz="0" w:space="0" w:color="auto"/>
            <w:right w:val="none" w:sz="0" w:space="0" w:color="auto"/>
          </w:divBdr>
        </w:div>
        <w:div w:id="550381659">
          <w:marLeft w:val="0"/>
          <w:marRight w:val="0"/>
          <w:marTop w:val="0"/>
          <w:marBottom w:val="0"/>
          <w:divBdr>
            <w:top w:val="none" w:sz="0" w:space="0" w:color="auto"/>
            <w:left w:val="none" w:sz="0" w:space="0" w:color="auto"/>
            <w:bottom w:val="none" w:sz="0" w:space="0" w:color="auto"/>
            <w:right w:val="none" w:sz="0" w:space="0" w:color="auto"/>
          </w:divBdr>
        </w:div>
        <w:div w:id="591284249">
          <w:marLeft w:val="0"/>
          <w:marRight w:val="0"/>
          <w:marTop w:val="0"/>
          <w:marBottom w:val="0"/>
          <w:divBdr>
            <w:top w:val="none" w:sz="0" w:space="0" w:color="auto"/>
            <w:left w:val="none" w:sz="0" w:space="0" w:color="auto"/>
            <w:bottom w:val="none" w:sz="0" w:space="0" w:color="auto"/>
            <w:right w:val="none" w:sz="0" w:space="0" w:color="auto"/>
          </w:divBdr>
        </w:div>
        <w:div w:id="627393189">
          <w:marLeft w:val="0"/>
          <w:marRight w:val="0"/>
          <w:marTop w:val="0"/>
          <w:marBottom w:val="0"/>
          <w:divBdr>
            <w:top w:val="none" w:sz="0" w:space="0" w:color="auto"/>
            <w:left w:val="none" w:sz="0" w:space="0" w:color="auto"/>
            <w:bottom w:val="none" w:sz="0" w:space="0" w:color="auto"/>
            <w:right w:val="none" w:sz="0" w:space="0" w:color="auto"/>
          </w:divBdr>
        </w:div>
        <w:div w:id="632177102">
          <w:marLeft w:val="0"/>
          <w:marRight w:val="0"/>
          <w:marTop w:val="0"/>
          <w:marBottom w:val="0"/>
          <w:divBdr>
            <w:top w:val="none" w:sz="0" w:space="0" w:color="auto"/>
            <w:left w:val="none" w:sz="0" w:space="0" w:color="auto"/>
            <w:bottom w:val="none" w:sz="0" w:space="0" w:color="auto"/>
            <w:right w:val="none" w:sz="0" w:space="0" w:color="auto"/>
          </w:divBdr>
        </w:div>
        <w:div w:id="639044786">
          <w:marLeft w:val="0"/>
          <w:marRight w:val="0"/>
          <w:marTop w:val="0"/>
          <w:marBottom w:val="0"/>
          <w:divBdr>
            <w:top w:val="none" w:sz="0" w:space="0" w:color="auto"/>
            <w:left w:val="none" w:sz="0" w:space="0" w:color="auto"/>
            <w:bottom w:val="none" w:sz="0" w:space="0" w:color="auto"/>
            <w:right w:val="none" w:sz="0" w:space="0" w:color="auto"/>
          </w:divBdr>
        </w:div>
        <w:div w:id="647829053">
          <w:marLeft w:val="0"/>
          <w:marRight w:val="0"/>
          <w:marTop w:val="0"/>
          <w:marBottom w:val="0"/>
          <w:divBdr>
            <w:top w:val="none" w:sz="0" w:space="0" w:color="auto"/>
            <w:left w:val="none" w:sz="0" w:space="0" w:color="auto"/>
            <w:bottom w:val="none" w:sz="0" w:space="0" w:color="auto"/>
            <w:right w:val="none" w:sz="0" w:space="0" w:color="auto"/>
          </w:divBdr>
        </w:div>
        <w:div w:id="653223110">
          <w:marLeft w:val="0"/>
          <w:marRight w:val="0"/>
          <w:marTop w:val="0"/>
          <w:marBottom w:val="0"/>
          <w:divBdr>
            <w:top w:val="none" w:sz="0" w:space="0" w:color="auto"/>
            <w:left w:val="none" w:sz="0" w:space="0" w:color="auto"/>
            <w:bottom w:val="none" w:sz="0" w:space="0" w:color="auto"/>
            <w:right w:val="none" w:sz="0" w:space="0" w:color="auto"/>
          </w:divBdr>
        </w:div>
        <w:div w:id="701247270">
          <w:marLeft w:val="0"/>
          <w:marRight w:val="0"/>
          <w:marTop w:val="0"/>
          <w:marBottom w:val="0"/>
          <w:divBdr>
            <w:top w:val="none" w:sz="0" w:space="0" w:color="auto"/>
            <w:left w:val="none" w:sz="0" w:space="0" w:color="auto"/>
            <w:bottom w:val="none" w:sz="0" w:space="0" w:color="auto"/>
            <w:right w:val="none" w:sz="0" w:space="0" w:color="auto"/>
          </w:divBdr>
        </w:div>
        <w:div w:id="704211789">
          <w:marLeft w:val="0"/>
          <w:marRight w:val="0"/>
          <w:marTop w:val="0"/>
          <w:marBottom w:val="0"/>
          <w:divBdr>
            <w:top w:val="none" w:sz="0" w:space="0" w:color="auto"/>
            <w:left w:val="none" w:sz="0" w:space="0" w:color="auto"/>
            <w:bottom w:val="none" w:sz="0" w:space="0" w:color="auto"/>
            <w:right w:val="none" w:sz="0" w:space="0" w:color="auto"/>
          </w:divBdr>
        </w:div>
        <w:div w:id="709301149">
          <w:marLeft w:val="0"/>
          <w:marRight w:val="0"/>
          <w:marTop w:val="0"/>
          <w:marBottom w:val="0"/>
          <w:divBdr>
            <w:top w:val="none" w:sz="0" w:space="0" w:color="auto"/>
            <w:left w:val="none" w:sz="0" w:space="0" w:color="auto"/>
            <w:bottom w:val="none" w:sz="0" w:space="0" w:color="auto"/>
            <w:right w:val="none" w:sz="0" w:space="0" w:color="auto"/>
          </w:divBdr>
        </w:div>
        <w:div w:id="716974388">
          <w:marLeft w:val="0"/>
          <w:marRight w:val="0"/>
          <w:marTop w:val="0"/>
          <w:marBottom w:val="0"/>
          <w:divBdr>
            <w:top w:val="none" w:sz="0" w:space="0" w:color="auto"/>
            <w:left w:val="none" w:sz="0" w:space="0" w:color="auto"/>
            <w:bottom w:val="none" w:sz="0" w:space="0" w:color="auto"/>
            <w:right w:val="none" w:sz="0" w:space="0" w:color="auto"/>
          </w:divBdr>
        </w:div>
        <w:div w:id="719014813">
          <w:marLeft w:val="0"/>
          <w:marRight w:val="0"/>
          <w:marTop w:val="0"/>
          <w:marBottom w:val="0"/>
          <w:divBdr>
            <w:top w:val="none" w:sz="0" w:space="0" w:color="auto"/>
            <w:left w:val="none" w:sz="0" w:space="0" w:color="auto"/>
            <w:bottom w:val="none" w:sz="0" w:space="0" w:color="auto"/>
            <w:right w:val="none" w:sz="0" w:space="0" w:color="auto"/>
          </w:divBdr>
        </w:div>
        <w:div w:id="739985912">
          <w:marLeft w:val="0"/>
          <w:marRight w:val="0"/>
          <w:marTop w:val="0"/>
          <w:marBottom w:val="0"/>
          <w:divBdr>
            <w:top w:val="none" w:sz="0" w:space="0" w:color="auto"/>
            <w:left w:val="none" w:sz="0" w:space="0" w:color="auto"/>
            <w:bottom w:val="none" w:sz="0" w:space="0" w:color="auto"/>
            <w:right w:val="none" w:sz="0" w:space="0" w:color="auto"/>
          </w:divBdr>
        </w:div>
        <w:div w:id="750851809">
          <w:marLeft w:val="0"/>
          <w:marRight w:val="0"/>
          <w:marTop w:val="0"/>
          <w:marBottom w:val="0"/>
          <w:divBdr>
            <w:top w:val="none" w:sz="0" w:space="0" w:color="auto"/>
            <w:left w:val="none" w:sz="0" w:space="0" w:color="auto"/>
            <w:bottom w:val="none" w:sz="0" w:space="0" w:color="auto"/>
            <w:right w:val="none" w:sz="0" w:space="0" w:color="auto"/>
          </w:divBdr>
        </w:div>
        <w:div w:id="762381203">
          <w:marLeft w:val="0"/>
          <w:marRight w:val="0"/>
          <w:marTop w:val="0"/>
          <w:marBottom w:val="0"/>
          <w:divBdr>
            <w:top w:val="none" w:sz="0" w:space="0" w:color="auto"/>
            <w:left w:val="none" w:sz="0" w:space="0" w:color="auto"/>
            <w:bottom w:val="none" w:sz="0" w:space="0" w:color="auto"/>
            <w:right w:val="none" w:sz="0" w:space="0" w:color="auto"/>
          </w:divBdr>
        </w:div>
        <w:div w:id="764808200">
          <w:marLeft w:val="0"/>
          <w:marRight w:val="0"/>
          <w:marTop w:val="0"/>
          <w:marBottom w:val="0"/>
          <w:divBdr>
            <w:top w:val="none" w:sz="0" w:space="0" w:color="auto"/>
            <w:left w:val="none" w:sz="0" w:space="0" w:color="auto"/>
            <w:bottom w:val="none" w:sz="0" w:space="0" w:color="auto"/>
            <w:right w:val="none" w:sz="0" w:space="0" w:color="auto"/>
          </w:divBdr>
        </w:div>
        <w:div w:id="777524139">
          <w:marLeft w:val="0"/>
          <w:marRight w:val="0"/>
          <w:marTop w:val="0"/>
          <w:marBottom w:val="0"/>
          <w:divBdr>
            <w:top w:val="none" w:sz="0" w:space="0" w:color="auto"/>
            <w:left w:val="none" w:sz="0" w:space="0" w:color="auto"/>
            <w:bottom w:val="none" w:sz="0" w:space="0" w:color="auto"/>
            <w:right w:val="none" w:sz="0" w:space="0" w:color="auto"/>
          </w:divBdr>
        </w:div>
        <w:div w:id="784345202">
          <w:marLeft w:val="0"/>
          <w:marRight w:val="0"/>
          <w:marTop w:val="0"/>
          <w:marBottom w:val="0"/>
          <w:divBdr>
            <w:top w:val="none" w:sz="0" w:space="0" w:color="auto"/>
            <w:left w:val="none" w:sz="0" w:space="0" w:color="auto"/>
            <w:bottom w:val="none" w:sz="0" w:space="0" w:color="auto"/>
            <w:right w:val="none" w:sz="0" w:space="0" w:color="auto"/>
          </w:divBdr>
        </w:div>
        <w:div w:id="807548712">
          <w:marLeft w:val="0"/>
          <w:marRight w:val="0"/>
          <w:marTop w:val="0"/>
          <w:marBottom w:val="0"/>
          <w:divBdr>
            <w:top w:val="none" w:sz="0" w:space="0" w:color="auto"/>
            <w:left w:val="none" w:sz="0" w:space="0" w:color="auto"/>
            <w:bottom w:val="none" w:sz="0" w:space="0" w:color="auto"/>
            <w:right w:val="none" w:sz="0" w:space="0" w:color="auto"/>
          </w:divBdr>
        </w:div>
        <w:div w:id="811600513">
          <w:marLeft w:val="0"/>
          <w:marRight w:val="0"/>
          <w:marTop w:val="0"/>
          <w:marBottom w:val="0"/>
          <w:divBdr>
            <w:top w:val="none" w:sz="0" w:space="0" w:color="auto"/>
            <w:left w:val="none" w:sz="0" w:space="0" w:color="auto"/>
            <w:bottom w:val="none" w:sz="0" w:space="0" w:color="auto"/>
            <w:right w:val="none" w:sz="0" w:space="0" w:color="auto"/>
          </w:divBdr>
        </w:div>
        <w:div w:id="814295580">
          <w:marLeft w:val="0"/>
          <w:marRight w:val="0"/>
          <w:marTop w:val="0"/>
          <w:marBottom w:val="0"/>
          <w:divBdr>
            <w:top w:val="none" w:sz="0" w:space="0" w:color="auto"/>
            <w:left w:val="none" w:sz="0" w:space="0" w:color="auto"/>
            <w:bottom w:val="none" w:sz="0" w:space="0" w:color="auto"/>
            <w:right w:val="none" w:sz="0" w:space="0" w:color="auto"/>
          </w:divBdr>
        </w:div>
        <w:div w:id="827937389">
          <w:marLeft w:val="0"/>
          <w:marRight w:val="0"/>
          <w:marTop w:val="0"/>
          <w:marBottom w:val="0"/>
          <w:divBdr>
            <w:top w:val="none" w:sz="0" w:space="0" w:color="auto"/>
            <w:left w:val="none" w:sz="0" w:space="0" w:color="auto"/>
            <w:bottom w:val="none" w:sz="0" w:space="0" w:color="auto"/>
            <w:right w:val="none" w:sz="0" w:space="0" w:color="auto"/>
          </w:divBdr>
        </w:div>
        <w:div w:id="839538222">
          <w:marLeft w:val="0"/>
          <w:marRight w:val="0"/>
          <w:marTop w:val="0"/>
          <w:marBottom w:val="0"/>
          <w:divBdr>
            <w:top w:val="none" w:sz="0" w:space="0" w:color="auto"/>
            <w:left w:val="none" w:sz="0" w:space="0" w:color="auto"/>
            <w:bottom w:val="none" w:sz="0" w:space="0" w:color="auto"/>
            <w:right w:val="none" w:sz="0" w:space="0" w:color="auto"/>
          </w:divBdr>
        </w:div>
        <w:div w:id="875387258">
          <w:marLeft w:val="0"/>
          <w:marRight w:val="0"/>
          <w:marTop w:val="0"/>
          <w:marBottom w:val="0"/>
          <w:divBdr>
            <w:top w:val="none" w:sz="0" w:space="0" w:color="auto"/>
            <w:left w:val="none" w:sz="0" w:space="0" w:color="auto"/>
            <w:bottom w:val="none" w:sz="0" w:space="0" w:color="auto"/>
            <w:right w:val="none" w:sz="0" w:space="0" w:color="auto"/>
          </w:divBdr>
        </w:div>
        <w:div w:id="881017838">
          <w:marLeft w:val="0"/>
          <w:marRight w:val="0"/>
          <w:marTop w:val="0"/>
          <w:marBottom w:val="0"/>
          <w:divBdr>
            <w:top w:val="none" w:sz="0" w:space="0" w:color="auto"/>
            <w:left w:val="none" w:sz="0" w:space="0" w:color="auto"/>
            <w:bottom w:val="none" w:sz="0" w:space="0" w:color="auto"/>
            <w:right w:val="none" w:sz="0" w:space="0" w:color="auto"/>
          </w:divBdr>
        </w:div>
        <w:div w:id="906182676">
          <w:marLeft w:val="0"/>
          <w:marRight w:val="0"/>
          <w:marTop w:val="0"/>
          <w:marBottom w:val="0"/>
          <w:divBdr>
            <w:top w:val="none" w:sz="0" w:space="0" w:color="auto"/>
            <w:left w:val="none" w:sz="0" w:space="0" w:color="auto"/>
            <w:bottom w:val="none" w:sz="0" w:space="0" w:color="auto"/>
            <w:right w:val="none" w:sz="0" w:space="0" w:color="auto"/>
          </w:divBdr>
        </w:div>
        <w:div w:id="907618537">
          <w:marLeft w:val="0"/>
          <w:marRight w:val="0"/>
          <w:marTop w:val="0"/>
          <w:marBottom w:val="0"/>
          <w:divBdr>
            <w:top w:val="none" w:sz="0" w:space="0" w:color="auto"/>
            <w:left w:val="none" w:sz="0" w:space="0" w:color="auto"/>
            <w:bottom w:val="none" w:sz="0" w:space="0" w:color="auto"/>
            <w:right w:val="none" w:sz="0" w:space="0" w:color="auto"/>
          </w:divBdr>
        </w:div>
        <w:div w:id="924727952">
          <w:marLeft w:val="0"/>
          <w:marRight w:val="0"/>
          <w:marTop w:val="0"/>
          <w:marBottom w:val="0"/>
          <w:divBdr>
            <w:top w:val="none" w:sz="0" w:space="0" w:color="auto"/>
            <w:left w:val="none" w:sz="0" w:space="0" w:color="auto"/>
            <w:bottom w:val="none" w:sz="0" w:space="0" w:color="auto"/>
            <w:right w:val="none" w:sz="0" w:space="0" w:color="auto"/>
          </w:divBdr>
        </w:div>
        <w:div w:id="935332184">
          <w:marLeft w:val="0"/>
          <w:marRight w:val="0"/>
          <w:marTop w:val="0"/>
          <w:marBottom w:val="0"/>
          <w:divBdr>
            <w:top w:val="none" w:sz="0" w:space="0" w:color="auto"/>
            <w:left w:val="none" w:sz="0" w:space="0" w:color="auto"/>
            <w:bottom w:val="none" w:sz="0" w:space="0" w:color="auto"/>
            <w:right w:val="none" w:sz="0" w:space="0" w:color="auto"/>
          </w:divBdr>
        </w:div>
        <w:div w:id="955674731">
          <w:marLeft w:val="0"/>
          <w:marRight w:val="0"/>
          <w:marTop w:val="0"/>
          <w:marBottom w:val="0"/>
          <w:divBdr>
            <w:top w:val="none" w:sz="0" w:space="0" w:color="auto"/>
            <w:left w:val="none" w:sz="0" w:space="0" w:color="auto"/>
            <w:bottom w:val="none" w:sz="0" w:space="0" w:color="auto"/>
            <w:right w:val="none" w:sz="0" w:space="0" w:color="auto"/>
          </w:divBdr>
        </w:div>
        <w:div w:id="957224076">
          <w:marLeft w:val="0"/>
          <w:marRight w:val="0"/>
          <w:marTop w:val="0"/>
          <w:marBottom w:val="0"/>
          <w:divBdr>
            <w:top w:val="none" w:sz="0" w:space="0" w:color="auto"/>
            <w:left w:val="none" w:sz="0" w:space="0" w:color="auto"/>
            <w:bottom w:val="none" w:sz="0" w:space="0" w:color="auto"/>
            <w:right w:val="none" w:sz="0" w:space="0" w:color="auto"/>
          </w:divBdr>
        </w:div>
        <w:div w:id="957760100">
          <w:marLeft w:val="0"/>
          <w:marRight w:val="0"/>
          <w:marTop w:val="0"/>
          <w:marBottom w:val="0"/>
          <w:divBdr>
            <w:top w:val="none" w:sz="0" w:space="0" w:color="auto"/>
            <w:left w:val="none" w:sz="0" w:space="0" w:color="auto"/>
            <w:bottom w:val="none" w:sz="0" w:space="0" w:color="auto"/>
            <w:right w:val="none" w:sz="0" w:space="0" w:color="auto"/>
          </w:divBdr>
        </w:div>
        <w:div w:id="960115422">
          <w:marLeft w:val="0"/>
          <w:marRight w:val="0"/>
          <w:marTop w:val="0"/>
          <w:marBottom w:val="0"/>
          <w:divBdr>
            <w:top w:val="none" w:sz="0" w:space="0" w:color="auto"/>
            <w:left w:val="none" w:sz="0" w:space="0" w:color="auto"/>
            <w:bottom w:val="none" w:sz="0" w:space="0" w:color="auto"/>
            <w:right w:val="none" w:sz="0" w:space="0" w:color="auto"/>
          </w:divBdr>
        </w:div>
        <w:div w:id="973681340">
          <w:marLeft w:val="0"/>
          <w:marRight w:val="0"/>
          <w:marTop w:val="0"/>
          <w:marBottom w:val="0"/>
          <w:divBdr>
            <w:top w:val="none" w:sz="0" w:space="0" w:color="auto"/>
            <w:left w:val="none" w:sz="0" w:space="0" w:color="auto"/>
            <w:bottom w:val="none" w:sz="0" w:space="0" w:color="auto"/>
            <w:right w:val="none" w:sz="0" w:space="0" w:color="auto"/>
          </w:divBdr>
        </w:div>
        <w:div w:id="995299557">
          <w:marLeft w:val="0"/>
          <w:marRight w:val="0"/>
          <w:marTop w:val="0"/>
          <w:marBottom w:val="0"/>
          <w:divBdr>
            <w:top w:val="none" w:sz="0" w:space="0" w:color="auto"/>
            <w:left w:val="none" w:sz="0" w:space="0" w:color="auto"/>
            <w:bottom w:val="none" w:sz="0" w:space="0" w:color="auto"/>
            <w:right w:val="none" w:sz="0" w:space="0" w:color="auto"/>
          </w:divBdr>
        </w:div>
        <w:div w:id="1020546994">
          <w:marLeft w:val="0"/>
          <w:marRight w:val="0"/>
          <w:marTop w:val="0"/>
          <w:marBottom w:val="0"/>
          <w:divBdr>
            <w:top w:val="none" w:sz="0" w:space="0" w:color="auto"/>
            <w:left w:val="none" w:sz="0" w:space="0" w:color="auto"/>
            <w:bottom w:val="none" w:sz="0" w:space="0" w:color="auto"/>
            <w:right w:val="none" w:sz="0" w:space="0" w:color="auto"/>
          </w:divBdr>
        </w:div>
        <w:div w:id="1062947743">
          <w:marLeft w:val="0"/>
          <w:marRight w:val="0"/>
          <w:marTop w:val="0"/>
          <w:marBottom w:val="0"/>
          <w:divBdr>
            <w:top w:val="none" w:sz="0" w:space="0" w:color="auto"/>
            <w:left w:val="none" w:sz="0" w:space="0" w:color="auto"/>
            <w:bottom w:val="none" w:sz="0" w:space="0" w:color="auto"/>
            <w:right w:val="none" w:sz="0" w:space="0" w:color="auto"/>
          </w:divBdr>
        </w:div>
        <w:div w:id="1066686243">
          <w:marLeft w:val="0"/>
          <w:marRight w:val="0"/>
          <w:marTop w:val="0"/>
          <w:marBottom w:val="0"/>
          <w:divBdr>
            <w:top w:val="none" w:sz="0" w:space="0" w:color="auto"/>
            <w:left w:val="none" w:sz="0" w:space="0" w:color="auto"/>
            <w:bottom w:val="none" w:sz="0" w:space="0" w:color="auto"/>
            <w:right w:val="none" w:sz="0" w:space="0" w:color="auto"/>
          </w:divBdr>
        </w:div>
        <w:div w:id="1074814466">
          <w:marLeft w:val="0"/>
          <w:marRight w:val="0"/>
          <w:marTop w:val="0"/>
          <w:marBottom w:val="0"/>
          <w:divBdr>
            <w:top w:val="none" w:sz="0" w:space="0" w:color="auto"/>
            <w:left w:val="none" w:sz="0" w:space="0" w:color="auto"/>
            <w:bottom w:val="none" w:sz="0" w:space="0" w:color="auto"/>
            <w:right w:val="none" w:sz="0" w:space="0" w:color="auto"/>
          </w:divBdr>
        </w:div>
        <w:div w:id="1077898291">
          <w:marLeft w:val="0"/>
          <w:marRight w:val="0"/>
          <w:marTop w:val="0"/>
          <w:marBottom w:val="0"/>
          <w:divBdr>
            <w:top w:val="none" w:sz="0" w:space="0" w:color="auto"/>
            <w:left w:val="none" w:sz="0" w:space="0" w:color="auto"/>
            <w:bottom w:val="none" w:sz="0" w:space="0" w:color="auto"/>
            <w:right w:val="none" w:sz="0" w:space="0" w:color="auto"/>
          </w:divBdr>
        </w:div>
        <w:div w:id="1084886595">
          <w:marLeft w:val="0"/>
          <w:marRight w:val="0"/>
          <w:marTop w:val="0"/>
          <w:marBottom w:val="0"/>
          <w:divBdr>
            <w:top w:val="none" w:sz="0" w:space="0" w:color="auto"/>
            <w:left w:val="none" w:sz="0" w:space="0" w:color="auto"/>
            <w:bottom w:val="none" w:sz="0" w:space="0" w:color="auto"/>
            <w:right w:val="none" w:sz="0" w:space="0" w:color="auto"/>
          </w:divBdr>
        </w:div>
        <w:div w:id="1086994198">
          <w:marLeft w:val="0"/>
          <w:marRight w:val="0"/>
          <w:marTop w:val="0"/>
          <w:marBottom w:val="0"/>
          <w:divBdr>
            <w:top w:val="none" w:sz="0" w:space="0" w:color="auto"/>
            <w:left w:val="none" w:sz="0" w:space="0" w:color="auto"/>
            <w:bottom w:val="none" w:sz="0" w:space="0" w:color="auto"/>
            <w:right w:val="none" w:sz="0" w:space="0" w:color="auto"/>
          </w:divBdr>
        </w:div>
        <w:div w:id="1088619977">
          <w:marLeft w:val="0"/>
          <w:marRight w:val="0"/>
          <w:marTop w:val="0"/>
          <w:marBottom w:val="0"/>
          <w:divBdr>
            <w:top w:val="none" w:sz="0" w:space="0" w:color="auto"/>
            <w:left w:val="none" w:sz="0" w:space="0" w:color="auto"/>
            <w:bottom w:val="none" w:sz="0" w:space="0" w:color="auto"/>
            <w:right w:val="none" w:sz="0" w:space="0" w:color="auto"/>
          </w:divBdr>
        </w:div>
        <w:div w:id="1092748367">
          <w:marLeft w:val="0"/>
          <w:marRight w:val="0"/>
          <w:marTop w:val="0"/>
          <w:marBottom w:val="0"/>
          <w:divBdr>
            <w:top w:val="none" w:sz="0" w:space="0" w:color="auto"/>
            <w:left w:val="none" w:sz="0" w:space="0" w:color="auto"/>
            <w:bottom w:val="none" w:sz="0" w:space="0" w:color="auto"/>
            <w:right w:val="none" w:sz="0" w:space="0" w:color="auto"/>
          </w:divBdr>
        </w:div>
        <w:div w:id="1095052336">
          <w:marLeft w:val="0"/>
          <w:marRight w:val="0"/>
          <w:marTop w:val="0"/>
          <w:marBottom w:val="0"/>
          <w:divBdr>
            <w:top w:val="none" w:sz="0" w:space="0" w:color="auto"/>
            <w:left w:val="none" w:sz="0" w:space="0" w:color="auto"/>
            <w:bottom w:val="none" w:sz="0" w:space="0" w:color="auto"/>
            <w:right w:val="none" w:sz="0" w:space="0" w:color="auto"/>
          </w:divBdr>
        </w:div>
        <w:div w:id="1118916503">
          <w:marLeft w:val="0"/>
          <w:marRight w:val="0"/>
          <w:marTop w:val="0"/>
          <w:marBottom w:val="0"/>
          <w:divBdr>
            <w:top w:val="none" w:sz="0" w:space="0" w:color="auto"/>
            <w:left w:val="none" w:sz="0" w:space="0" w:color="auto"/>
            <w:bottom w:val="none" w:sz="0" w:space="0" w:color="auto"/>
            <w:right w:val="none" w:sz="0" w:space="0" w:color="auto"/>
          </w:divBdr>
        </w:div>
        <w:div w:id="1131511266">
          <w:marLeft w:val="0"/>
          <w:marRight w:val="0"/>
          <w:marTop w:val="0"/>
          <w:marBottom w:val="0"/>
          <w:divBdr>
            <w:top w:val="none" w:sz="0" w:space="0" w:color="auto"/>
            <w:left w:val="none" w:sz="0" w:space="0" w:color="auto"/>
            <w:bottom w:val="none" w:sz="0" w:space="0" w:color="auto"/>
            <w:right w:val="none" w:sz="0" w:space="0" w:color="auto"/>
          </w:divBdr>
        </w:div>
        <w:div w:id="1132479206">
          <w:marLeft w:val="0"/>
          <w:marRight w:val="0"/>
          <w:marTop w:val="0"/>
          <w:marBottom w:val="0"/>
          <w:divBdr>
            <w:top w:val="none" w:sz="0" w:space="0" w:color="auto"/>
            <w:left w:val="none" w:sz="0" w:space="0" w:color="auto"/>
            <w:bottom w:val="none" w:sz="0" w:space="0" w:color="auto"/>
            <w:right w:val="none" w:sz="0" w:space="0" w:color="auto"/>
          </w:divBdr>
        </w:div>
        <w:div w:id="1144392926">
          <w:marLeft w:val="0"/>
          <w:marRight w:val="0"/>
          <w:marTop w:val="0"/>
          <w:marBottom w:val="0"/>
          <w:divBdr>
            <w:top w:val="none" w:sz="0" w:space="0" w:color="auto"/>
            <w:left w:val="none" w:sz="0" w:space="0" w:color="auto"/>
            <w:bottom w:val="none" w:sz="0" w:space="0" w:color="auto"/>
            <w:right w:val="none" w:sz="0" w:space="0" w:color="auto"/>
          </w:divBdr>
        </w:div>
        <w:div w:id="1147404403">
          <w:marLeft w:val="0"/>
          <w:marRight w:val="0"/>
          <w:marTop w:val="0"/>
          <w:marBottom w:val="0"/>
          <w:divBdr>
            <w:top w:val="none" w:sz="0" w:space="0" w:color="auto"/>
            <w:left w:val="none" w:sz="0" w:space="0" w:color="auto"/>
            <w:bottom w:val="none" w:sz="0" w:space="0" w:color="auto"/>
            <w:right w:val="none" w:sz="0" w:space="0" w:color="auto"/>
          </w:divBdr>
        </w:div>
        <w:div w:id="1160538308">
          <w:marLeft w:val="0"/>
          <w:marRight w:val="0"/>
          <w:marTop w:val="0"/>
          <w:marBottom w:val="0"/>
          <w:divBdr>
            <w:top w:val="none" w:sz="0" w:space="0" w:color="auto"/>
            <w:left w:val="none" w:sz="0" w:space="0" w:color="auto"/>
            <w:bottom w:val="none" w:sz="0" w:space="0" w:color="auto"/>
            <w:right w:val="none" w:sz="0" w:space="0" w:color="auto"/>
          </w:divBdr>
        </w:div>
        <w:div w:id="1163276199">
          <w:marLeft w:val="0"/>
          <w:marRight w:val="0"/>
          <w:marTop w:val="0"/>
          <w:marBottom w:val="0"/>
          <w:divBdr>
            <w:top w:val="none" w:sz="0" w:space="0" w:color="auto"/>
            <w:left w:val="none" w:sz="0" w:space="0" w:color="auto"/>
            <w:bottom w:val="none" w:sz="0" w:space="0" w:color="auto"/>
            <w:right w:val="none" w:sz="0" w:space="0" w:color="auto"/>
          </w:divBdr>
        </w:div>
        <w:div w:id="1181775901">
          <w:marLeft w:val="0"/>
          <w:marRight w:val="0"/>
          <w:marTop w:val="0"/>
          <w:marBottom w:val="0"/>
          <w:divBdr>
            <w:top w:val="none" w:sz="0" w:space="0" w:color="auto"/>
            <w:left w:val="none" w:sz="0" w:space="0" w:color="auto"/>
            <w:bottom w:val="none" w:sz="0" w:space="0" w:color="auto"/>
            <w:right w:val="none" w:sz="0" w:space="0" w:color="auto"/>
          </w:divBdr>
        </w:div>
        <w:div w:id="1215196029">
          <w:marLeft w:val="0"/>
          <w:marRight w:val="0"/>
          <w:marTop w:val="0"/>
          <w:marBottom w:val="0"/>
          <w:divBdr>
            <w:top w:val="none" w:sz="0" w:space="0" w:color="auto"/>
            <w:left w:val="none" w:sz="0" w:space="0" w:color="auto"/>
            <w:bottom w:val="none" w:sz="0" w:space="0" w:color="auto"/>
            <w:right w:val="none" w:sz="0" w:space="0" w:color="auto"/>
          </w:divBdr>
        </w:div>
        <w:div w:id="1230268252">
          <w:marLeft w:val="0"/>
          <w:marRight w:val="0"/>
          <w:marTop w:val="0"/>
          <w:marBottom w:val="0"/>
          <w:divBdr>
            <w:top w:val="none" w:sz="0" w:space="0" w:color="auto"/>
            <w:left w:val="none" w:sz="0" w:space="0" w:color="auto"/>
            <w:bottom w:val="none" w:sz="0" w:space="0" w:color="auto"/>
            <w:right w:val="none" w:sz="0" w:space="0" w:color="auto"/>
          </w:divBdr>
        </w:div>
        <w:div w:id="1244804054">
          <w:marLeft w:val="0"/>
          <w:marRight w:val="0"/>
          <w:marTop w:val="0"/>
          <w:marBottom w:val="0"/>
          <w:divBdr>
            <w:top w:val="none" w:sz="0" w:space="0" w:color="auto"/>
            <w:left w:val="none" w:sz="0" w:space="0" w:color="auto"/>
            <w:bottom w:val="none" w:sz="0" w:space="0" w:color="auto"/>
            <w:right w:val="none" w:sz="0" w:space="0" w:color="auto"/>
          </w:divBdr>
        </w:div>
        <w:div w:id="1253123004">
          <w:marLeft w:val="0"/>
          <w:marRight w:val="0"/>
          <w:marTop w:val="0"/>
          <w:marBottom w:val="0"/>
          <w:divBdr>
            <w:top w:val="none" w:sz="0" w:space="0" w:color="auto"/>
            <w:left w:val="none" w:sz="0" w:space="0" w:color="auto"/>
            <w:bottom w:val="none" w:sz="0" w:space="0" w:color="auto"/>
            <w:right w:val="none" w:sz="0" w:space="0" w:color="auto"/>
          </w:divBdr>
        </w:div>
        <w:div w:id="1271662092">
          <w:marLeft w:val="0"/>
          <w:marRight w:val="0"/>
          <w:marTop w:val="0"/>
          <w:marBottom w:val="0"/>
          <w:divBdr>
            <w:top w:val="none" w:sz="0" w:space="0" w:color="auto"/>
            <w:left w:val="none" w:sz="0" w:space="0" w:color="auto"/>
            <w:bottom w:val="none" w:sz="0" w:space="0" w:color="auto"/>
            <w:right w:val="none" w:sz="0" w:space="0" w:color="auto"/>
          </w:divBdr>
        </w:div>
        <w:div w:id="1279263284">
          <w:marLeft w:val="0"/>
          <w:marRight w:val="0"/>
          <w:marTop w:val="0"/>
          <w:marBottom w:val="0"/>
          <w:divBdr>
            <w:top w:val="none" w:sz="0" w:space="0" w:color="auto"/>
            <w:left w:val="none" w:sz="0" w:space="0" w:color="auto"/>
            <w:bottom w:val="none" w:sz="0" w:space="0" w:color="auto"/>
            <w:right w:val="none" w:sz="0" w:space="0" w:color="auto"/>
          </w:divBdr>
        </w:div>
        <w:div w:id="1280915187">
          <w:marLeft w:val="0"/>
          <w:marRight w:val="0"/>
          <w:marTop w:val="0"/>
          <w:marBottom w:val="0"/>
          <w:divBdr>
            <w:top w:val="none" w:sz="0" w:space="0" w:color="auto"/>
            <w:left w:val="none" w:sz="0" w:space="0" w:color="auto"/>
            <w:bottom w:val="none" w:sz="0" w:space="0" w:color="auto"/>
            <w:right w:val="none" w:sz="0" w:space="0" w:color="auto"/>
          </w:divBdr>
        </w:div>
        <w:div w:id="1289775030">
          <w:marLeft w:val="0"/>
          <w:marRight w:val="0"/>
          <w:marTop w:val="0"/>
          <w:marBottom w:val="0"/>
          <w:divBdr>
            <w:top w:val="none" w:sz="0" w:space="0" w:color="auto"/>
            <w:left w:val="none" w:sz="0" w:space="0" w:color="auto"/>
            <w:bottom w:val="none" w:sz="0" w:space="0" w:color="auto"/>
            <w:right w:val="none" w:sz="0" w:space="0" w:color="auto"/>
          </w:divBdr>
        </w:div>
        <w:div w:id="1327198638">
          <w:marLeft w:val="0"/>
          <w:marRight w:val="0"/>
          <w:marTop w:val="0"/>
          <w:marBottom w:val="0"/>
          <w:divBdr>
            <w:top w:val="none" w:sz="0" w:space="0" w:color="auto"/>
            <w:left w:val="none" w:sz="0" w:space="0" w:color="auto"/>
            <w:bottom w:val="none" w:sz="0" w:space="0" w:color="auto"/>
            <w:right w:val="none" w:sz="0" w:space="0" w:color="auto"/>
          </w:divBdr>
        </w:div>
        <w:div w:id="1331520137">
          <w:marLeft w:val="0"/>
          <w:marRight w:val="0"/>
          <w:marTop w:val="0"/>
          <w:marBottom w:val="0"/>
          <w:divBdr>
            <w:top w:val="none" w:sz="0" w:space="0" w:color="auto"/>
            <w:left w:val="none" w:sz="0" w:space="0" w:color="auto"/>
            <w:bottom w:val="none" w:sz="0" w:space="0" w:color="auto"/>
            <w:right w:val="none" w:sz="0" w:space="0" w:color="auto"/>
          </w:divBdr>
        </w:div>
        <w:div w:id="1351957245">
          <w:marLeft w:val="0"/>
          <w:marRight w:val="0"/>
          <w:marTop w:val="0"/>
          <w:marBottom w:val="0"/>
          <w:divBdr>
            <w:top w:val="none" w:sz="0" w:space="0" w:color="auto"/>
            <w:left w:val="none" w:sz="0" w:space="0" w:color="auto"/>
            <w:bottom w:val="none" w:sz="0" w:space="0" w:color="auto"/>
            <w:right w:val="none" w:sz="0" w:space="0" w:color="auto"/>
          </w:divBdr>
        </w:div>
        <w:div w:id="1369338823">
          <w:marLeft w:val="0"/>
          <w:marRight w:val="0"/>
          <w:marTop w:val="0"/>
          <w:marBottom w:val="0"/>
          <w:divBdr>
            <w:top w:val="none" w:sz="0" w:space="0" w:color="auto"/>
            <w:left w:val="none" w:sz="0" w:space="0" w:color="auto"/>
            <w:bottom w:val="none" w:sz="0" w:space="0" w:color="auto"/>
            <w:right w:val="none" w:sz="0" w:space="0" w:color="auto"/>
          </w:divBdr>
        </w:div>
        <w:div w:id="1373774551">
          <w:marLeft w:val="0"/>
          <w:marRight w:val="0"/>
          <w:marTop w:val="0"/>
          <w:marBottom w:val="0"/>
          <w:divBdr>
            <w:top w:val="none" w:sz="0" w:space="0" w:color="auto"/>
            <w:left w:val="none" w:sz="0" w:space="0" w:color="auto"/>
            <w:bottom w:val="none" w:sz="0" w:space="0" w:color="auto"/>
            <w:right w:val="none" w:sz="0" w:space="0" w:color="auto"/>
          </w:divBdr>
        </w:div>
        <w:div w:id="1381201222">
          <w:marLeft w:val="0"/>
          <w:marRight w:val="0"/>
          <w:marTop w:val="0"/>
          <w:marBottom w:val="0"/>
          <w:divBdr>
            <w:top w:val="none" w:sz="0" w:space="0" w:color="auto"/>
            <w:left w:val="none" w:sz="0" w:space="0" w:color="auto"/>
            <w:bottom w:val="none" w:sz="0" w:space="0" w:color="auto"/>
            <w:right w:val="none" w:sz="0" w:space="0" w:color="auto"/>
          </w:divBdr>
        </w:div>
        <w:div w:id="1382316611">
          <w:marLeft w:val="0"/>
          <w:marRight w:val="0"/>
          <w:marTop w:val="0"/>
          <w:marBottom w:val="0"/>
          <w:divBdr>
            <w:top w:val="none" w:sz="0" w:space="0" w:color="auto"/>
            <w:left w:val="none" w:sz="0" w:space="0" w:color="auto"/>
            <w:bottom w:val="none" w:sz="0" w:space="0" w:color="auto"/>
            <w:right w:val="none" w:sz="0" w:space="0" w:color="auto"/>
          </w:divBdr>
        </w:div>
        <w:div w:id="1413313711">
          <w:marLeft w:val="0"/>
          <w:marRight w:val="0"/>
          <w:marTop w:val="0"/>
          <w:marBottom w:val="0"/>
          <w:divBdr>
            <w:top w:val="none" w:sz="0" w:space="0" w:color="auto"/>
            <w:left w:val="none" w:sz="0" w:space="0" w:color="auto"/>
            <w:bottom w:val="none" w:sz="0" w:space="0" w:color="auto"/>
            <w:right w:val="none" w:sz="0" w:space="0" w:color="auto"/>
          </w:divBdr>
        </w:div>
        <w:div w:id="1418938153">
          <w:marLeft w:val="0"/>
          <w:marRight w:val="0"/>
          <w:marTop w:val="0"/>
          <w:marBottom w:val="0"/>
          <w:divBdr>
            <w:top w:val="none" w:sz="0" w:space="0" w:color="auto"/>
            <w:left w:val="none" w:sz="0" w:space="0" w:color="auto"/>
            <w:bottom w:val="none" w:sz="0" w:space="0" w:color="auto"/>
            <w:right w:val="none" w:sz="0" w:space="0" w:color="auto"/>
          </w:divBdr>
        </w:div>
        <w:div w:id="1422994499">
          <w:marLeft w:val="0"/>
          <w:marRight w:val="0"/>
          <w:marTop w:val="0"/>
          <w:marBottom w:val="0"/>
          <w:divBdr>
            <w:top w:val="none" w:sz="0" w:space="0" w:color="auto"/>
            <w:left w:val="none" w:sz="0" w:space="0" w:color="auto"/>
            <w:bottom w:val="none" w:sz="0" w:space="0" w:color="auto"/>
            <w:right w:val="none" w:sz="0" w:space="0" w:color="auto"/>
          </w:divBdr>
        </w:div>
        <w:div w:id="1423648019">
          <w:marLeft w:val="0"/>
          <w:marRight w:val="0"/>
          <w:marTop w:val="0"/>
          <w:marBottom w:val="0"/>
          <w:divBdr>
            <w:top w:val="none" w:sz="0" w:space="0" w:color="auto"/>
            <w:left w:val="none" w:sz="0" w:space="0" w:color="auto"/>
            <w:bottom w:val="none" w:sz="0" w:space="0" w:color="auto"/>
            <w:right w:val="none" w:sz="0" w:space="0" w:color="auto"/>
          </w:divBdr>
        </w:div>
        <w:div w:id="1444960154">
          <w:marLeft w:val="0"/>
          <w:marRight w:val="0"/>
          <w:marTop w:val="0"/>
          <w:marBottom w:val="0"/>
          <w:divBdr>
            <w:top w:val="none" w:sz="0" w:space="0" w:color="auto"/>
            <w:left w:val="none" w:sz="0" w:space="0" w:color="auto"/>
            <w:bottom w:val="none" w:sz="0" w:space="0" w:color="auto"/>
            <w:right w:val="none" w:sz="0" w:space="0" w:color="auto"/>
          </w:divBdr>
        </w:div>
        <w:div w:id="1460804369">
          <w:marLeft w:val="0"/>
          <w:marRight w:val="0"/>
          <w:marTop w:val="0"/>
          <w:marBottom w:val="0"/>
          <w:divBdr>
            <w:top w:val="none" w:sz="0" w:space="0" w:color="auto"/>
            <w:left w:val="none" w:sz="0" w:space="0" w:color="auto"/>
            <w:bottom w:val="none" w:sz="0" w:space="0" w:color="auto"/>
            <w:right w:val="none" w:sz="0" w:space="0" w:color="auto"/>
          </w:divBdr>
        </w:div>
        <w:div w:id="1469737203">
          <w:marLeft w:val="0"/>
          <w:marRight w:val="0"/>
          <w:marTop w:val="0"/>
          <w:marBottom w:val="0"/>
          <w:divBdr>
            <w:top w:val="none" w:sz="0" w:space="0" w:color="auto"/>
            <w:left w:val="none" w:sz="0" w:space="0" w:color="auto"/>
            <w:bottom w:val="none" w:sz="0" w:space="0" w:color="auto"/>
            <w:right w:val="none" w:sz="0" w:space="0" w:color="auto"/>
          </w:divBdr>
        </w:div>
        <w:div w:id="1495685179">
          <w:marLeft w:val="0"/>
          <w:marRight w:val="0"/>
          <w:marTop w:val="0"/>
          <w:marBottom w:val="0"/>
          <w:divBdr>
            <w:top w:val="none" w:sz="0" w:space="0" w:color="auto"/>
            <w:left w:val="none" w:sz="0" w:space="0" w:color="auto"/>
            <w:bottom w:val="none" w:sz="0" w:space="0" w:color="auto"/>
            <w:right w:val="none" w:sz="0" w:space="0" w:color="auto"/>
          </w:divBdr>
        </w:div>
        <w:div w:id="1507861121">
          <w:marLeft w:val="0"/>
          <w:marRight w:val="0"/>
          <w:marTop w:val="0"/>
          <w:marBottom w:val="0"/>
          <w:divBdr>
            <w:top w:val="none" w:sz="0" w:space="0" w:color="auto"/>
            <w:left w:val="none" w:sz="0" w:space="0" w:color="auto"/>
            <w:bottom w:val="none" w:sz="0" w:space="0" w:color="auto"/>
            <w:right w:val="none" w:sz="0" w:space="0" w:color="auto"/>
          </w:divBdr>
        </w:div>
        <w:div w:id="1529873967">
          <w:marLeft w:val="0"/>
          <w:marRight w:val="0"/>
          <w:marTop w:val="0"/>
          <w:marBottom w:val="0"/>
          <w:divBdr>
            <w:top w:val="none" w:sz="0" w:space="0" w:color="auto"/>
            <w:left w:val="none" w:sz="0" w:space="0" w:color="auto"/>
            <w:bottom w:val="none" w:sz="0" w:space="0" w:color="auto"/>
            <w:right w:val="none" w:sz="0" w:space="0" w:color="auto"/>
          </w:divBdr>
        </w:div>
        <w:div w:id="1533759239">
          <w:marLeft w:val="0"/>
          <w:marRight w:val="0"/>
          <w:marTop w:val="0"/>
          <w:marBottom w:val="0"/>
          <w:divBdr>
            <w:top w:val="none" w:sz="0" w:space="0" w:color="auto"/>
            <w:left w:val="none" w:sz="0" w:space="0" w:color="auto"/>
            <w:bottom w:val="none" w:sz="0" w:space="0" w:color="auto"/>
            <w:right w:val="none" w:sz="0" w:space="0" w:color="auto"/>
          </w:divBdr>
        </w:div>
        <w:div w:id="1545294632">
          <w:marLeft w:val="0"/>
          <w:marRight w:val="0"/>
          <w:marTop w:val="0"/>
          <w:marBottom w:val="0"/>
          <w:divBdr>
            <w:top w:val="none" w:sz="0" w:space="0" w:color="auto"/>
            <w:left w:val="none" w:sz="0" w:space="0" w:color="auto"/>
            <w:bottom w:val="none" w:sz="0" w:space="0" w:color="auto"/>
            <w:right w:val="none" w:sz="0" w:space="0" w:color="auto"/>
          </w:divBdr>
        </w:div>
        <w:div w:id="1558515377">
          <w:marLeft w:val="0"/>
          <w:marRight w:val="0"/>
          <w:marTop w:val="0"/>
          <w:marBottom w:val="0"/>
          <w:divBdr>
            <w:top w:val="none" w:sz="0" w:space="0" w:color="auto"/>
            <w:left w:val="none" w:sz="0" w:space="0" w:color="auto"/>
            <w:bottom w:val="none" w:sz="0" w:space="0" w:color="auto"/>
            <w:right w:val="none" w:sz="0" w:space="0" w:color="auto"/>
          </w:divBdr>
        </w:div>
        <w:div w:id="1583947605">
          <w:marLeft w:val="0"/>
          <w:marRight w:val="0"/>
          <w:marTop w:val="0"/>
          <w:marBottom w:val="0"/>
          <w:divBdr>
            <w:top w:val="none" w:sz="0" w:space="0" w:color="auto"/>
            <w:left w:val="none" w:sz="0" w:space="0" w:color="auto"/>
            <w:bottom w:val="none" w:sz="0" w:space="0" w:color="auto"/>
            <w:right w:val="none" w:sz="0" w:space="0" w:color="auto"/>
          </w:divBdr>
        </w:div>
        <w:div w:id="1611474562">
          <w:marLeft w:val="0"/>
          <w:marRight w:val="0"/>
          <w:marTop w:val="0"/>
          <w:marBottom w:val="0"/>
          <w:divBdr>
            <w:top w:val="none" w:sz="0" w:space="0" w:color="auto"/>
            <w:left w:val="none" w:sz="0" w:space="0" w:color="auto"/>
            <w:bottom w:val="none" w:sz="0" w:space="0" w:color="auto"/>
            <w:right w:val="none" w:sz="0" w:space="0" w:color="auto"/>
          </w:divBdr>
        </w:div>
        <w:div w:id="1611930299">
          <w:marLeft w:val="0"/>
          <w:marRight w:val="0"/>
          <w:marTop w:val="0"/>
          <w:marBottom w:val="0"/>
          <w:divBdr>
            <w:top w:val="none" w:sz="0" w:space="0" w:color="auto"/>
            <w:left w:val="none" w:sz="0" w:space="0" w:color="auto"/>
            <w:bottom w:val="none" w:sz="0" w:space="0" w:color="auto"/>
            <w:right w:val="none" w:sz="0" w:space="0" w:color="auto"/>
          </w:divBdr>
        </w:div>
        <w:div w:id="1626934495">
          <w:marLeft w:val="0"/>
          <w:marRight w:val="0"/>
          <w:marTop w:val="0"/>
          <w:marBottom w:val="0"/>
          <w:divBdr>
            <w:top w:val="none" w:sz="0" w:space="0" w:color="auto"/>
            <w:left w:val="none" w:sz="0" w:space="0" w:color="auto"/>
            <w:bottom w:val="none" w:sz="0" w:space="0" w:color="auto"/>
            <w:right w:val="none" w:sz="0" w:space="0" w:color="auto"/>
          </w:divBdr>
        </w:div>
        <w:div w:id="1641425641">
          <w:marLeft w:val="0"/>
          <w:marRight w:val="0"/>
          <w:marTop w:val="0"/>
          <w:marBottom w:val="0"/>
          <w:divBdr>
            <w:top w:val="none" w:sz="0" w:space="0" w:color="auto"/>
            <w:left w:val="none" w:sz="0" w:space="0" w:color="auto"/>
            <w:bottom w:val="none" w:sz="0" w:space="0" w:color="auto"/>
            <w:right w:val="none" w:sz="0" w:space="0" w:color="auto"/>
          </w:divBdr>
        </w:div>
        <w:div w:id="1641689436">
          <w:marLeft w:val="0"/>
          <w:marRight w:val="0"/>
          <w:marTop w:val="0"/>
          <w:marBottom w:val="0"/>
          <w:divBdr>
            <w:top w:val="none" w:sz="0" w:space="0" w:color="auto"/>
            <w:left w:val="none" w:sz="0" w:space="0" w:color="auto"/>
            <w:bottom w:val="none" w:sz="0" w:space="0" w:color="auto"/>
            <w:right w:val="none" w:sz="0" w:space="0" w:color="auto"/>
          </w:divBdr>
        </w:div>
        <w:div w:id="1643657192">
          <w:marLeft w:val="0"/>
          <w:marRight w:val="0"/>
          <w:marTop w:val="0"/>
          <w:marBottom w:val="0"/>
          <w:divBdr>
            <w:top w:val="none" w:sz="0" w:space="0" w:color="auto"/>
            <w:left w:val="none" w:sz="0" w:space="0" w:color="auto"/>
            <w:bottom w:val="none" w:sz="0" w:space="0" w:color="auto"/>
            <w:right w:val="none" w:sz="0" w:space="0" w:color="auto"/>
          </w:divBdr>
        </w:div>
        <w:div w:id="1660573622">
          <w:marLeft w:val="0"/>
          <w:marRight w:val="0"/>
          <w:marTop w:val="0"/>
          <w:marBottom w:val="0"/>
          <w:divBdr>
            <w:top w:val="none" w:sz="0" w:space="0" w:color="auto"/>
            <w:left w:val="none" w:sz="0" w:space="0" w:color="auto"/>
            <w:bottom w:val="none" w:sz="0" w:space="0" w:color="auto"/>
            <w:right w:val="none" w:sz="0" w:space="0" w:color="auto"/>
          </w:divBdr>
        </w:div>
        <w:div w:id="1684353908">
          <w:marLeft w:val="0"/>
          <w:marRight w:val="0"/>
          <w:marTop w:val="0"/>
          <w:marBottom w:val="0"/>
          <w:divBdr>
            <w:top w:val="none" w:sz="0" w:space="0" w:color="auto"/>
            <w:left w:val="none" w:sz="0" w:space="0" w:color="auto"/>
            <w:bottom w:val="none" w:sz="0" w:space="0" w:color="auto"/>
            <w:right w:val="none" w:sz="0" w:space="0" w:color="auto"/>
          </w:divBdr>
        </w:div>
        <w:div w:id="1698777036">
          <w:marLeft w:val="0"/>
          <w:marRight w:val="0"/>
          <w:marTop w:val="0"/>
          <w:marBottom w:val="0"/>
          <w:divBdr>
            <w:top w:val="none" w:sz="0" w:space="0" w:color="auto"/>
            <w:left w:val="none" w:sz="0" w:space="0" w:color="auto"/>
            <w:bottom w:val="none" w:sz="0" w:space="0" w:color="auto"/>
            <w:right w:val="none" w:sz="0" w:space="0" w:color="auto"/>
          </w:divBdr>
        </w:div>
        <w:div w:id="1701664718">
          <w:marLeft w:val="0"/>
          <w:marRight w:val="0"/>
          <w:marTop w:val="0"/>
          <w:marBottom w:val="0"/>
          <w:divBdr>
            <w:top w:val="none" w:sz="0" w:space="0" w:color="auto"/>
            <w:left w:val="none" w:sz="0" w:space="0" w:color="auto"/>
            <w:bottom w:val="none" w:sz="0" w:space="0" w:color="auto"/>
            <w:right w:val="none" w:sz="0" w:space="0" w:color="auto"/>
          </w:divBdr>
        </w:div>
        <w:div w:id="1717658838">
          <w:marLeft w:val="0"/>
          <w:marRight w:val="0"/>
          <w:marTop w:val="0"/>
          <w:marBottom w:val="0"/>
          <w:divBdr>
            <w:top w:val="none" w:sz="0" w:space="0" w:color="auto"/>
            <w:left w:val="none" w:sz="0" w:space="0" w:color="auto"/>
            <w:bottom w:val="none" w:sz="0" w:space="0" w:color="auto"/>
            <w:right w:val="none" w:sz="0" w:space="0" w:color="auto"/>
          </w:divBdr>
        </w:div>
        <w:div w:id="1745683079">
          <w:marLeft w:val="0"/>
          <w:marRight w:val="0"/>
          <w:marTop w:val="0"/>
          <w:marBottom w:val="0"/>
          <w:divBdr>
            <w:top w:val="none" w:sz="0" w:space="0" w:color="auto"/>
            <w:left w:val="none" w:sz="0" w:space="0" w:color="auto"/>
            <w:bottom w:val="none" w:sz="0" w:space="0" w:color="auto"/>
            <w:right w:val="none" w:sz="0" w:space="0" w:color="auto"/>
          </w:divBdr>
        </w:div>
        <w:div w:id="1779791956">
          <w:marLeft w:val="0"/>
          <w:marRight w:val="0"/>
          <w:marTop w:val="0"/>
          <w:marBottom w:val="0"/>
          <w:divBdr>
            <w:top w:val="none" w:sz="0" w:space="0" w:color="auto"/>
            <w:left w:val="none" w:sz="0" w:space="0" w:color="auto"/>
            <w:bottom w:val="none" w:sz="0" w:space="0" w:color="auto"/>
            <w:right w:val="none" w:sz="0" w:space="0" w:color="auto"/>
          </w:divBdr>
        </w:div>
        <w:div w:id="1787188231">
          <w:marLeft w:val="0"/>
          <w:marRight w:val="0"/>
          <w:marTop w:val="0"/>
          <w:marBottom w:val="0"/>
          <w:divBdr>
            <w:top w:val="none" w:sz="0" w:space="0" w:color="auto"/>
            <w:left w:val="none" w:sz="0" w:space="0" w:color="auto"/>
            <w:bottom w:val="none" w:sz="0" w:space="0" w:color="auto"/>
            <w:right w:val="none" w:sz="0" w:space="0" w:color="auto"/>
          </w:divBdr>
        </w:div>
        <w:div w:id="1797524361">
          <w:marLeft w:val="0"/>
          <w:marRight w:val="0"/>
          <w:marTop w:val="0"/>
          <w:marBottom w:val="0"/>
          <w:divBdr>
            <w:top w:val="none" w:sz="0" w:space="0" w:color="auto"/>
            <w:left w:val="none" w:sz="0" w:space="0" w:color="auto"/>
            <w:bottom w:val="none" w:sz="0" w:space="0" w:color="auto"/>
            <w:right w:val="none" w:sz="0" w:space="0" w:color="auto"/>
          </w:divBdr>
        </w:div>
        <w:div w:id="1800493129">
          <w:marLeft w:val="0"/>
          <w:marRight w:val="0"/>
          <w:marTop w:val="0"/>
          <w:marBottom w:val="0"/>
          <w:divBdr>
            <w:top w:val="none" w:sz="0" w:space="0" w:color="auto"/>
            <w:left w:val="none" w:sz="0" w:space="0" w:color="auto"/>
            <w:bottom w:val="none" w:sz="0" w:space="0" w:color="auto"/>
            <w:right w:val="none" w:sz="0" w:space="0" w:color="auto"/>
          </w:divBdr>
        </w:div>
        <w:div w:id="1821650825">
          <w:marLeft w:val="0"/>
          <w:marRight w:val="0"/>
          <w:marTop w:val="0"/>
          <w:marBottom w:val="0"/>
          <w:divBdr>
            <w:top w:val="none" w:sz="0" w:space="0" w:color="auto"/>
            <w:left w:val="none" w:sz="0" w:space="0" w:color="auto"/>
            <w:bottom w:val="none" w:sz="0" w:space="0" w:color="auto"/>
            <w:right w:val="none" w:sz="0" w:space="0" w:color="auto"/>
          </w:divBdr>
        </w:div>
        <w:div w:id="1843623933">
          <w:marLeft w:val="0"/>
          <w:marRight w:val="0"/>
          <w:marTop w:val="0"/>
          <w:marBottom w:val="0"/>
          <w:divBdr>
            <w:top w:val="none" w:sz="0" w:space="0" w:color="auto"/>
            <w:left w:val="none" w:sz="0" w:space="0" w:color="auto"/>
            <w:bottom w:val="none" w:sz="0" w:space="0" w:color="auto"/>
            <w:right w:val="none" w:sz="0" w:space="0" w:color="auto"/>
          </w:divBdr>
        </w:div>
        <w:div w:id="1858082524">
          <w:marLeft w:val="0"/>
          <w:marRight w:val="0"/>
          <w:marTop w:val="0"/>
          <w:marBottom w:val="0"/>
          <w:divBdr>
            <w:top w:val="none" w:sz="0" w:space="0" w:color="auto"/>
            <w:left w:val="none" w:sz="0" w:space="0" w:color="auto"/>
            <w:bottom w:val="none" w:sz="0" w:space="0" w:color="auto"/>
            <w:right w:val="none" w:sz="0" w:space="0" w:color="auto"/>
          </w:divBdr>
        </w:div>
        <w:div w:id="1900556873">
          <w:marLeft w:val="0"/>
          <w:marRight w:val="0"/>
          <w:marTop w:val="0"/>
          <w:marBottom w:val="0"/>
          <w:divBdr>
            <w:top w:val="none" w:sz="0" w:space="0" w:color="auto"/>
            <w:left w:val="none" w:sz="0" w:space="0" w:color="auto"/>
            <w:bottom w:val="none" w:sz="0" w:space="0" w:color="auto"/>
            <w:right w:val="none" w:sz="0" w:space="0" w:color="auto"/>
          </w:divBdr>
        </w:div>
        <w:div w:id="1902592142">
          <w:marLeft w:val="0"/>
          <w:marRight w:val="0"/>
          <w:marTop w:val="0"/>
          <w:marBottom w:val="0"/>
          <w:divBdr>
            <w:top w:val="none" w:sz="0" w:space="0" w:color="auto"/>
            <w:left w:val="none" w:sz="0" w:space="0" w:color="auto"/>
            <w:bottom w:val="none" w:sz="0" w:space="0" w:color="auto"/>
            <w:right w:val="none" w:sz="0" w:space="0" w:color="auto"/>
          </w:divBdr>
        </w:div>
        <w:div w:id="1935161053">
          <w:marLeft w:val="0"/>
          <w:marRight w:val="0"/>
          <w:marTop w:val="0"/>
          <w:marBottom w:val="0"/>
          <w:divBdr>
            <w:top w:val="none" w:sz="0" w:space="0" w:color="auto"/>
            <w:left w:val="none" w:sz="0" w:space="0" w:color="auto"/>
            <w:bottom w:val="none" w:sz="0" w:space="0" w:color="auto"/>
            <w:right w:val="none" w:sz="0" w:space="0" w:color="auto"/>
          </w:divBdr>
        </w:div>
        <w:div w:id="1963531091">
          <w:marLeft w:val="0"/>
          <w:marRight w:val="0"/>
          <w:marTop w:val="0"/>
          <w:marBottom w:val="0"/>
          <w:divBdr>
            <w:top w:val="none" w:sz="0" w:space="0" w:color="auto"/>
            <w:left w:val="none" w:sz="0" w:space="0" w:color="auto"/>
            <w:bottom w:val="none" w:sz="0" w:space="0" w:color="auto"/>
            <w:right w:val="none" w:sz="0" w:space="0" w:color="auto"/>
          </w:divBdr>
        </w:div>
        <w:div w:id="1969893694">
          <w:marLeft w:val="0"/>
          <w:marRight w:val="0"/>
          <w:marTop w:val="0"/>
          <w:marBottom w:val="0"/>
          <w:divBdr>
            <w:top w:val="none" w:sz="0" w:space="0" w:color="auto"/>
            <w:left w:val="none" w:sz="0" w:space="0" w:color="auto"/>
            <w:bottom w:val="none" w:sz="0" w:space="0" w:color="auto"/>
            <w:right w:val="none" w:sz="0" w:space="0" w:color="auto"/>
          </w:divBdr>
        </w:div>
        <w:div w:id="1989819602">
          <w:marLeft w:val="0"/>
          <w:marRight w:val="0"/>
          <w:marTop w:val="0"/>
          <w:marBottom w:val="0"/>
          <w:divBdr>
            <w:top w:val="none" w:sz="0" w:space="0" w:color="auto"/>
            <w:left w:val="none" w:sz="0" w:space="0" w:color="auto"/>
            <w:bottom w:val="none" w:sz="0" w:space="0" w:color="auto"/>
            <w:right w:val="none" w:sz="0" w:space="0" w:color="auto"/>
          </w:divBdr>
        </w:div>
        <w:div w:id="1992708625">
          <w:marLeft w:val="0"/>
          <w:marRight w:val="0"/>
          <w:marTop w:val="0"/>
          <w:marBottom w:val="0"/>
          <w:divBdr>
            <w:top w:val="none" w:sz="0" w:space="0" w:color="auto"/>
            <w:left w:val="none" w:sz="0" w:space="0" w:color="auto"/>
            <w:bottom w:val="none" w:sz="0" w:space="0" w:color="auto"/>
            <w:right w:val="none" w:sz="0" w:space="0" w:color="auto"/>
          </w:divBdr>
        </w:div>
        <w:div w:id="2007318110">
          <w:marLeft w:val="0"/>
          <w:marRight w:val="0"/>
          <w:marTop w:val="0"/>
          <w:marBottom w:val="0"/>
          <w:divBdr>
            <w:top w:val="none" w:sz="0" w:space="0" w:color="auto"/>
            <w:left w:val="none" w:sz="0" w:space="0" w:color="auto"/>
            <w:bottom w:val="none" w:sz="0" w:space="0" w:color="auto"/>
            <w:right w:val="none" w:sz="0" w:space="0" w:color="auto"/>
          </w:divBdr>
        </w:div>
        <w:div w:id="2011567728">
          <w:marLeft w:val="0"/>
          <w:marRight w:val="0"/>
          <w:marTop w:val="0"/>
          <w:marBottom w:val="0"/>
          <w:divBdr>
            <w:top w:val="none" w:sz="0" w:space="0" w:color="auto"/>
            <w:left w:val="none" w:sz="0" w:space="0" w:color="auto"/>
            <w:bottom w:val="none" w:sz="0" w:space="0" w:color="auto"/>
            <w:right w:val="none" w:sz="0" w:space="0" w:color="auto"/>
          </w:divBdr>
        </w:div>
        <w:div w:id="2020157167">
          <w:marLeft w:val="0"/>
          <w:marRight w:val="0"/>
          <w:marTop w:val="0"/>
          <w:marBottom w:val="0"/>
          <w:divBdr>
            <w:top w:val="none" w:sz="0" w:space="0" w:color="auto"/>
            <w:left w:val="none" w:sz="0" w:space="0" w:color="auto"/>
            <w:bottom w:val="none" w:sz="0" w:space="0" w:color="auto"/>
            <w:right w:val="none" w:sz="0" w:space="0" w:color="auto"/>
          </w:divBdr>
        </w:div>
        <w:div w:id="2051609670">
          <w:marLeft w:val="0"/>
          <w:marRight w:val="0"/>
          <w:marTop w:val="0"/>
          <w:marBottom w:val="0"/>
          <w:divBdr>
            <w:top w:val="none" w:sz="0" w:space="0" w:color="auto"/>
            <w:left w:val="none" w:sz="0" w:space="0" w:color="auto"/>
            <w:bottom w:val="none" w:sz="0" w:space="0" w:color="auto"/>
            <w:right w:val="none" w:sz="0" w:space="0" w:color="auto"/>
          </w:divBdr>
        </w:div>
        <w:div w:id="2055546068">
          <w:marLeft w:val="0"/>
          <w:marRight w:val="0"/>
          <w:marTop w:val="0"/>
          <w:marBottom w:val="0"/>
          <w:divBdr>
            <w:top w:val="none" w:sz="0" w:space="0" w:color="auto"/>
            <w:left w:val="none" w:sz="0" w:space="0" w:color="auto"/>
            <w:bottom w:val="none" w:sz="0" w:space="0" w:color="auto"/>
            <w:right w:val="none" w:sz="0" w:space="0" w:color="auto"/>
          </w:divBdr>
        </w:div>
        <w:div w:id="2069912926">
          <w:marLeft w:val="0"/>
          <w:marRight w:val="0"/>
          <w:marTop w:val="0"/>
          <w:marBottom w:val="0"/>
          <w:divBdr>
            <w:top w:val="none" w:sz="0" w:space="0" w:color="auto"/>
            <w:left w:val="none" w:sz="0" w:space="0" w:color="auto"/>
            <w:bottom w:val="none" w:sz="0" w:space="0" w:color="auto"/>
            <w:right w:val="none" w:sz="0" w:space="0" w:color="auto"/>
          </w:divBdr>
        </w:div>
        <w:div w:id="2070496151">
          <w:marLeft w:val="0"/>
          <w:marRight w:val="0"/>
          <w:marTop w:val="0"/>
          <w:marBottom w:val="0"/>
          <w:divBdr>
            <w:top w:val="none" w:sz="0" w:space="0" w:color="auto"/>
            <w:left w:val="none" w:sz="0" w:space="0" w:color="auto"/>
            <w:bottom w:val="none" w:sz="0" w:space="0" w:color="auto"/>
            <w:right w:val="none" w:sz="0" w:space="0" w:color="auto"/>
          </w:divBdr>
        </w:div>
        <w:div w:id="2076276981">
          <w:marLeft w:val="0"/>
          <w:marRight w:val="0"/>
          <w:marTop w:val="0"/>
          <w:marBottom w:val="0"/>
          <w:divBdr>
            <w:top w:val="none" w:sz="0" w:space="0" w:color="auto"/>
            <w:left w:val="none" w:sz="0" w:space="0" w:color="auto"/>
            <w:bottom w:val="none" w:sz="0" w:space="0" w:color="auto"/>
            <w:right w:val="none" w:sz="0" w:space="0" w:color="auto"/>
          </w:divBdr>
        </w:div>
        <w:div w:id="2083989005">
          <w:marLeft w:val="0"/>
          <w:marRight w:val="0"/>
          <w:marTop w:val="0"/>
          <w:marBottom w:val="0"/>
          <w:divBdr>
            <w:top w:val="none" w:sz="0" w:space="0" w:color="auto"/>
            <w:left w:val="none" w:sz="0" w:space="0" w:color="auto"/>
            <w:bottom w:val="none" w:sz="0" w:space="0" w:color="auto"/>
            <w:right w:val="none" w:sz="0" w:space="0" w:color="auto"/>
          </w:divBdr>
        </w:div>
        <w:div w:id="2089305246">
          <w:marLeft w:val="0"/>
          <w:marRight w:val="0"/>
          <w:marTop w:val="0"/>
          <w:marBottom w:val="0"/>
          <w:divBdr>
            <w:top w:val="none" w:sz="0" w:space="0" w:color="auto"/>
            <w:left w:val="none" w:sz="0" w:space="0" w:color="auto"/>
            <w:bottom w:val="none" w:sz="0" w:space="0" w:color="auto"/>
            <w:right w:val="none" w:sz="0" w:space="0" w:color="auto"/>
          </w:divBdr>
        </w:div>
        <w:div w:id="2094542641">
          <w:marLeft w:val="0"/>
          <w:marRight w:val="0"/>
          <w:marTop w:val="0"/>
          <w:marBottom w:val="0"/>
          <w:divBdr>
            <w:top w:val="none" w:sz="0" w:space="0" w:color="auto"/>
            <w:left w:val="none" w:sz="0" w:space="0" w:color="auto"/>
            <w:bottom w:val="none" w:sz="0" w:space="0" w:color="auto"/>
            <w:right w:val="none" w:sz="0" w:space="0" w:color="auto"/>
          </w:divBdr>
        </w:div>
        <w:div w:id="2098550036">
          <w:marLeft w:val="0"/>
          <w:marRight w:val="0"/>
          <w:marTop w:val="0"/>
          <w:marBottom w:val="0"/>
          <w:divBdr>
            <w:top w:val="none" w:sz="0" w:space="0" w:color="auto"/>
            <w:left w:val="none" w:sz="0" w:space="0" w:color="auto"/>
            <w:bottom w:val="none" w:sz="0" w:space="0" w:color="auto"/>
            <w:right w:val="none" w:sz="0" w:space="0" w:color="auto"/>
          </w:divBdr>
        </w:div>
        <w:div w:id="2117481486">
          <w:marLeft w:val="0"/>
          <w:marRight w:val="0"/>
          <w:marTop w:val="0"/>
          <w:marBottom w:val="0"/>
          <w:divBdr>
            <w:top w:val="none" w:sz="0" w:space="0" w:color="auto"/>
            <w:left w:val="none" w:sz="0" w:space="0" w:color="auto"/>
            <w:bottom w:val="none" w:sz="0" w:space="0" w:color="auto"/>
            <w:right w:val="none" w:sz="0" w:space="0" w:color="auto"/>
          </w:divBdr>
        </w:div>
      </w:divsChild>
    </w:div>
    <w:div w:id="2017726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circular-economy/indicators/monitoring-framew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S\VTP\OIP\_Odd&#283;len&#237;%20pr&#225;vn&#283;%20analytick&#233;%20podpory\Europe2020\Evropa2020_20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S\VTP\OIP\_Odd&#283;len&#237;%20pr&#225;vn&#283;%20analytick&#233;%20podpory\Europe2020\Evropa2020_202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FS\VTP\OIP\_Odd&#283;len&#237;%20pr&#225;vn&#283;%20analytick&#233;%20podpory\Europe2020\Evropa2020_2020.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solidFill>
                  <a:sysClr val="windowText" lastClr="000000"/>
                </a:solidFill>
                <a:effectLst/>
              </a:rPr>
              <a:t>Graf 7: Emise skleníkových plynů mimo systém EU ETS </a:t>
            </a:r>
          </a:p>
          <a:p>
            <a:pPr algn="ct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solidFill>
                  <a:sysClr val="windowText" lastClr="000000"/>
                </a:solidFill>
                <a:effectLst/>
              </a:rPr>
              <a:t>(% změna oproti roku 2005)</a:t>
            </a:r>
            <a:endParaRPr lang="cs-CZ" b="1">
              <a:solidFill>
                <a:sysClr val="windowText" lastClr="000000"/>
              </a:solidFill>
            </a:endParaRPr>
          </a:p>
        </c:rich>
      </c:tx>
      <c:layout>
        <c:manualLayout>
          <c:xMode val="edge"/>
          <c:yMode val="edge"/>
          <c:x val="0.14261680773049437"/>
          <c:y val="3.3152761275684527E-2"/>
        </c:manualLayout>
      </c:layout>
      <c:overlay val="0"/>
      <c:spPr>
        <a:noFill/>
        <a:ln>
          <a:noFill/>
        </a:ln>
        <a:effectLst/>
      </c:spPr>
    </c:title>
    <c:autoTitleDeleted val="0"/>
    <c:plotArea>
      <c:layout>
        <c:manualLayout>
          <c:layoutTarget val="inner"/>
          <c:xMode val="edge"/>
          <c:yMode val="edge"/>
          <c:x val="2.7415730337078652E-2"/>
          <c:y val="0.16052654543501754"/>
          <c:w val="0.9238905851054332"/>
          <c:h val="0.7390796866504219"/>
        </c:manualLayout>
      </c:layout>
      <c:lineChart>
        <c:grouping val="standard"/>
        <c:varyColors val="0"/>
        <c:ser>
          <c:idx val="0"/>
          <c:order val="0"/>
          <c:tx>
            <c:strRef>
              <c:f>NPR_ČR_Ostatní!$B$141</c:f>
              <c:strCache>
                <c:ptCount val="1"/>
                <c:pt idx="0">
                  <c:v>% změna k r. 2005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NPR_ČR_Ostatní!$C$140:$P$140</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NPR_ČR_Ostatní!$C$141:$P$141</c:f>
              <c:numCache>
                <c:formatCode>0.0</c:formatCode>
                <c:ptCount val="14"/>
                <c:pt idx="1">
                  <c:v>0.697211155378475</c:v>
                </c:pt>
                <c:pt idx="2">
                  <c:v>-3.0876494023904466</c:v>
                </c:pt>
                <c:pt idx="3">
                  <c:v>1.3944223107569635</c:v>
                </c:pt>
                <c:pt idx="4">
                  <c:v>-1.1952191235059788</c:v>
                </c:pt>
                <c:pt idx="5">
                  <c:v>0.19920318725098468</c:v>
                </c:pt>
                <c:pt idx="6">
                  <c:v>-0.79681274900399535</c:v>
                </c:pt>
                <c:pt idx="7">
                  <c:v>0.49800796812749004</c:v>
                </c:pt>
                <c:pt idx="8">
                  <c:v>-0.69721115537848877</c:v>
                </c:pt>
                <c:pt idx="9">
                  <c:v>-6.872509960159368</c:v>
                </c:pt>
                <c:pt idx="10">
                  <c:v>-0.99601593625498008</c:v>
                </c:pt>
                <c:pt idx="11">
                  <c:v>1.4940239043824699</c:v>
                </c:pt>
                <c:pt idx="12">
                  <c:v>0.79681274900398125</c:v>
                </c:pt>
                <c:pt idx="13">
                  <c:v>3.5856573705179202</c:v>
                </c:pt>
              </c:numCache>
            </c:numRef>
          </c:val>
          <c:smooth val="0"/>
          <c:extLst xmlns:c16r2="http://schemas.microsoft.com/office/drawing/2015/06/chart">
            <c:ext xmlns:c16="http://schemas.microsoft.com/office/drawing/2014/chart" uri="{C3380CC4-5D6E-409C-BE32-E72D297353CC}">
              <c16:uniqueId val="{00000000-B0B2-45D9-9E9B-60165DCD6B80}"/>
            </c:ext>
          </c:extLst>
        </c:ser>
        <c:ser>
          <c:idx val="1"/>
          <c:order val="1"/>
          <c:tx>
            <c:strRef>
              <c:f>NPR_ČR_Ostatní!$B$142</c:f>
              <c:strCache>
                <c:ptCount val="1"/>
                <c:pt idx="0">
                  <c:v>Cíl</c:v>
                </c:pt>
              </c:strCache>
            </c:strRef>
          </c:tx>
          <c:spPr>
            <a:ln w="22225" cap="rnd">
              <a:solidFill>
                <a:schemeClr val="accent1"/>
              </a:solidFill>
              <a:prstDash val="dash"/>
              <a:round/>
            </a:ln>
            <a:effectLst/>
          </c:spPr>
          <c:marker>
            <c:symbol val="none"/>
          </c:marker>
          <c:dLbls>
            <c:dLbl>
              <c:idx val="0"/>
              <c:delete val="1"/>
              <c:extLst xmlns:c16r2="http://schemas.microsoft.com/office/drawing/2015/06/chart">
                <c:ext xmlns:c16="http://schemas.microsoft.com/office/drawing/2014/chart" uri="{C3380CC4-5D6E-409C-BE32-E72D297353CC}">
                  <c16:uniqueId val="{00000001-B0B2-45D9-9E9B-60165DCD6B80}"/>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2-B0B2-45D9-9E9B-60165DCD6B80}"/>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3-B0B2-45D9-9E9B-60165DCD6B80}"/>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4-B0B2-45D9-9E9B-60165DCD6B80}"/>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5-B0B2-45D9-9E9B-60165DCD6B80}"/>
                </c:ext>
                <c:ext xmlns:c15="http://schemas.microsoft.com/office/drawing/2012/chart" uri="{CE6537A1-D6FC-4f65-9D91-7224C49458BB}"/>
              </c:extLst>
            </c:dLbl>
            <c:dLbl>
              <c:idx val="5"/>
              <c:layout>
                <c:manualLayout>
                  <c:x val="-0.33862535040262826"/>
                  <c:y val="-4.4305267468164947E-2"/>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accent1"/>
                        </a:solidFill>
                        <a:latin typeface="+mn-lt"/>
                        <a:ea typeface="+mn-ea"/>
                        <a:cs typeface="+mn-cs"/>
                      </a:defRPr>
                    </a:pPr>
                    <a:r>
                      <a:rPr lang="en-US" sz="1000" b="1"/>
                      <a:t>Cíl: </a:t>
                    </a:r>
                    <a:fld id="{185F9BF2-C31F-46B9-9DD2-5558286BBC0D}" type="VALUE">
                      <a:rPr lang="en-US" sz="1000" b="1"/>
                      <a:pPr>
                        <a:defRPr sz="1200" b="0" i="0" u="none" strike="noStrike" kern="1200" baseline="0">
                          <a:solidFill>
                            <a:schemeClr val="accent1"/>
                          </a:solidFill>
                          <a:latin typeface="+mn-lt"/>
                          <a:ea typeface="+mn-ea"/>
                          <a:cs typeface="+mn-cs"/>
                        </a:defRPr>
                      </a:pPr>
                      <a:t>[HODNOTA]</a:t>
                    </a:fld>
                    <a:r>
                      <a:rPr lang="en-US" sz="1000" b="1"/>
                      <a:t> %</a:t>
                    </a:r>
                  </a:p>
                </c:rich>
              </c:tx>
              <c:spPr>
                <a:noFill/>
                <a:ln>
                  <a:noFill/>
                </a:ln>
                <a:effectLst/>
              </c:sp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0B2-45D9-9E9B-60165DCD6B80}"/>
                </c:ext>
                <c:ext xmlns:c15="http://schemas.microsoft.com/office/drawing/2012/chart" uri="{CE6537A1-D6FC-4f65-9D91-7224C49458BB}">
                  <c15:layout>
                    <c:manualLayout>
                      <c:w val="0.11135768743192816"/>
                      <c:h val="7.0417732310315437E-2"/>
                    </c:manualLayout>
                  </c15:layout>
                  <c15:dlblFieldTable/>
                  <c15:showDataLabelsRange val="0"/>
                </c:ext>
              </c:extLst>
            </c:dLbl>
            <c:dLbl>
              <c:idx val="6"/>
              <c:delete val="1"/>
              <c:extLst xmlns:c16r2="http://schemas.microsoft.com/office/drawing/2015/06/chart">
                <c:ext xmlns:c16="http://schemas.microsoft.com/office/drawing/2014/chart" uri="{C3380CC4-5D6E-409C-BE32-E72D297353CC}">
                  <c16:uniqueId val="{00000007-B0B2-45D9-9E9B-60165DCD6B80}"/>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8-B0B2-45D9-9E9B-60165DCD6B80}"/>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9-B0B2-45D9-9E9B-60165DCD6B80}"/>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A-B0B2-45D9-9E9B-60165DCD6B80}"/>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B-B0B2-45D9-9E9B-60165DCD6B80}"/>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C-B0B2-45D9-9E9B-60165DCD6B80}"/>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D-B0B2-45D9-9E9B-60165DCD6B80}"/>
                </c:ext>
                <c:ext xmlns:c15="http://schemas.microsoft.com/office/drawing/2012/chart" uri="{CE6537A1-D6FC-4f65-9D91-7224C49458BB}"/>
              </c:extLst>
            </c:dLbl>
            <c:dLbl>
              <c:idx val="13"/>
              <c:delete val="1"/>
              <c:extLst xmlns:c16r2="http://schemas.microsoft.com/office/drawing/2015/06/chart">
                <c:ext xmlns:c16="http://schemas.microsoft.com/office/drawing/2014/chart" uri="{C3380CC4-5D6E-409C-BE32-E72D297353CC}">
                  <c16:uniqueId val="{0000000E-B0B2-45D9-9E9B-60165DCD6B8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cs-CZ"/>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NPR_ČR_Ostatní!$C$140:$P$140</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NPR_ČR_Ostatní!$C$142:$P$142</c:f>
              <c:numCache>
                <c:formatCode>General</c:formatCode>
                <c:ptCount val="14"/>
                <c:pt idx="0">
                  <c:v>9</c:v>
                </c:pt>
                <c:pt idx="1">
                  <c:v>9</c:v>
                </c:pt>
                <c:pt idx="2">
                  <c:v>9</c:v>
                </c:pt>
                <c:pt idx="3">
                  <c:v>9</c:v>
                </c:pt>
                <c:pt idx="4">
                  <c:v>9</c:v>
                </c:pt>
                <c:pt idx="5">
                  <c:v>9</c:v>
                </c:pt>
                <c:pt idx="6">
                  <c:v>9</c:v>
                </c:pt>
                <c:pt idx="7">
                  <c:v>9</c:v>
                </c:pt>
                <c:pt idx="8">
                  <c:v>9</c:v>
                </c:pt>
                <c:pt idx="9">
                  <c:v>9</c:v>
                </c:pt>
                <c:pt idx="10">
                  <c:v>9</c:v>
                </c:pt>
                <c:pt idx="11">
                  <c:v>9</c:v>
                </c:pt>
                <c:pt idx="12">
                  <c:v>9</c:v>
                </c:pt>
                <c:pt idx="13">
                  <c:v>9</c:v>
                </c:pt>
              </c:numCache>
            </c:numRef>
          </c:val>
          <c:smooth val="0"/>
          <c:extLst xmlns:c16r2="http://schemas.microsoft.com/office/drawing/2015/06/chart">
            <c:ext xmlns:c16="http://schemas.microsoft.com/office/drawing/2014/chart" uri="{C3380CC4-5D6E-409C-BE32-E72D297353CC}">
              <c16:uniqueId val="{0000000F-B0B2-45D9-9E9B-60165DCD6B80}"/>
            </c:ext>
          </c:extLst>
        </c:ser>
        <c:dLbls>
          <c:dLblPos val="t"/>
          <c:showLegendKey val="0"/>
          <c:showVal val="1"/>
          <c:showCatName val="0"/>
          <c:showSerName val="0"/>
          <c:showPercent val="0"/>
          <c:showBubbleSize val="0"/>
        </c:dLbls>
        <c:marker val="1"/>
        <c:smooth val="0"/>
        <c:axId val="704191440"/>
        <c:axId val="704191832"/>
        <c:extLst xmlns:c16r2="http://schemas.microsoft.com/office/drawing/2015/06/chart"/>
      </c:lineChart>
      <c:catAx>
        <c:axId val="70419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cs-CZ"/>
          </a:p>
        </c:txPr>
        <c:crossAx val="704191832"/>
        <c:crossesAt val="-20"/>
        <c:auto val="1"/>
        <c:lblAlgn val="ctr"/>
        <c:lblOffset val="100"/>
        <c:noMultiLvlLbl val="0"/>
      </c:catAx>
      <c:valAx>
        <c:axId val="704191832"/>
        <c:scaling>
          <c:orientation val="minMax"/>
          <c:max val="11"/>
          <c:min val="-7"/>
        </c:scaling>
        <c:delete val="0"/>
        <c:axPos val="r"/>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04191440"/>
        <c:crosses val="max"/>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solidFill>
                  <a:sysClr val="windowText" lastClr="000000"/>
                </a:solidFill>
                <a:effectLst/>
              </a:rPr>
              <a:t>Graf 8: Podíl OZE na hrubé konečné spotřebě energie  (v %)</a:t>
            </a:r>
            <a:r>
              <a:rPr lang="cs-CZ" sz="1400" b="0" i="0" u="none" strike="noStrike" baseline="0">
                <a:solidFill>
                  <a:sysClr val="windowText" lastClr="000000"/>
                </a:solidFill>
              </a:rPr>
              <a:t> </a:t>
            </a:r>
            <a:endParaRPr lang="cs-CZ">
              <a:solidFill>
                <a:sysClr val="windowText" lastClr="000000"/>
              </a:solidFill>
            </a:endParaRPr>
          </a:p>
        </c:rich>
      </c:tx>
      <c:overlay val="0"/>
      <c:spPr>
        <a:noFill/>
        <a:ln>
          <a:noFill/>
        </a:ln>
        <a:effectLst/>
      </c:spPr>
    </c:title>
    <c:autoTitleDeleted val="0"/>
    <c:plotArea>
      <c:layout>
        <c:manualLayout>
          <c:layoutTarget val="inner"/>
          <c:xMode val="edge"/>
          <c:yMode val="edge"/>
          <c:x val="6.0113735783027124E-2"/>
          <c:y val="0.13401987353206868"/>
          <c:w val="0.9190529308836396"/>
          <c:h val="0.70503154585351624"/>
        </c:manualLayout>
      </c:layout>
      <c:lineChart>
        <c:grouping val="standard"/>
        <c:varyColors val="0"/>
        <c:ser>
          <c:idx val="0"/>
          <c:order val="0"/>
          <c:tx>
            <c:strRef>
              <c:f>NPR_ČR_Ostatní!$B$174</c:f>
              <c:strCache>
                <c:ptCount val="1"/>
                <c:pt idx="0">
                  <c:v>Celkem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NPR_ČR_Ostatní!$C$173:$Q$173</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NPR_ČR_Ostatní!$C$174:$Q$174</c:f>
              <c:numCache>
                <c:formatCode>0.0</c:formatCode>
                <c:ptCount val="15"/>
                <c:pt idx="0">
                  <c:v>6.8550000000000004</c:v>
                </c:pt>
                <c:pt idx="1">
                  <c:v>7.0940000000000003</c:v>
                </c:pt>
                <c:pt idx="2">
                  <c:v>7.3890000000000002</c:v>
                </c:pt>
                <c:pt idx="3">
                  <c:v>7.9560000000000004</c:v>
                </c:pt>
                <c:pt idx="4">
                  <c:v>8.6259999999999994</c:v>
                </c:pt>
                <c:pt idx="5">
                  <c:v>9.9220000000000006</c:v>
                </c:pt>
                <c:pt idx="6">
                  <c:v>10.523</c:v>
                </c:pt>
                <c:pt idx="7">
                  <c:v>10.952</c:v>
                </c:pt>
                <c:pt idx="8">
                  <c:v>12.826000000000001</c:v>
                </c:pt>
                <c:pt idx="9">
                  <c:v>13.893000000000001</c:v>
                </c:pt>
                <c:pt idx="10">
                  <c:v>15.032999999999999</c:v>
                </c:pt>
                <c:pt idx="11">
                  <c:v>15.022</c:v>
                </c:pt>
                <c:pt idx="12">
                  <c:v>14.871</c:v>
                </c:pt>
                <c:pt idx="13">
                  <c:v>14.76</c:v>
                </c:pt>
                <c:pt idx="14" formatCode="#,##0.00">
                  <c:v>15.15</c:v>
                </c:pt>
              </c:numCache>
            </c:numRef>
          </c:val>
          <c:smooth val="0"/>
          <c:extLst xmlns:c16r2="http://schemas.microsoft.com/office/drawing/2015/06/chart">
            <c:ext xmlns:c16="http://schemas.microsoft.com/office/drawing/2014/chart" uri="{C3380CC4-5D6E-409C-BE32-E72D297353CC}">
              <c16:uniqueId val="{00000000-DD8A-46C0-9DBC-460EC4D5E7BD}"/>
            </c:ext>
          </c:extLst>
        </c:ser>
        <c:ser>
          <c:idx val="1"/>
          <c:order val="1"/>
          <c:tx>
            <c:strRef>
              <c:f>NPR_ČR_Ostatní!$B$175</c:f>
              <c:strCache>
                <c:ptCount val="1"/>
                <c:pt idx="0">
                  <c:v>Cíl_celkem</c:v>
                </c:pt>
              </c:strCache>
            </c:strRef>
          </c:tx>
          <c:spPr>
            <a:ln w="22225" cap="rnd">
              <a:solidFill>
                <a:schemeClr val="accent1">
                  <a:lumMod val="75000"/>
                </a:schemeClr>
              </a:solidFill>
              <a:prstDash val="dash"/>
              <a:round/>
            </a:ln>
            <a:effectLst/>
          </c:spPr>
          <c:marker>
            <c:symbol val="none"/>
          </c:marker>
          <c:cat>
            <c:numRef>
              <c:f>NPR_ČR_Ostatní!$C$173:$Q$173</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NPR_ČR_Ostatní!$C$175:$Q$175</c:f>
              <c:numCache>
                <c:formatCode>General</c:formatCode>
                <c:ptCount val="15"/>
                <c:pt idx="0">
                  <c:v>13</c:v>
                </c:pt>
                <c:pt idx="1">
                  <c:v>13</c:v>
                </c:pt>
                <c:pt idx="2">
                  <c:v>13</c:v>
                </c:pt>
                <c:pt idx="3">
                  <c:v>13</c:v>
                </c:pt>
                <c:pt idx="4">
                  <c:v>13</c:v>
                </c:pt>
                <c:pt idx="5">
                  <c:v>13</c:v>
                </c:pt>
                <c:pt idx="6">
                  <c:v>13</c:v>
                </c:pt>
                <c:pt idx="7">
                  <c:v>13</c:v>
                </c:pt>
                <c:pt idx="8">
                  <c:v>13</c:v>
                </c:pt>
                <c:pt idx="9">
                  <c:v>13</c:v>
                </c:pt>
                <c:pt idx="10">
                  <c:v>13</c:v>
                </c:pt>
                <c:pt idx="11">
                  <c:v>13</c:v>
                </c:pt>
                <c:pt idx="12">
                  <c:v>13</c:v>
                </c:pt>
                <c:pt idx="13">
                  <c:v>13</c:v>
                </c:pt>
                <c:pt idx="14">
                  <c:v>13</c:v>
                </c:pt>
              </c:numCache>
            </c:numRef>
          </c:val>
          <c:smooth val="0"/>
          <c:extLst xmlns:c16r2="http://schemas.microsoft.com/office/drawing/2015/06/chart">
            <c:ext xmlns:c16="http://schemas.microsoft.com/office/drawing/2014/chart" uri="{C3380CC4-5D6E-409C-BE32-E72D297353CC}">
              <c16:uniqueId val="{00000001-DD8A-46C0-9DBC-460EC4D5E7BD}"/>
            </c:ext>
          </c:extLst>
        </c:ser>
        <c:ser>
          <c:idx val="2"/>
          <c:order val="2"/>
          <c:tx>
            <c:strRef>
              <c:f>NPR_ČR_Ostatní!$B$176</c:f>
              <c:strCache>
                <c:ptCount val="1"/>
                <c:pt idx="0">
                  <c:v>Doprava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NPR_ČR_Ostatní!$C$173:$Q$173</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NPR_ČR_Ostatní!$C$176:$Q$176</c:f>
              <c:numCache>
                <c:formatCode>#,##0.00</c:formatCode>
                <c:ptCount val="15"/>
                <c:pt idx="0">
                  <c:v>1.085</c:v>
                </c:pt>
                <c:pt idx="1">
                  <c:v>0.99099999999999999</c:v>
                </c:pt>
                <c:pt idx="2">
                  <c:v>0.96799999999999997</c:v>
                </c:pt>
                <c:pt idx="3">
                  <c:v>0.94799999999999995</c:v>
                </c:pt>
                <c:pt idx="4">
                  <c:v>2.7490000000000001</c:v>
                </c:pt>
                <c:pt idx="5">
                  <c:v>4.2190000000000003</c:v>
                </c:pt>
                <c:pt idx="6">
                  <c:v>5.1239999999999997</c:v>
                </c:pt>
                <c:pt idx="7">
                  <c:v>1.181</c:v>
                </c:pt>
                <c:pt idx="8">
                  <c:v>6.1479999999999997</c:v>
                </c:pt>
                <c:pt idx="9">
                  <c:v>6.3440000000000003</c:v>
                </c:pt>
                <c:pt idx="10">
                  <c:v>6.9009999999999998</c:v>
                </c:pt>
                <c:pt idx="11">
                  <c:v>6.4530000000000003</c:v>
                </c:pt>
                <c:pt idx="12">
                  <c:v>6.4279999999999999</c:v>
                </c:pt>
                <c:pt idx="13">
                  <c:v>6.569</c:v>
                </c:pt>
                <c:pt idx="14">
                  <c:v>6.524</c:v>
                </c:pt>
              </c:numCache>
            </c:numRef>
          </c:val>
          <c:smooth val="0"/>
          <c:extLst xmlns:c16r2="http://schemas.microsoft.com/office/drawing/2015/06/chart">
            <c:ext xmlns:c16="http://schemas.microsoft.com/office/drawing/2014/chart" uri="{C3380CC4-5D6E-409C-BE32-E72D297353CC}">
              <c16:uniqueId val="{00000002-DD8A-46C0-9DBC-460EC4D5E7BD}"/>
            </c:ext>
          </c:extLst>
        </c:ser>
        <c:ser>
          <c:idx val="3"/>
          <c:order val="3"/>
          <c:tx>
            <c:strRef>
              <c:f>NPR_ČR_Ostatní!$B$177</c:f>
              <c:strCache>
                <c:ptCount val="1"/>
                <c:pt idx="0">
                  <c:v>Cíl_doprava</c:v>
                </c:pt>
              </c:strCache>
            </c:strRef>
          </c:tx>
          <c:spPr>
            <a:ln w="22225" cap="rnd">
              <a:solidFill>
                <a:schemeClr val="accent3"/>
              </a:solidFill>
              <a:prstDash val="dash"/>
              <a:round/>
            </a:ln>
            <a:effectLst/>
          </c:spPr>
          <c:marker>
            <c:symbol val="none"/>
          </c:marker>
          <c:cat>
            <c:numRef>
              <c:f>NPR_ČR_Ostatní!$C$173:$Q$173</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NPR_ČR_Ostatní!$C$177:$Q$177</c:f>
              <c:numCache>
                <c:formatCode>#,##0.00</c:formatCode>
                <c:ptCount val="15"/>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numCache>
            </c:numRef>
          </c:val>
          <c:smooth val="0"/>
          <c:extLst xmlns:c16r2="http://schemas.microsoft.com/office/drawing/2015/06/chart">
            <c:ext xmlns:c16="http://schemas.microsoft.com/office/drawing/2014/chart" uri="{C3380CC4-5D6E-409C-BE32-E72D297353CC}">
              <c16:uniqueId val="{00000003-DD8A-46C0-9DBC-460EC4D5E7BD}"/>
            </c:ext>
          </c:extLst>
        </c:ser>
        <c:dLbls>
          <c:showLegendKey val="0"/>
          <c:showVal val="0"/>
          <c:showCatName val="0"/>
          <c:showSerName val="0"/>
          <c:showPercent val="0"/>
          <c:showBubbleSize val="0"/>
        </c:dLbls>
        <c:marker val="1"/>
        <c:smooth val="0"/>
        <c:axId val="704195360"/>
        <c:axId val="704193400"/>
      </c:lineChart>
      <c:catAx>
        <c:axId val="70419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cs-CZ"/>
          </a:p>
        </c:txPr>
        <c:crossAx val="704193400"/>
        <c:crosses val="autoZero"/>
        <c:auto val="1"/>
        <c:lblAlgn val="ctr"/>
        <c:lblOffset val="100"/>
        <c:noMultiLvlLbl val="0"/>
      </c:catAx>
      <c:valAx>
        <c:axId val="704193400"/>
        <c:scaling>
          <c:orientation val="minMax"/>
          <c:max val="17"/>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04195360"/>
        <c:crosses val="autoZero"/>
        <c:crossBetween val="between"/>
        <c:majorUnit val="1"/>
      </c:valAx>
      <c:spPr>
        <a:solidFill>
          <a:schemeClr val="bg1"/>
        </a:solidFill>
        <a:ln>
          <a:solidFill>
            <a:schemeClr val="accent1"/>
          </a:solid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cs-CZ"/>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600" b="1">
                <a:solidFill>
                  <a:sysClr val="windowText" lastClr="000000"/>
                </a:solidFill>
              </a:rPr>
              <a:t>Graf 9: Konečná spotřeba energie v (mil. tun ropného ekvivalentu)</a:t>
            </a:r>
          </a:p>
        </c:rich>
      </c:tx>
      <c:overlay val="0"/>
      <c:spPr>
        <a:noFill/>
        <a:ln>
          <a:noFill/>
        </a:ln>
        <a:effectLst/>
      </c:spPr>
    </c:title>
    <c:autoTitleDeleted val="0"/>
    <c:plotArea>
      <c:layout>
        <c:manualLayout>
          <c:layoutTarget val="inner"/>
          <c:xMode val="edge"/>
          <c:yMode val="edge"/>
          <c:x val="6.6222550910417982E-2"/>
          <c:y val="0.17642093745725954"/>
          <c:w val="0.91413349574397118"/>
          <c:h val="0.6936303185426882"/>
        </c:manualLayout>
      </c:layout>
      <c:lineChart>
        <c:grouping val="standard"/>
        <c:varyColors val="0"/>
        <c:ser>
          <c:idx val="0"/>
          <c:order val="0"/>
          <c:tx>
            <c:strRef>
              <c:f>NPR_ČR_Ostatní!$B$233</c:f>
              <c:strCache>
                <c:ptCount val="1"/>
                <c:pt idx="0">
                  <c:v>CZ</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NPR_ČR_Ostatní!$C$232:$U$232</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NPR_ČR_Ostatní!$C$233:$U$233</c:f>
              <c:numCache>
                <c:formatCode>General</c:formatCode>
                <c:ptCount val="19"/>
                <c:pt idx="0">
                  <c:v>25.05</c:v>
                </c:pt>
                <c:pt idx="1">
                  <c:v>25.5</c:v>
                </c:pt>
                <c:pt idx="2">
                  <c:v>25</c:v>
                </c:pt>
                <c:pt idx="3">
                  <c:v>26.22</c:v>
                </c:pt>
                <c:pt idx="4">
                  <c:v>26.63</c:v>
                </c:pt>
                <c:pt idx="5">
                  <c:v>26.29</c:v>
                </c:pt>
                <c:pt idx="6">
                  <c:v>26.7</c:v>
                </c:pt>
                <c:pt idx="7">
                  <c:v>26.24</c:v>
                </c:pt>
                <c:pt idx="8">
                  <c:v>26.09</c:v>
                </c:pt>
                <c:pt idx="9">
                  <c:v>25.1</c:v>
                </c:pt>
                <c:pt idx="10">
                  <c:v>25.25</c:v>
                </c:pt>
                <c:pt idx="11">
                  <c:v>24.46</c:v>
                </c:pt>
                <c:pt idx="12">
                  <c:v>24.41</c:v>
                </c:pt>
                <c:pt idx="13">
                  <c:v>24.21</c:v>
                </c:pt>
                <c:pt idx="14">
                  <c:v>23.58</c:v>
                </c:pt>
                <c:pt idx="15">
                  <c:v>24.2</c:v>
                </c:pt>
                <c:pt idx="16">
                  <c:v>24.82</c:v>
                </c:pt>
                <c:pt idx="17">
                  <c:v>25.49</c:v>
                </c:pt>
                <c:pt idx="18">
                  <c:v>25.32</c:v>
                </c:pt>
              </c:numCache>
            </c:numRef>
          </c:val>
          <c:smooth val="0"/>
          <c:extLst xmlns:c16r2="http://schemas.microsoft.com/office/drawing/2015/06/chart">
            <c:ext xmlns:c16="http://schemas.microsoft.com/office/drawing/2014/chart" uri="{C3380CC4-5D6E-409C-BE32-E72D297353CC}">
              <c16:uniqueId val="{00000000-E4C4-4862-B2CD-928F10C9CA46}"/>
            </c:ext>
          </c:extLst>
        </c:ser>
        <c:ser>
          <c:idx val="1"/>
          <c:order val="1"/>
          <c:tx>
            <c:strRef>
              <c:f>NPR_ČR_Ostatní!$B$234</c:f>
              <c:strCache>
                <c:ptCount val="1"/>
                <c:pt idx="0">
                  <c:v>Cíl</c:v>
                </c:pt>
              </c:strCache>
            </c:strRef>
          </c:tx>
          <c:spPr>
            <a:ln w="22225" cap="rnd">
              <a:solidFill>
                <a:schemeClr val="accent1">
                  <a:lumMod val="75000"/>
                </a:schemeClr>
              </a:solidFill>
              <a:prstDash val="dash"/>
              <a:round/>
            </a:ln>
            <a:effectLst/>
          </c:spPr>
          <c:marker>
            <c:symbol val="none"/>
          </c:marker>
          <c:dLbls>
            <c:delete val="1"/>
          </c:dLbls>
          <c:cat>
            <c:numRef>
              <c:f>NPR_ČR_Ostatní!$C$232:$U$232</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NPR_ČR_Ostatní!$C$234:$U$234</c:f>
              <c:numCache>
                <c:formatCode>General</c:formatCode>
                <c:ptCount val="19"/>
                <c:pt idx="0">
                  <c:v>25.3</c:v>
                </c:pt>
                <c:pt idx="1">
                  <c:v>25.3</c:v>
                </c:pt>
                <c:pt idx="2">
                  <c:v>25.3</c:v>
                </c:pt>
                <c:pt idx="3">
                  <c:v>25.3</c:v>
                </c:pt>
                <c:pt idx="4">
                  <c:v>25.3</c:v>
                </c:pt>
                <c:pt idx="5">
                  <c:v>25.3</c:v>
                </c:pt>
                <c:pt idx="6">
                  <c:v>25.3</c:v>
                </c:pt>
                <c:pt idx="7">
                  <c:v>25.3</c:v>
                </c:pt>
                <c:pt idx="8">
                  <c:v>25.3</c:v>
                </c:pt>
                <c:pt idx="9">
                  <c:v>25.3</c:v>
                </c:pt>
                <c:pt idx="10">
                  <c:v>25.3</c:v>
                </c:pt>
                <c:pt idx="11">
                  <c:v>25.3</c:v>
                </c:pt>
                <c:pt idx="12">
                  <c:v>25.3</c:v>
                </c:pt>
                <c:pt idx="13">
                  <c:v>25.3</c:v>
                </c:pt>
                <c:pt idx="14">
                  <c:v>25.3</c:v>
                </c:pt>
                <c:pt idx="15">
                  <c:v>25.3</c:v>
                </c:pt>
                <c:pt idx="16">
                  <c:v>25.3</c:v>
                </c:pt>
                <c:pt idx="17">
                  <c:v>25.3</c:v>
                </c:pt>
                <c:pt idx="18">
                  <c:v>25.3</c:v>
                </c:pt>
              </c:numCache>
            </c:numRef>
          </c:val>
          <c:smooth val="0"/>
          <c:extLst xmlns:c16r2="http://schemas.microsoft.com/office/drawing/2015/06/chart">
            <c:ext xmlns:c16="http://schemas.microsoft.com/office/drawing/2014/chart" uri="{C3380CC4-5D6E-409C-BE32-E72D297353CC}">
              <c16:uniqueId val="{00000001-E4C4-4862-B2CD-928F10C9CA46}"/>
            </c:ext>
          </c:extLst>
        </c:ser>
        <c:dLbls>
          <c:dLblPos val="t"/>
          <c:showLegendKey val="0"/>
          <c:showVal val="1"/>
          <c:showCatName val="0"/>
          <c:showSerName val="0"/>
          <c:showPercent val="0"/>
          <c:showBubbleSize val="0"/>
        </c:dLbls>
        <c:marker val="1"/>
        <c:smooth val="0"/>
        <c:axId val="711561104"/>
        <c:axId val="711568944"/>
      </c:lineChart>
      <c:catAx>
        <c:axId val="71156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cs-CZ"/>
          </a:p>
        </c:txPr>
        <c:crossAx val="711568944"/>
        <c:crosses val="autoZero"/>
        <c:auto val="1"/>
        <c:lblAlgn val="ctr"/>
        <c:lblOffset val="100"/>
        <c:noMultiLvlLbl val="0"/>
      </c:catAx>
      <c:valAx>
        <c:axId val="711568944"/>
        <c:scaling>
          <c:orientation val="minMax"/>
          <c:max val="28"/>
          <c:min val="2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11561104"/>
        <c:crosses val="autoZero"/>
        <c:crossBetween val="between"/>
      </c:valAx>
      <c:spPr>
        <a:noFill/>
        <a:ln>
          <a:solidFill>
            <a:schemeClr val="accent1"/>
          </a:solid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cs-CZ"/>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0.07532</cdr:x>
      <cdr:y>0.23848</cdr:y>
    </cdr:from>
    <cdr:to>
      <cdr:x>0.31288</cdr:x>
      <cdr:y>0.31436</cdr:y>
    </cdr:to>
    <cdr:sp macro="" textlink="">
      <cdr:nvSpPr>
        <cdr:cNvPr id="2" name="TextovéPole 1"/>
        <cdr:cNvSpPr txBox="1"/>
      </cdr:nvSpPr>
      <cdr:spPr>
        <a:xfrm xmlns:a="http://schemas.openxmlformats.org/drawingml/2006/main">
          <a:off x="428294" y="838194"/>
          <a:ext cx="1350867" cy="2666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cs-CZ" sz="1000" b="1">
              <a:solidFill>
                <a:schemeClr val="accent1">
                  <a:lumMod val="75000"/>
                </a:schemeClr>
              </a:solidFill>
            </a:rPr>
            <a:t>Cíl_celkem: </a:t>
          </a:r>
          <a:r>
            <a:rPr lang="en-US" sz="1000" b="1">
              <a:solidFill>
                <a:schemeClr val="accent1">
                  <a:lumMod val="75000"/>
                </a:schemeClr>
              </a:solidFill>
            </a:rPr>
            <a:t>13</a:t>
          </a:r>
          <a:r>
            <a:rPr lang="cs-CZ" sz="1000" b="1">
              <a:solidFill>
                <a:schemeClr val="accent1">
                  <a:lumMod val="75000"/>
                </a:schemeClr>
              </a:solidFill>
            </a:rPr>
            <a:t> %</a:t>
          </a:r>
        </a:p>
      </cdr:txBody>
    </cdr:sp>
  </cdr:relSizeAnchor>
  <cdr:relSizeAnchor xmlns:cdr="http://schemas.openxmlformats.org/drawingml/2006/chartDrawing">
    <cdr:from>
      <cdr:x>0.05472</cdr:x>
      <cdr:y>0.36134</cdr:y>
    </cdr:from>
    <cdr:to>
      <cdr:x>0.3457</cdr:x>
      <cdr:y>0.43722</cdr:y>
    </cdr:to>
    <cdr:sp macro="" textlink="">
      <cdr:nvSpPr>
        <cdr:cNvPr id="3" name="TextovéPole 1"/>
        <cdr:cNvSpPr txBox="1"/>
      </cdr:nvSpPr>
      <cdr:spPr>
        <a:xfrm xmlns:a="http://schemas.openxmlformats.org/drawingml/2006/main">
          <a:off x="311154" y="1270011"/>
          <a:ext cx="1654636" cy="2666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cs-CZ" sz="1000" b="1">
              <a:solidFill>
                <a:schemeClr val="accent3"/>
              </a:solidFill>
            </a:rPr>
            <a:t>Cíl_doprava: </a:t>
          </a:r>
          <a:r>
            <a:rPr lang="en-US" sz="1000" b="1">
              <a:solidFill>
                <a:schemeClr val="accent3"/>
              </a:solidFill>
            </a:rPr>
            <a:t>1</a:t>
          </a:r>
          <a:r>
            <a:rPr lang="cs-CZ" sz="1000" b="1">
              <a:solidFill>
                <a:schemeClr val="accent3"/>
              </a:solidFill>
            </a:rPr>
            <a:t>0 %</a:t>
          </a:r>
        </a:p>
      </cdr:txBody>
    </cdr:sp>
  </cdr:relSizeAnchor>
</c:userShapes>
</file>

<file path=word/drawings/drawing2.xml><?xml version="1.0" encoding="utf-8"?>
<c:userShapes xmlns:c="http://schemas.openxmlformats.org/drawingml/2006/chart">
  <cdr:relSizeAnchor xmlns:cdr="http://schemas.openxmlformats.org/drawingml/2006/chartDrawing">
    <cdr:from>
      <cdr:x>0.67204</cdr:x>
      <cdr:y>0.43902</cdr:y>
    </cdr:from>
    <cdr:to>
      <cdr:x>0.81383</cdr:x>
      <cdr:y>0.5149</cdr:y>
    </cdr:to>
    <cdr:sp macro="" textlink="">
      <cdr:nvSpPr>
        <cdr:cNvPr id="2" name="TextovéPole 1"/>
        <cdr:cNvSpPr txBox="1"/>
      </cdr:nvSpPr>
      <cdr:spPr>
        <a:xfrm xmlns:a="http://schemas.openxmlformats.org/drawingml/2006/main">
          <a:off x="3955901" y="1543038"/>
          <a:ext cx="834698" cy="2666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cs-CZ" sz="1000" b="1">
              <a:solidFill>
                <a:schemeClr val="accent1">
                  <a:lumMod val="75000"/>
                </a:schemeClr>
              </a:solidFill>
            </a:rPr>
            <a:t>Cíl </a:t>
          </a:r>
          <a:r>
            <a:rPr lang="en-US" sz="1000" b="1">
              <a:solidFill>
                <a:schemeClr val="accent1">
                  <a:lumMod val="75000"/>
                </a:schemeClr>
              </a:solidFill>
            </a:rPr>
            <a:t>25.3</a:t>
          </a:r>
          <a:endParaRPr lang="cs-CZ" sz="1000" b="1">
            <a:solidFill>
              <a:schemeClr val="accent1">
                <a:lumMod val="75000"/>
              </a:schemeClr>
            </a:solidFill>
          </a:endParaRPr>
        </a:p>
      </cdr:txBody>
    </cdr:sp>
  </cdr:relSizeAnchor>
</c:userShape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73F5-BE23-49AF-BDEB-D8233C17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5114</Words>
  <Characters>30179</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35223</CharactersWithSpaces>
  <SharedDoc>false</SharedDoc>
  <HLinks>
    <vt:vector size="210" baseType="variant">
      <vt:variant>
        <vt:i4>1245234</vt:i4>
      </vt:variant>
      <vt:variant>
        <vt:i4>206</vt:i4>
      </vt:variant>
      <vt:variant>
        <vt:i4>0</vt:i4>
      </vt:variant>
      <vt:variant>
        <vt:i4>5</vt:i4>
      </vt:variant>
      <vt:variant>
        <vt:lpwstr/>
      </vt:variant>
      <vt:variant>
        <vt:lpwstr>_Toc30514005</vt:lpwstr>
      </vt:variant>
      <vt:variant>
        <vt:i4>1179698</vt:i4>
      </vt:variant>
      <vt:variant>
        <vt:i4>200</vt:i4>
      </vt:variant>
      <vt:variant>
        <vt:i4>0</vt:i4>
      </vt:variant>
      <vt:variant>
        <vt:i4>5</vt:i4>
      </vt:variant>
      <vt:variant>
        <vt:lpwstr/>
      </vt:variant>
      <vt:variant>
        <vt:lpwstr>_Toc30514004</vt:lpwstr>
      </vt:variant>
      <vt:variant>
        <vt:i4>1376306</vt:i4>
      </vt:variant>
      <vt:variant>
        <vt:i4>194</vt:i4>
      </vt:variant>
      <vt:variant>
        <vt:i4>0</vt:i4>
      </vt:variant>
      <vt:variant>
        <vt:i4>5</vt:i4>
      </vt:variant>
      <vt:variant>
        <vt:lpwstr/>
      </vt:variant>
      <vt:variant>
        <vt:lpwstr>_Toc30514003</vt:lpwstr>
      </vt:variant>
      <vt:variant>
        <vt:i4>1310770</vt:i4>
      </vt:variant>
      <vt:variant>
        <vt:i4>188</vt:i4>
      </vt:variant>
      <vt:variant>
        <vt:i4>0</vt:i4>
      </vt:variant>
      <vt:variant>
        <vt:i4>5</vt:i4>
      </vt:variant>
      <vt:variant>
        <vt:lpwstr/>
      </vt:variant>
      <vt:variant>
        <vt:lpwstr>_Toc30514002</vt:lpwstr>
      </vt:variant>
      <vt:variant>
        <vt:i4>1507378</vt:i4>
      </vt:variant>
      <vt:variant>
        <vt:i4>182</vt:i4>
      </vt:variant>
      <vt:variant>
        <vt:i4>0</vt:i4>
      </vt:variant>
      <vt:variant>
        <vt:i4>5</vt:i4>
      </vt:variant>
      <vt:variant>
        <vt:lpwstr/>
      </vt:variant>
      <vt:variant>
        <vt:lpwstr>_Toc30514001</vt:lpwstr>
      </vt:variant>
      <vt:variant>
        <vt:i4>1441842</vt:i4>
      </vt:variant>
      <vt:variant>
        <vt:i4>176</vt:i4>
      </vt:variant>
      <vt:variant>
        <vt:i4>0</vt:i4>
      </vt:variant>
      <vt:variant>
        <vt:i4>5</vt:i4>
      </vt:variant>
      <vt:variant>
        <vt:lpwstr/>
      </vt:variant>
      <vt:variant>
        <vt:lpwstr>_Toc30514000</vt:lpwstr>
      </vt:variant>
      <vt:variant>
        <vt:i4>1441852</vt:i4>
      </vt:variant>
      <vt:variant>
        <vt:i4>170</vt:i4>
      </vt:variant>
      <vt:variant>
        <vt:i4>0</vt:i4>
      </vt:variant>
      <vt:variant>
        <vt:i4>5</vt:i4>
      </vt:variant>
      <vt:variant>
        <vt:lpwstr/>
      </vt:variant>
      <vt:variant>
        <vt:lpwstr>_Toc30513999</vt:lpwstr>
      </vt:variant>
      <vt:variant>
        <vt:i4>1507388</vt:i4>
      </vt:variant>
      <vt:variant>
        <vt:i4>164</vt:i4>
      </vt:variant>
      <vt:variant>
        <vt:i4>0</vt:i4>
      </vt:variant>
      <vt:variant>
        <vt:i4>5</vt:i4>
      </vt:variant>
      <vt:variant>
        <vt:lpwstr/>
      </vt:variant>
      <vt:variant>
        <vt:lpwstr>_Toc30513998</vt:lpwstr>
      </vt:variant>
      <vt:variant>
        <vt:i4>1572924</vt:i4>
      </vt:variant>
      <vt:variant>
        <vt:i4>158</vt:i4>
      </vt:variant>
      <vt:variant>
        <vt:i4>0</vt:i4>
      </vt:variant>
      <vt:variant>
        <vt:i4>5</vt:i4>
      </vt:variant>
      <vt:variant>
        <vt:lpwstr/>
      </vt:variant>
      <vt:variant>
        <vt:lpwstr>_Toc30513997</vt:lpwstr>
      </vt:variant>
      <vt:variant>
        <vt:i4>1638460</vt:i4>
      </vt:variant>
      <vt:variant>
        <vt:i4>152</vt:i4>
      </vt:variant>
      <vt:variant>
        <vt:i4>0</vt:i4>
      </vt:variant>
      <vt:variant>
        <vt:i4>5</vt:i4>
      </vt:variant>
      <vt:variant>
        <vt:lpwstr/>
      </vt:variant>
      <vt:variant>
        <vt:lpwstr>_Toc30513996</vt:lpwstr>
      </vt:variant>
      <vt:variant>
        <vt:i4>1703996</vt:i4>
      </vt:variant>
      <vt:variant>
        <vt:i4>146</vt:i4>
      </vt:variant>
      <vt:variant>
        <vt:i4>0</vt:i4>
      </vt:variant>
      <vt:variant>
        <vt:i4>5</vt:i4>
      </vt:variant>
      <vt:variant>
        <vt:lpwstr/>
      </vt:variant>
      <vt:variant>
        <vt:lpwstr>_Toc30513995</vt:lpwstr>
      </vt:variant>
      <vt:variant>
        <vt:i4>1769532</vt:i4>
      </vt:variant>
      <vt:variant>
        <vt:i4>140</vt:i4>
      </vt:variant>
      <vt:variant>
        <vt:i4>0</vt:i4>
      </vt:variant>
      <vt:variant>
        <vt:i4>5</vt:i4>
      </vt:variant>
      <vt:variant>
        <vt:lpwstr/>
      </vt:variant>
      <vt:variant>
        <vt:lpwstr>_Toc30513994</vt:lpwstr>
      </vt:variant>
      <vt:variant>
        <vt:i4>1835068</vt:i4>
      </vt:variant>
      <vt:variant>
        <vt:i4>134</vt:i4>
      </vt:variant>
      <vt:variant>
        <vt:i4>0</vt:i4>
      </vt:variant>
      <vt:variant>
        <vt:i4>5</vt:i4>
      </vt:variant>
      <vt:variant>
        <vt:lpwstr/>
      </vt:variant>
      <vt:variant>
        <vt:lpwstr>_Toc30513993</vt:lpwstr>
      </vt:variant>
      <vt:variant>
        <vt:i4>1900604</vt:i4>
      </vt:variant>
      <vt:variant>
        <vt:i4>128</vt:i4>
      </vt:variant>
      <vt:variant>
        <vt:i4>0</vt:i4>
      </vt:variant>
      <vt:variant>
        <vt:i4>5</vt:i4>
      </vt:variant>
      <vt:variant>
        <vt:lpwstr/>
      </vt:variant>
      <vt:variant>
        <vt:lpwstr>_Toc30513992</vt:lpwstr>
      </vt:variant>
      <vt:variant>
        <vt:i4>1966140</vt:i4>
      </vt:variant>
      <vt:variant>
        <vt:i4>122</vt:i4>
      </vt:variant>
      <vt:variant>
        <vt:i4>0</vt:i4>
      </vt:variant>
      <vt:variant>
        <vt:i4>5</vt:i4>
      </vt:variant>
      <vt:variant>
        <vt:lpwstr/>
      </vt:variant>
      <vt:variant>
        <vt:lpwstr>_Toc30513991</vt:lpwstr>
      </vt:variant>
      <vt:variant>
        <vt:i4>2031676</vt:i4>
      </vt:variant>
      <vt:variant>
        <vt:i4>116</vt:i4>
      </vt:variant>
      <vt:variant>
        <vt:i4>0</vt:i4>
      </vt:variant>
      <vt:variant>
        <vt:i4>5</vt:i4>
      </vt:variant>
      <vt:variant>
        <vt:lpwstr/>
      </vt:variant>
      <vt:variant>
        <vt:lpwstr>_Toc30513990</vt:lpwstr>
      </vt:variant>
      <vt:variant>
        <vt:i4>1441853</vt:i4>
      </vt:variant>
      <vt:variant>
        <vt:i4>110</vt:i4>
      </vt:variant>
      <vt:variant>
        <vt:i4>0</vt:i4>
      </vt:variant>
      <vt:variant>
        <vt:i4>5</vt:i4>
      </vt:variant>
      <vt:variant>
        <vt:lpwstr/>
      </vt:variant>
      <vt:variant>
        <vt:lpwstr>_Toc30513989</vt:lpwstr>
      </vt:variant>
      <vt:variant>
        <vt:i4>1507389</vt:i4>
      </vt:variant>
      <vt:variant>
        <vt:i4>104</vt:i4>
      </vt:variant>
      <vt:variant>
        <vt:i4>0</vt:i4>
      </vt:variant>
      <vt:variant>
        <vt:i4>5</vt:i4>
      </vt:variant>
      <vt:variant>
        <vt:lpwstr/>
      </vt:variant>
      <vt:variant>
        <vt:lpwstr>_Toc30513988</vt:lpwstr>
      </vt:variant>
      <vt:variant>
        <vt:i4>1572925</vt:i4>
      </vt:variant>
      <vt:variant>
        <vt:i4>98</vt:i4>
      </vt:variant>
      <vt:variant>
        <vt:i4>0</vt:i4>
      </vt:variant>
      <vt:variant>
        <vt:i4>5</vt:i4>
      </vt:variant>
      <vt:variant>
        <vt:lpwstr/>
      </vt:variant>
      <vt:variant>
        <vt:lpwstr>_Toc30513987</vt:lpwstr>
      </vt:variant>
      <vt:variant>
        <vt:i4>1638461</vt:i4>
      </vt:variant>
      <vt:variant>
        <vt:i4>92</vt:i4>
      </vt:variant>
      <vt:variant>
        <vt:i4>0</vt:i4>
      </vt:variant>
      <vt:variant>
        <vt:i4>5</vt:i4>
      </vt:variant>
      <vt:variant>
        <vt:lpwstr/>
      </vt:variant>
      <vt:variant>
        <vt:lpwstr>_Toc30513986</vt:lpwstr>
      </vt:variant>
      <vt:variant>
        <vt:i4>1703997</vt:i4>
      </vt:variant>
      <vt:variant>
        <vt:i4>86</vt:i4>
      </vt:variant>
      <vt:variant>
        <vt:i4>0</vt:i4>
      </vt:variant>
      <vt:variant>
        <vt:i4>5</vt:i4>
      </vt:variant>
      <vt:variant>
        <vt:lpwstr/>
      </vt:variant>
      <vt:variant>
        <vt:lpwstr>_Toc30513985</vt:lpwstr>
      </vt:variant>
      <vt:variant>
        <vt:i4>1769533</vt:i4>
      </vt:variant>
      <vt:variant>
        <vt:i4>80</vt:i4>
      </vt:variant>
      <vt:variant>
        <vt:i4>0</vt:i4>
      </vt:variant>
      <vt:variant>
        <vt:i4>5</vt:i4>
      </vt:variant>
      <vt:variant>
        <vt:lpwstr/>
      </vt:variant>
      <vt:variant>
        <vt:lpwstr>_Toc30513984</vt:lpwstr>
      </vt:variant>
      <vt:variant>
        <vt:i4>1835069</vt:i4>
      </vt:variant>
      <vt:variant>
        <vt:i4>74</vt:i4>
      </vt:variant>
      <vt:variant>
        <vt:i4>0</vt:i4>
      </vt:variant>
      <vt:variant>
        <vt:i4>5</vt:i4>
      </vt:variant>
      <vt:variant>
        <vt:lpwstr/>
      </vt:variant>
      <vt:variant>
        <vt:lpwstr>_Toc30513983</vt:lpwstr>
      </vt:variant>
      <vt:variant>
        <vt:i4>1900605</vt:i4>
      </vt:variant>
      <vt:variant>
        <vt:i4>68</vt:i4>
      </vt:variant>
      <vt:variant>
        <vt:i4>0</vt:i4>
      </vt:variant>
      <vt:variant>
        <vt:i4>5</vt:i4>
      </vt:variant>
      <vt:variant>
        <vt:lpwstr/>
      </vt:variant>
      <vt:variant>
        <vt:lpwstr>_Toc30513982</vt:lpwstr>
      </vt:variant>
      <vt:variant>
        <vt:i4>1966141</vt:i4>
      </vt:variant>
      <vt:variant>
        <vt:i4>62</vt:i4>
      </vt:variant>
      <vt:variant>
        <vt:i4>0</vt:i4>
      </vt:variant>
      <vt:variant>
        <vt:i4>5</vt:i4>
      </vt:variant>
      <vt:variant>
        <vt:lpwstr/>
      </vt:variant>
      <vt:variant>
        <vt:lpwstr>_Toc30513981</vt:lpwstr>
      </vt:variant>
      <vt:variant>
        <vt:i4>2031677</vt:i4>
      </vt:variant>
      <vt:variant>
        <vt:i4>56</vt:i4>
      </vt:variant>
      <vt:variant>
        <vt:i4>0</vt:i4>
      </vt:variant>
      <vt:variant>
        <vt:i4>5</vt:i4>
      </vt:variant>
      <vt:variant>
        <vt:lpwstr/>
      </vt:variant>
      <vt:variant>
        <vt:lpwstr>_Toc30513980</vt:lpwstr>
      </vt:variant>
      <vt:variant>
        <vt:i4>1441842</vt:i4>
      </vt:variant>
      <vt:variant>
        <vt:i4>50</vt:i4>
      </vt:variant>
      <vt:variant>
        <vt:i4>0</vt:i4>
      </vt:variant>
      <vt:variant>
        <vt:i4>5</vt:i4>
      </vt:variant>
      <vt:variant>
        <vt:lpwstr/>
      </vt:variant>
      <vt:variant>
        <vt:lpwstr>_Toc30513979</vt:lpwstr>
      </vt:variant>
      <vt:variant>
        <vt:i4>1507378</vt:i4>
      </vt:variant>
      <vt:variant>
        <vt:i4>44</vt:i4>
      </vt:variant>
      <vt:variant>
        <vt:i4>0</vt:i4>
      </vt:variant>
      <vt:variant>
        <vt:i4>5</vt:i4>
      </vt:variant>
      <vt:variant>
        <vt:lpwstr/>
      </vt:variant>
      <vt:variant>
        <vt:lpwstr>_Toc30513978</vt:lpwstr>
      </vt:variant>
      <vt:variant>
        <vt:i4>1572914</vt:i4>
      </vt:variant>
      <vt:variant>
        <vt:i4>38</vt:i4>
      </vt:variant>
      <vt:variant>
        <vt:i4>0</vt:i4>
      </vt:variant>
      <vt:variant>
        <vt:i4>5</vt:i4>
      </vt:variant>
      <vt:variant>
        <vt:lpwstr/>
      </vt:variant>
      <vt:variant>
        <vt:lpwstr>_Toc30513977</vt:lpwstr>
      </vt:variant>
      <vt:variant>
        <vt:i4>1638450</vt:i4>
      </vt:variant>
      <vt:variant>
        <vt:i4>32</vt:i4>
      </vt:variant>
      <vt:variant>
        <vt:i4>0</vt:i4>
      </vt:variant>
      <vt:variant>
        <vt:i4>5</vt:i4>
      </vt:variant>
      <vt:variant>
        <vt:lpwstr/>
      </vt:variant>
      <vt:variant>
        <vt:lpwstr>_Toc30513976</vt:lpwstr>
      </vt:variant>
      <vt:variant>
        <vt:i4>1703986</vt:i4>
      </vt:variant>
      <vt:variant>
        <vt:i4>26</vt:i4>
      </vt:variant>
      <vt:variant>
        <vt:i4>0</vt:i4>
      </vt:variant>
      <vt:variant>
        <vt:i4>5</vt:i4>
      </vt:variant>
      <vt:variant>
        <vt:lpwstr/>
      </vt:variant>
      <vt:variant>
        <vt:lpwstr>_Toc30513975</vt:lpwstr>
      </vt:variant>
      <vt:variant>
        <vt:i4>1769522</vt:i4>
      </vt:variant>
      <vt:variant>
        <vt:i4>20</vt:i4>
      </vt:variant>
      <vt:variant>
        <vt:i4>0</vt:i4>
      </vt:variant>
      <vt:variant>
        <vt:i4>5</vt:i4>
      </vt:variant>
      <vt:variant>
        <vt:lpwstr/>
      </vt:variant>
      <vt:variant>
        <vt:lpwstr>_Toc30513974</vt:lpwstr>
      </vt:variant>
      <vt:variant>
        <vt:i4>1835058</vt:i4>
      </vt:variant>
      <vt:variant>
        <vt:i4>14</vt:i4>
      </vt:variant>
      <vt:variant>
        <vt:i4>0</vt:i4>
      </vt:variant>
      <vt:variant>
        <vt:i4>5</vt:i4>
      </vt:variant>
      <vt:variant>
        <vt:lpwstr/>
      </vt:variant>
      <vt:variant>
        <vt:lpwstr>_Toc30513973</vt:lpwstr>
      </vt:variant>
      <vt:variant>
        <vt:i4>1900594</vt:i4>
      </vt:variant>
      <vt:variant>
        <vt:i4>8</vt:i4>
      </vt:variant>
      <vt:variant>
        <vt:i4>0</vt:i4>
      </vt:variant>
      <vt:variant>
        <vt:i4>5</vt:i4>
      </vt:variant>
      <vt:variant>
        <vt:lpwstr/>
      </vt:variant>
      <vt:variant>
        <vt:lpwstr>_Toc30513972</vt:lpwstr>
      </vt:variant>
      <vt:variant>
        <vt:i4>1966130</vt:i4>
      </vt:variant>
      <vt:variant>
        <vt:i4>2</vt:i4>
      </vt:variant>
      <vt:variant>
        <vt:i4>0</vt:i4>
      </vt:variant>
      <vt:variant>
        <vt:i4>5</vt:i4>
      </vt:variant>
      <vt:variant>
        <vt:lpwstr/>
      </vt:variant>
      <vt:variant>
        <vt:lpwstr>_Toc30513971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Jan</dc:creator>
  <cp:keywords/>
  <cp:lastModifiedBy>HKCR</cp:lastModifiedBy>
  <cp:revision>3</cp:revision>
  <cp:lastPrinted>2020-02-19T10:51:00Z</cp:lastPrinted>
  <dcterms:created xsi:type="dcterms:W3CDTF">2020-03-12T12:13:00Z</dcterms:created>
  <dcterms:modified xsi:type="dcterms:W3CDTF">2020-03-12T14:15:00Z</dcterms:modified>
</cp:coreProperties>
</file>