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B8" w:rsidRPr="00FE477E" w:rsidRDefault="003E18B8" w:rsidP="009804E6">
      <w:pPr>
        <w:ind w:left="142"/>
        <w:jc w:val="right"/>
        <w:rPr>
          <w:rFonts w:cs="Arial"/>
          <w:b/>
        </w:rPr>
      </w:pPr>
      <w:bookmarkStart w:id="0" w:name="_GoBack"/>
      <w:bookmarkEnd w:id="0"/>
    </w:p>
    <w:p w:rsidR="003E18B8" w:rsidRPr="00FE477E" w:rsidRDefault="003E18B8" w:rsidP="003E18B8">
      <w:pPr>
        <w:jc w:val="center"/>
        <w:rPr>
          <w:rFonts w:cs="Arial"/>
          <w:b/>
          <w:sz w:val="32"/>
          <w:szCs w:val="32"/>
        </w:rPr>
      </w:pPr>
    </w:p>
    <w:p w:rsidR="003E18B8" w:rsidRPr="00FE477E" w:rsidRDefault="003E18B8" w:rsidP="003E18B8">
      <w:pPr>
        <w:jc w:val="center"/>
        <w:rPr>
          <w:rFonts w:cs="Arial"/>
          <w:b/>
          <w:sz w:val="32"/>
          <w:szCs w:val="32"/>
        </w:rPr>
      </w:pPr>
    </w:p>
    <w:p w:rsidR="003E18B8" w:rsidRPr="00FE477E" w:rsidRDefault="003E18B8" w:rsidP="003E18B8">
      <w:pPr>
        <w:jc w:val="center"/>
        <w:rPr>
          <w:rFonts w:cs="Arial"/>
          <w:b/>
          <w:sz w:val="32"/>
          <w:szCs w:val="32"/>
        </w:rPr>
      </w:pPr>
      <w:r w:rsidRPr="00FE477E">
        <w:rPr>
          <w:rFonts w:cs="Arial"/>
          <w:b/>
          <w:noProof/>
          <w:sz w:val="32"/>
          <w:szCs w:val="32"/>
        </w:rPr>
        <w:drawing>
          <wp:inline distT="0" distB="0" distL="0" distR="0" wp14:anchorId="496E997B" wp14:editId="3302EE62">
            <wp:extent cx="3867150" cy="1181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B8" w:rsidRPr="00FE477E" w:rsidRDefault="003E18B8" w:rsidP="003E18B8">
      <w:pPr>
        <w:jc w:val="center"/>
        <w:rPr>
          <w:rFonts w:cs="Arial"/>
          <w:b/>
          <w:sz w:val="32"/>
          <w:szCs w:val="32"/>
        </w:rPr>
      </w:pPr>
    </w:p>
    <w:p w:rsidR="003E18B8" w:rsidRDefault="003E18B8" w:rsidP="003E18B8">
      <w:pPr>
        <w:jc w:val="center"/>
        <w:rPr>
          <w:rFonts w:cs="Arial"/>
          <w:b/>
          <w:sz w:val="32"/>
          <w:szCs w:val="32"/>
        </w:rPr>
      </w:pPr>
    </w:p>
    <w:p w:rsidR="00AB7573" w:rsidRDefault="00AB7573" w:rsidP="003E18B8">
      <w:pPr>
        <w:pStyle w:val="Nzev"/>
        <w:rPr>
          <w:rFonts w:eastAsia="Times New Roman" w:cs="Arial"/>
          <w:color w:val="auto"/>
          <w:spacing w:val="0"/>
          <w:kern w:val="0"/>
          <w:sz w:val="32"/>
          <w:szCs w:val="32"/>
          <w:lang w:eastAsia="cs-CZ"/>
        </w:rPr>
      </w:pPr>
    </w:p>
    <w:p w:rsidR="003E18B8" w:rsidRPr="00FE477E" w:rsidRDefault="00A670C1" w:rsidP="003E18B8">
      <w:pPr>
        <w:pStyle w:val="Nzev"/>
        <w:rPr>
          <w:color w:val="auto"/>
        </w:rPr>
      </w:pPr>
      <w:r w:rsidRPr="00FE477E">
        <w:rPr>
          <w:color w:val="auto"/>
        </w:rPr>
        <w:t>HODNOCENÍ DOPADŮ REGULACE</w:t>
      </w:r>
    </w:p>
    <w:p w:rsidR="003E18B8" w:rsidRDefault="003E18B8" w:rsidP="003E18B8">
      <w:pPr>
        <w:tabs>
          <w:tab w:val="center" w:pos="4749"/>
          <w:tab w:val="left" w:pos="7540"/>
        </w:tabs>
        <w:rPr>
          <w:rFonts w:cs="Arial"/>
          <w:sz w:val="28"/>
          <w:szCs w:val="28"/>
        </w:rPr>
      </w:pPr>
    </w:p>
    <w:p w:rsidR="00517CCD" w:rsidRDefault="00517CCD" w:rsidP="003E18B8">
      <w:pPr>
        <w:tabs>
          <w:tab w:val="center" w:pos="4749"/>
          <w:tab w:val="left" w:pos="7540"/>
        </w:tabs>
        <w:rPr>
          <w:rFonts w:cs="Arial"/>
          <w:sz w:val="28"/>
          <w:szCs w:val="28"/>
        </w:rPr>
      </w:pPr>
    </w:p>
    <w:p w:rsidR="00517CCD" w:rsidRPr="00FE477E" w:rsidRDefault="00517CCD" w:rsidP="003E18B8">
      <w:pPr>
        <w:tabs>
          <w:tab w:val="center" w:pos="4749"/>
          <w:tab w:val="left" w:pos="7540"/>
        </w:tabs>
        <w:rPr>
          <w:rFonts w:cs="Arial"/>
          <w:sz w:val="28"/>
          <w:szCs w:val="28"/>
        </w:rPr>
      </w:pPr>
    </w:p>
    <w:p w:rsidR="003E18B8" w:rsidRPr="00517CCD" w:rsidRDefault="00517CCD" w:rsidP="003E18B8">
      <w:pPr>
        <w:jc w:val="center"/>
        <w:rPr>
          <w:sz w:val="28"/>
          <w:szCs w:val="28"/>
        </w:rPr>
      </w:pPr>
      <w:r w:rsidRPr="00517CCD">
        <w:rPr>
          <w:sz w:val="28"/>
          <w:szCs w:val="28"/>
        </w:rPr>
        <w:t>Závěrečná zpráva z hodnocení dopadů</w:t>
      </w:r>
      <w:r w:rsidR="003E18B8" w:rsidRPr="00517CCD">
        <w:rPr>
          <w:sz w:val="28"/>
          <w:szCs w:val="28"/>
        </w:rPr>
        <w:t xml:space="preserve"> (RIA)</w:t>
      </w:r>
      <w:r w:rsidR="007A0DD7" w:rsidRPr="00517CCD">
        <w:rPr>
          <w:sz w:val="28"/>
          <w:szCs w:val="28"/>
        </w:rPr>
        <w:t xml:space="preserve"> </w:t>
      </w:r>
    </w:p>
    <w:p w:rsidR="003E18B8" w:rsidRPr="00FE477E" w:rsidRDefault="003E18B8" w:rsidP="003E18B8">
      <w:pPr>
        <w:tabs>
          <w:tab w:val="center" w:pos="4749"/>
          <w:tab w:val="left" w:pos="7540"/>
        </w:tabs>
        <w:rPr>
          <w:rFonts w:cs="Arial"/>
          <w:sz w:val="28"/>
          <w:szCs w:val="28"/>
        </w:rPr>
      </w:pPr>
    </w:p>
    <w:p w:rsidR="003E18B8" w:rsidRDefault="003E18B8" w:rsidP="003E18B8">
      <w:pPr>
        <w:tabs>
          <w:tab w:val="center" w:pos="4749"/>
          <w:tab w:val="left" w:pos="7540"/>
        </w:tabs>
        <w:jc w:val="center"/>
        <w:rPr>
          <w:rFonts w:cs="Arial"/>
          <w:sz w:val="28"/>
          <w:szCs w:val="28"/>
        </w:rPr>
      </w:pPr>
    </w:p>
    <w:p w:rsidR="00517CCD" w:rsidRDefault="00517CCD" w:rsidP="003E18B8">
      <w:pPr>
        <w:tabs>
          <w:tab w:val="center" w:pos="4749"/>
          <w:tab w:val="left" w:pos="7540"/>
        </w:tabs>
        <w:jc w:val="center"/>
        <w:rPr>
          <w:rFonts w:cs="Arial"/>
          <w:sz w:val="28"/>
          <w:szCs w:val="28"/>
        </w:rPr>
      </w:pPr>
    </w:p>
    <w:p w:rsidR="00517CCD" w:rsidRDefault="00517CCD" w:rsidP="003E18B8">
      <w:pPr>
        <w:tabs>
          <w:tab w:val="center" w:pos="4749"/>
          <w:tab w:val="left" w:pos="7540"/>
        </w:tabs>
        <w:jc w:val="center"/>
        <w:rPr>
          <w:rFonts w:cs="Arial"/>
          <w:sz w:val="28"/>
          <w:szCs w:val="28"/>
        </w:rPr>
      </w:pPr>
    </w:p>
    <w:p w:rsidR="00517CCD" w:rsidRDefault="00517CCD" w:rsidP="003E18B8">
      <w:pPr>
        <w:tabs>
          <w:tab w:val="center" w:pos="4749"/>
          <w:tab w:val="left" w:pos="7540"/>
        </w:tabs>
        <w:jc w:val="center"/>
        <w:rPr>
          <w:rFonts w:cs="Arial"/>
          <w:sz w:val="28"/>
          <w:szCs w:val="28"/>
        </w:rPr>
      </w:pPr>
    </w:p>
    <w:p w:rsidR="00517CCD" w:rsidRPr="00FE477E" w:rsidRDefault="00517CCD" w:rsidP="003E18B8">
      <w:pPr>
        <w:tabs>
          <w:tab w:val="center" w:pos="4749"/>
          <w:tab w:val="left" w:pos="7540"/>
        </w:tabs>
        <w:jc w:val="center"/>
        <w:rPr>
          <w:rFonts w:cs="Arial"/>
          <w:sz w:val="28"/>
          <w:szCs w:val="28"/>
        </w:rPr>
      </w:pPr>
    </w:p>
    <w:p w:rsidR="003E18B8" w:rsidRPr="00517CCD" w:rsidRDefault="00517CCD" w:rsidP="00517CCD">
      <w:pPr>
        <w:tabs>
          <w:tab w:val="center" w:pos="4749"/>
          <w:tab w:val="left" w:pos="7540"/>
        </w:tabs>
        <w:ind w:left="567" w:firstLine="0"/>
        <w:rPr>
          <w:rFonts w:cs="Arial"/>
        </w:rPr>
      </w:pPr>
      <w:r w:rsidRPr="00517CCD">
        <w:rPr>
          <w:rFonts w:cs="Arial"/>
        </w:rPr>
        <w:t>k</w:t>
      </w:r>
      <w:r>
        <w:rPr>
          <w:rFonts w:eastAsia="MS Mincho"/>
          <w:iCs/>
        </w:rPr>
        <w:t xml:space="preserve"> n</w:t>
      </w:r>
      <w:r w:rsidRPr="00517CCD">
        <w:rPr>
          <w:rFonts w:eastAsia="MS Mincho"/>
          <w:iCs/>
        </w:rPr>
        <w:t>ávrh</w:t>
      </w:r>
      <w:r>
        <w:rPr>
          <w:rFonts w:eastAsia="MS Mincho"/>
          <w:iCs/>
        </w:rPr>
        <w:t>u</w:t>
      </w:r>
      <w:r w:rsidRPr="00517CCD">
        <w:rPr>
          <w:rFonts w:eastAsia="MS Mincho"/>
          <w:iCs/>
        </w:rPr>
        <w:t xml:space="preserve"> zákona, kterým se mění zákon č. 151/</w:t>
      </w:r>
      <w:r>
        <w:rPr>
          <w:rFonts w:eastAsia="MS Mincho"/>
          <w:iCs/>
        </w:rPr>
        <w:t xml:space="preserve">1997 Sb., o oceňování majetku </w:t>
      </w:r>
      <w:r w:rsidR="00E91268">
        <w:rPr>
          <w:rFonts w:eastAsia="MS Mincho"/>
          <w:iCs/>
        </w:rPr>
        <w:br/>
        <w:t xml:space="preserve">a </w:t>
      </w:r>
      <w:r w:rsidRPr="00517CCD">
        <w:rPr>
          <w:rFonts w:eastAsia="MS Mincho"/>
          <w:iCs/>
        </w:rPr>
        <w:t>o změně některých zákonů (zákon o oceňování majetku), ve znění pozdějších předpisů.</w:t>
      </w:r>
    </w:p>
    <w:p w:rsidR="005A7751" w:rsidRDefault="005A7751" w:rsidP="005A7751">
      <w:pPr>
        <w:pStyle w:val="Odstavecseseznamem"/>
        <w:tabs>
          <w:tab w:val="left" w:pos="6660"/>
        </w:tabs>
        <w:spacing w:line="240" w:lineRule="auto"/>
        <w:ind w:left="987" w:firstLine="0"/>
        <w:jc w:val="left"/>
        <w:rPr>
          <w:rFonts w:eastAsia="MS Mincho"/>
          <w:bCs/>
        </w:rPr>
      </w:pPr>
      <w:bookmarkStart w:id="1" w:name="_Toc403043678"/>
      <w:bookmarkStart w:id="2" w:name="_Toc406589408"/>
    </w:p>
    <w:p w:rsidR="009037D5" w:rsidRDefault="009037D5" w:rsidP="005A7751">
      <w:pPr>
        <w:pStyle w:val="Odstavecseseznamem"/>
        <w:tabs>
          <w:tab w:val="left" w:pos="6660"/>
        </w:tabs>
        <w:spacing w:line="240" w:lineRule="auto"/>
        <w:ind w:left="987" w:firstLine="0"/>
        <w:jc w:val="left"/>
        <w:rPr>
          <w:rFonts w:eastAsia="MS Mincho"/>
          <w:bCs/>
        </w:rPr>
      </w:pPr>
    </w:p>
    <w:p w:rsidR="009037D5" w:rsidRPr="00731C3E" w:rsidRDefault="009037D5" w:rsidP="005A7751">
      <w:pPr>
        <w:pStyle w:val="Odstavecseseznamem"/>
        <w:tabs>
          <w:tab w:val="left" w:pos="6660"/>
        </w:tabs>
        <w:spacing w:line="240" w:lineRule="auto"/>
        <w:ind w:left="987" w:firstLine="0"/>
        <w:jc w:val="left"/>
        <w:rPr>
          <w:rFonts w:eastAsia="MS Mincho"/>
          <w:bCs/>
        </w:rPr>
      </w:pPr>
    </w:p>
    <w:p w:rsidR="00574750" w:rsidRPr="0032453D" w:rsidRDefault="00574750" w:rsidP="00574750">
      <w:pPr>
        <w:tabs>
          <w:tab w:val="left" w:pos="6660"/>
        </w:tabs>
        <w:spacing w:line="240" w:lineRule="auto"/>
        <w:jc w:val="center"/>
        <w:rPr>
          <w:rFonts w:eastAsia="MS Mincho"/>
          <w:b/>
          <w:bCs/>
        </w:rPr>
      </w:pPr>
      <w:r w:rsidRPr="0032453D">
        <w:rPr>
          <w:rFonts w:eastAsia="MS Mincho"/>
          <w:b/>
          <w:bCs/>
        </w:rPr>
        <w:t xml:space="preserve">PŘEHLED </w:t>
      </w:r>
      <w:r>
        <w:rPr>
          <w:rFonts w:eastAsia="MS Mincho"/>
          <w:b/>
          <w:bCs/>
        </w:rPr>
        <w:t>DOPADŮ NÁVRHU PRÁVNÍHO PŘEDPISU</w:t>
      </w:r>
    </w:p>
    <w:p w:rsidR="00574750" w:rsidRPr="00043BEF" w:rsidRDefault="00574750" w:rsidP="00043BEF">
      <w:pPr>
        <w:pStyle w:val="Odstavecseseznamem"/>
        <w:numPr>
          <w:ilvl w:val="0"/>
          <w:numId w:val="27"/>
        </w:numPr>
        <w:tabs>
          <w:tab w:val="left" w:pos="6660"/>
        </w:tabs>
        <w:spacing w:line="240" w:lineRule="auto"/>
        <w:jc w:val="center"/>
        <w:rPr>
          <w:rFonts w:eastAsia="MS Mincho"/>
          <w:bCs/>
        </w:rPr>
      </w:pPr>
      <w:r w:rsidRPr="00043BEF">
        <w:rPr>
          <w:rFonts w:eastAsia="MS Mincho"/>
          <w:bCs/>
        </w:rPr>
        <w:t>Základní identifikační údaje</w:t>
      </w:r>
    </w:p>
    <w:p w:rsidR="00043BEF" w:rsidRPr="00043BEF" w:rsidRDefault="00043BEF" w:rsidP="00043BEF">
      <w:pPr>
        <w:pStyle w:val="Odstavecseseznamem"/>
        <w:tabs>
          <w:tab w:val="left" w:pos="6660"/>
        </w:tabs>
        <w:spacing w:line="240" w:lineRule="auto"/>
        <w:ind w:left="927" w:firstLine="0"/>
        <w:jc w:val="center"/>
        <w:rPr>
          <w:rFonts w:eastAsia="MS Mincho"/>
          <w:bCs/>
        </w:rPr>
      </w:pPr>
    </w:p>
    <w:tbl>
      <w:tblPr>
        <w:tblW w:w="94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2551"/>
        <w:gridCol w:w="2200"/>
        <w:gridCol w:w="2478"/>
      </w:tblGrid>
      <w:tr w:rsidR="00574750" w:rsidRPr="0032453D" w:rsidTr="00911AB2">
        <w:trPr>
          <w:jc w:val="center"/>
        </w:trPr>
        <w:tc>
          <w:tcPr>
            <w:tcW w:w="94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bottom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  <w:i/>
                <w:iCs/>
              </w:rPr>
            </w:pPr>
            <w:r w:rsidRPr="0032453D">
              <w:rPr>
                <w:rFonts w:eastAsia="MS Mincho"/>
                <w:bCs/>
              </w:rPr>
              <w:t>Název návrhu právního předpisu</w:t>
            </w:r>
          </w:p>
        </w:tc>
      </w:tr>
      <w:tr w:rsidR="00574750" w:rsidRPr="0032453D" w:rsidTr="00911AB2">
        <w:trPr>
          <w:jc w:val="center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i/>
                <w:iCs/>
              </w:rPr>
              <w:t xml:space="preserve">Návrh zákona, kterým se mění zákon č. 151/1997 Sb., o oceňování majetku a o změně některých zákonů (zákon o oceňování majetku), ve znění pozdějších předpisů. </w:t>
            </w:r>
          </w:p>
        </w:tc>
      </w:tr>
      <w:tr w:rsidR="00574750" w:rsidRPr="0032453D" w:rsidTr="00911AB2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>Předkladatel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>Spolupřed-</w:t>
            </w:r>
          </w:p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kladatel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>Stanovený termín předložení vládě, v případě návrhu vyhlášek předsedovi LRV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>Předpokládaný termín nabytí účinnosti</w:t>
            </w:r>
          </w:p>
        </w:tc>
      </w:tr>
      <w:tr w:rsidR="00574750" w:rsidRPr="0032453D" w:rsidTr="00911AB2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i/>
                <w:iCs/>
              </w:rPr>
            </w:pPr>
            <w:r>
              <w:rPr>
                <w:rFonts w:eastAsia="MS Mincho"/>
                <w:bCs/>
                <w:i/>
              </w:rPr>
              <w:t>MF</w:t>
            </w:r>
            <w:r w:rsidRPr="0032453D">
              <w:rPr>
                <w:rFonts w:eastAsia="MS Mincho"/>
                <w:bCs/>
                <w:i/>
              </w:rPr>
              <w:t>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Cs/>
                <w:i/>
                <w:iCs/>
              </w:rPr>
            </w:pPr>
            <w:r>
              <w:rPr>
                <w:rFonts w:eastAsia="MS Mincho"/>
                <w:bCs/>
                <w:i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i/>
                <w:iCs/>
              </w:rPr>
              <w:t>12</w:t>
            </w:r>
            <w:r w:rsidRPr="0032453D">
              <w:rPr>
                <w:rFonts w:eastAsia="MS Mincho"/>
                <w:i/>
                <w:iCs/>
              </w:rPr>
              <w:t>.</w:t>
            </w:r>
            <w:r>
              <w:rPr>
                <w:rFonts w:eastAsia="MS Mincho"/>
                <w:i/>
                <w:iCs/>
              </w:rPr>
              <w:t>2018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i/>
                <w:iCs/>
              </w:rPr>
              <w:t>01</w:t>
            </w:r>
            <w:r w:rsidRPr="0032453D">
              <w:rPr>
                <w:rFonts w:eastAsia="MS Mincho"/>
                <w:i/>
                <w:iCs/>
              </w:rPr>
              <w:t>.</w:t>
            </w:r>
            <w:r>
              <w:rPr>
                <w:rFonts w:eastAsia="MS Mincho"/>
                <w:i/>
                <w:iCs/>
              </w:rPr>
              <w:t>2020</w:t>
            </w:r>
          </w:p>
        </w:tc>
      </w:tr>
    </w:tbl>
    <w:p w:rsidR="00574750" w:rsidRPr="0032453D" w:rsidRDefault="00574750" w:rsidP="002179F8">
      <w:pPr>
        <w:spacing w:after="0" w:line="240" w:lineRule="auto"/>
        <w:rPr>
          <w:rFonts w:eastAsia="MS Mincho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3"/>
        <w:gridCol w:w="4713"/>
      </w:tblGrid>
      <w:tr w:rsidR="00574750" w:rsidRPr="0032453D" w:rsidTr="00911AB2">
        <w:trPr>
          <w:jc w:val="center"/>
        </w:trPr>
        <w:tc>
          <w:tcPr>
            <w:tcW w:w="47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i/>
                <w:iCs/>
              </w:rPr>
            </w:pPr>
            <w:r w:rsidRPr="0032453D">
              <w:rPr>
                <w:rFonts w:eastAsia="MS Mincho"/>
                <w:bCs/>
              </w:rPr>
              <w:t>Transpozice práva EU: Číselné označení právních předpisů EU a jejich název v českém znění</w:t>
            </w:r>
            <w:r w:rsidRPr="0032453D">
              <w:rPr>
                <w:rFonts w:eastAsia="MS Mincho"/>
                <w:bCs/>
                <w:vertAlign w:val="superscript"/>
              </w:rPr>
              <w:footnoteReference w:id="1"/>
            </w:r>
          </w:p>
        </w:tc>
        <w:tc>
          <w:tcPr>
            <w:tcW w:w="4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i/>
                <w:iCs/>
              </w:rPr>
            </w:pPr>
            <w:r w:rsidRPr="0032453D">
              <w:rPr>
                <w:rFonts w:eastAsia="MS Mincho"/>
                <w:bCs/>
              </w:rPr>
              <w:t>Termín stanovený pro implementaci</w:t>
            </w:r>
          </w:p>
        </w:tc>
      </w:tr>
      <w:tr w:rsidR="00574750" w:rsidRPr="0032453D" w:rsidTr="00911AB2"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-</w:t>
            </w:r>
          </w:p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-</w:t>
            </w:r>
          </w:p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i/>
                <w:iCs/>
              </w:rPr>
              <w:t>-</w:t>
            </w:r>
            <w:r w:rsidRPr="0032453D">
              <w:rPr>
                <w:rFonts w:eastAsia="MS Mincho"/>
                <w:b/>
                <w:bCs/>
                <w:i/>
                <w:iCs/>
              </w:rPr>
              <w:t xml:space="preserve"> </w:t>
            </w:r>
          </w:p>
        </w:tc>
      </w:tr>
    </w:tbl>
    <w:p w:rsidR="00574750" w:rsidRPr="0032453D" w:rsidRDefault="00574750" w:rsidP="002179F8">
      <w:pPr>
        <w:tabs>
          <w:tab w:val="left" w:pos="6660"/>
        </w:tabs>
        <w:spacing w:after="0" w:line="240" w:lineRule="auto"/>
        <w:jc w:val="center"/>
        <w:rPr>
          <w:rFonts w:eastAsia="MS Mincho"/>
          <w:b/>
          <w:bCs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</w:rPr>
            </w:pPr>
            <w:r w:rsidRPr="0032453D">
              <w:rPr>
                <w:rFonts w:eastAsia="MS Mincho"/>
                <w:bCs/>
              </w:rPr>
              <w:t>2. Definice problému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731C3E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</w:rPr>
            </w:pPr>
            <w:r w:rsidRPr="00731C3E">
              <w:rPr>
                <w:rFonts w:eastAsia="MS Mincho"/>
                <w:bCs/>
              </w:rPr>
              <w:t>V období od poslední změny zákona o oceňování majetku došlo ke změně celé řady právních předpisů, na které je třeba reagovat. Současně je třeba reagovat i na vývoj oceňovací praxe.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3. Cíl návrhu právního předpisu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4E7" w:rsidRPr="00731C3E" w:rsidRDefault="00574750" w:rsidP="00E410ED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  <w:iCs/>
              </w:rPr>
            </w:pPr>
            <w:r w:rsidRPr="00731C3E">
              <w:rPr>
                <w:rFonts w:eastAsia="MS Mincho"/>
                <w:bCs/>
              </w:rPr>
              <w:t>Cílem návrhu je především</w:t>
            </w:r>
            <w:r w:rsidR="00F93469" w:rsidRPr="00731C3E">
              <w:rPr>
                <w:rFonts w:eastAsia="MS Mincho"/>
                <w:bCs/>
              </w:rPr>
              <w:t xml:space="preserve"> zajistit soulad</w:t>
            </w:r>
            <w:r w:rsidRPr="00731C3E">
              <w:rPr>
                <w:rFonts w:eastAsia="MS Mincho"/>
                <w:bCs/>
              </w:rPr>
              <w:t xml:space="preserve"> zákon</w:t>
            </w:r>
            <w:r w:rsidR="00DF08DE">
              <w:rPr>
                <w:rFonts w:eastAsia="MS Mincho"/>
                <w:bCs/>
              </w:rPr>
              <w:t>a o</w:t>
            </w:r>
            <w:r w:rsidR="001D278C">
              <w:rPr>
                <w:rFonts w:eastAsia="MS Mincho"/>
                <w:bCs/>
              </w:rPr>
              <w:t> </w:t>
            </w:r>
            <w:r w:rsidR="00DF08DE">
              <w:rPr>
                <w:rFonts w:eastAsia="MS Mincho"/>
                <w:bCs/>
              </w:rPr>
              <w:t>oceňování</w:t>
            </w:r>
            <w:r w:rsidR="00223839">
              <w:rPr>
                <w:rFonts w:eastAsia="MS Mincho"/>
                <w:bCs/>
              </w:rPr>
              <w:t xml:space="preserve"> majetku s aktuálním </w:t>
            </w:r>
            <w:r w:rsidR="00223839" w:rsidRPr="00E53CDC">
              <w:rPr>
                <w:rFonts w:eastAsia="MS Mincho"/>
                <w:bCs/>
              </w:rPr>
              <w:t>stavem</w:t>
            </w:r>
            <w:r w:rsidR="00DF08DE" w:rsidRPr="00E53CDC">
              <w:rPr>
                <w:rFonts w:eastAsia="MS Mincho"/>
                <w:bCs/>
              </w:rPr>
              <w:t xml:space="preserve"> právního řádu</w:t>
            </w:r>
            <w:r w:rsidR="001D278C" w:rsidRPr="00E53CDC">
              <w:rPr>
                <w:rFonts w:eastAsia="MS Mincho"/>
                <w:bCs/>
              </w:rPr>
              <w:t xml:space="preserve"> </w:t>
            </w:r>
            <w:r w:rsidR="005D7F41" w:rsidRPr="00E53CDC">
              <w:rPr>
                <w:rFonts w:eastAsia="MS Mincho"/>
                <w:bCs/>
              </w:rPr>
              <w:t>směrem k</w:t>
            </w:r>
            <w:r w:rsidR="00DF08DE" w:rsidRPr="00E53CDC">
              <w:rPr>
                <w:rFonts w:eastAsia="MS Mincho"/>
                <w:bCs/>
              </w:rPr>
              <w:t xml:space="preserve"> oblasti </w:t>
            </w:r>
            <w:r w:rsidR="00DF08DE">
              <w:rPr>
                <w:rFonts w:eastAsia="MS Mincho"/>
                <w:bCs/>
              </w:rPr>
              <w:t>oceňování</w:t>
            </w:r>
            <w:r w:rsidR="002147D4">
              <w:rPr>
                <w:rFonts w:eastAsia="MS Mincho"/>
                <w:bCs/>
              </w:rPr>
              <w:t xml:space="preserve"> a</w:t>
            </w:r>
            <w:r w:rsidRPr="00731C3E">
              <w:rPr>
                <w:rFonts w:eastAsia="MS Mincho"/>
                <w:bCs/>
              </w:rPr>
              <w:t xml:space="preserve"> reagovat na</w:t>
            </w:r>
            <w:r w:rsidR="001D278C">
              <w:rPr>
                <w:rFonts w:eastAsia="MS Mincho"/>
                <w:bCs/>
              </w:rPr>
              <w:t> </w:t>
            </w:r>
            <w:r w:rsidRPr="00731C3E">
              <w:rPr>
                <w:rFonts w:eastAsia="MS Mincho"/>
                <w:bCs/>
              </w:rPr>
              <w:t>vývoj v</w:t>
            </w:r>
            <w:r w:rsidR="001D278C">
              <w:rPr>
                <w:rFonts w:eastAsia="MS Mincho"/>
                <w:bCs/>
              </w:rPr>
              <w:t> </w:t>
            </w:r>
            <w:r w:rsidRPr="00731C3E">
              <w:rPr>
                <w:rFonts w:eastAsia="MS Mincho"/>
                <w:bCs/>
              </w:rPr>
              <w:t>oblast</w:t>
            </w:r>
            <w:r w:rsidR="00F93469" w:rsidRPr="00731C3E">
              <w:rPr>
                <w:rFonts w:eastAsia="MS Mincho"/>
                <w:bCs/>
              </w:rPr>
              <w:t>i uplatňování věcných práv</w:t>
            </w:r>
            <w:r w:rsidR="001D278C">
              <w:rPr>
                <w:rFonts w:eastAsia="MS Mincho"/>
                <w:bCs/>
              </w:rPr>
              <w:t xml:space="preserve">. </w:t>
            </w:r>
            <w:r w:rsidR="002147D4">
              <w:rPr>
                <w:rFonts w:eastAsia="MS Mincho"/>
                <w:bCs/>
              </w:rPr>
              <w:t xml:space="preserve">Dílčími cíli </w:t>
            </w:r>
            <w:r w:rsidR="00A83510">
              <w:rPr>
                <w:rFonts w:eastAsia="MS Mincho"/>
                <w:bCs/>
              </w:rPr>
              <w:t>t</w:t>
            </w:r>
            <w:r w:rsidR="002147D4">
              <w:rPr>
                <w:rFonts w:eastAsia="MS Mincho"/>
                <w:bCs/>
              </w:rPr>
              <w:t>ak</w:t>
            </w:r>
            <w:r w:rsidR="00A83510">
              <w:rPr>
                <w:rFonts w:eastAsia="MS Mincho"/>
                <w:bCs/>
              </w:rPr>
              <w:t xml:space="preserve"> je </w:t>
            </w:r>
            <w:r w:rsidR="00A83510" w:rsidRPr="00731C3E">
              <w:rPr>
                <w:rFonts w:eastAsia="MS Mincho"/>
                <w:bCs/>
              </w:rPr>
              <w:t>umo</w:t>
            </w:r>
            <w:r w:rsidR="00A83510">
              <w:rPr>
                <w:rFonts w:eastAsia="MS Mincho"/>
                <w:bCs/>
              </w:rPr>
              <w:t>žnit tržní ocenění,</w:t>
            </w:r>
            <w:r w:rsidR="00A83510">
              <w:rPr>
                <w:rFonts w:eastAsia="MS Mincho"/>
                <w:bCs/>
                <w:color w:val="FF0000"/>
              </w:rPr>
              <w:t xml:space="preserve"> </w:t>
            </w:r>
            <w:r w:rsidR="00A83510">
              <w:rPr>
                <w:rFonts w:eastAsia="MS Mincho"/>
                <w:bCs/>
              </w:rPr>
              <w:t>upravit náležitosti</w:t>
            </w:r>
            <w:r w:rsidRPr="00731C3E">
              <w:rPr>
                <w:rFonts w:eastAsia="MS Mincho"/>
                <w:bCs/>
              </w:rPr>
              <w:t xml:space="preserve"> ocenění práva stavby a</w:t>
            </w:r>
            <w:r w:rsidR="004963F7">
              <w:rPr>
                <w:rFonts w:eastAsia="MS Mincho"/>
                <w:bCs/>
              </w:rPr>
              <w:t> </w:t>
            </w:r>
            <w:r w:rsidRPr="00731C3E">
              <w:rPr>
                <w:rFonts w:eastAsia="MS Mincho"/>
                <w:bCs/>
              </w:rPr>
              <w:t>věcných břemen,</w:t>
            </w:r>
            <w:r w:rsidR="00FE3586">
              <w:rPr>
                <w:rFonts w:eastAsia="MS Mincho"/>
                <w:bCs/>
              </w:rPr>
              <w:t xml:space="preserve"> </w:t>
            </w:r>
            <w:r w:rsidR="00B5083D" w:rsidRPr="00E53CDC">
              <w:rPr>
                <w:rFonts w:eastAsia="MS Mincho"/>
                <w:bCs/>
              </w:rPr>
              <w:t>zavést pojem</w:t>
            </w:r>
            <w:r w:rsidR="00FE3586" w:rsidRPr="00E53CDC">
              <w:rPr>
                <w:rFonts w:eastAsia="MS Mincho"/>
                <w:bCs/>
              </w:rPr>
              <w:t xml:space="preserve"> rychle r</w:t>
            </w:r>
            <w:r w:rsidR="00B5083D" w:rsidRPr="00E53CDC">
              <w:rPr>
                <w:rFonts w:eastAsia="MS Mincho"/>
                <w:bCs/>
              </w:rPr>
              <w:t>ostoucí</w:t>
            </w:r>
            <w:r w:rsidR="00784722" w:rsidRPr="00E53CDC">
              <w:rPr>
                <w:rFonts w:eastAsia="MS Mincho"/>
                <w:bCs/>
              </w:rPr>
              <w:t>ch dřevin včetně jejich ocenění a</w:t>
            </w:r>
            <w:r w:rsidR="00784722" w:rsidRPr="00E53CDC">
              <w:t xml:space="preserve"> upřesnit text </w:t>
            </w:r>
            <w:r w:rsidR="00E16729" w:rsidRPr="00E53CDC">
              <w:t>i</w:t>
            </w:r>
            <w:r w:rsidR="00E410ED">
              <w:t> </w:t>
            </w:r>
            <w:r w:rsidR="00E16729" w:rsidRPr="00E53CDC">
              <w:t xml:space="preserve">postup </w:t>
            </w:r>
            <w:r w:rsidR="00784722" w:rsidRPr="00E53CDC">
              <w:t>týkající se zpracování cenových map stavebních pozemků.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lastRenderedPageBreak/>
              <w:t xml:space="preserve">4. Odůvodnění varianty přípravy legislativního návrhu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  <w:i/>
              </w:rPr>
            </w:pPr>
            <w:r w:rsidRPr="0032453D">
              <w:rPr>
                <w:rFonts w:eastAsia="MS Mincho"/>
                <w:bCs/>
              </w:rPr>
              <w:t>ANO</w:t>
            </w:r>
            <w:r w:rsidRPr="0032453D">
              <w:rPr>
                <w:rFonts w:eastAsia="MS Mincho"/>
                <w:b/>
                <w:bCs/>
                <w:i/>
                <w:iCs/>
              </w:rPr>
              <w:t xml:space="preserve"> </w:t>
            </w:r>
            <w:r w:rsidR="00C50B2B">
              <w:rPr>
                <w:rFonts w:eastAsia="MS Mincho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0B2B">
              <w:rPr>
                <w:rFonts w:eastAsia="MS Mincho"/>
                <w:b/>
                <w:bCs/>
              </w:rPr>
              <w:instrText xml:space="preserve"> FORMCHECKBOX </w:instrText>
            </w:r>
            <w:r w:rsidR="00F371B3">
              <w:rPr>
                <w:rFonts w:eastAsia="MS Mincho"/>
                <w:b/>
                <w:bCs/>
              </w:rPr>
            </w:r>
            <w:r w:rsidR="00F371B3">
              <w:rPr>
                <w:rFonts w:eastAsia="MS Mincho"/>
                <w:b/>
                <w:bCs/>
              </w:rPr>
              <w:fldChar w:fldCharType="separate"/>
            </w:r>
            <w:r w:rsidR="00C50B2B">
              <w:rPr>
                <w:rFonts w:eastAsia="MS Mincho"/>
                <w:b/>
                <w:bCs/>
              </w:rPr>
              <w:fldChar w:fldCharType="end"/>
            </w:r>
            <w:r w:rsidRPr="0032453D">
              <w:rPr>
                <w:rFonts w:eastAsia="MS Mincho"/>
                <w:b/>
                <w:bCs/>
              </w:rPr>
              <w:t xml:space="preserve"> </w:t>
            </w:r>
            <w:r w:rsidRPr="0032453D">
              <w:rPr>
                <w:rFonts w:eastAsia="MS Mincho"/>
                <w:bCs/>
              </w:rPr>
              <w:t>NE</w:t>
            </w:r>
            <w:r w:rsidRPr="0032453D">
              <w:rPr>
                <w:rFonts w:eastAsia="MS Mincho"/>
                <w:b/>
                <w:bCs/>
              </w:rPr>
              <w:t xml:space="preserve"> </w:t>
            </w:r>
            <w:r w:rsidR="00C50B2B">
              <w:rPr>
                <w:rFonts w:eastAsia="MS Mincho"/>
                <w:b/>
                <w:bCs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1"/>
            <w:r w:rsidR="00C50B2B">
              <w:rPr>
                <w:rFonts w:eastAsia="MS Mincho"/>
                <w:b/>
                <w:bCs/>
              </w:rPr>
              <w:instrText xml:space="preserve"> FORMCHECKBOX </w:instrText>
            </w:r>
            <w:r w:rsidR="00F371B3">
              <w:rPr>
                <w:rFonts w:eastAsia="MS Mincho"/>
                <w:b/>
                <w:bCs/>
              </w:rPr>
            </w:r>
            <w:r w:rsidR="00F371B3">
              <w:rPr>
                <w:rFonts w:eastAsia="MS Mincho"/>
                <w:b/>
                <w:bCs/>
              </w:rPr>
              <w:fldChar w:fldCharType="separate"/>
            </w:r>
            <w:r w:rsidR="00C50B2B">
              <w:rPr>
                <w:rFonts w:eastAsia="MS Mincho"/>
                <w:b/>
                <w:bCs/>
              </w:rPr>
              <w:fldChar w:fldCharType="end"/>
            </w:r>
            <w:bookmarkEnd w:id="3"/>
            <w:r w:rsidRPr="0032453D">
              <w:rPr>
                <w:rFonts w:eastAsia="MS Mincho"/>
                <w:b/>
                <w:bCs/>
              </w:rPr>
              <w:t xml:space="preserve"> </w:t>
            </w:r>
          </w:p>
          <w:p w:rsidR="007B1BA3" w:rsidRPr="00731C3E" w:rsidRDefault="008821B7" w:rsidP="008821B7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731C3E">
              <w:rPr>
                <w:rFonts w:eastAsia="MS Mincho"/>
                <w:bCs/>
              </w:rPr>
              <w:t xml:space="preserve">Jako první varianta se uvažuje ponechání stávajícího stavu. </w:t>
            </w:r>
          </w:p>
          <w:p w:rsidR="00574750" w:rsidRPr="0032453D" w:rsidRDefault="008821B7" w:rsidP="00807FE6">
            <w:pPr>
              <w:tabs>
                <w:tab w:val="left" w:pos="6660"/>
              </w:tabs>
              <w:spacing w:line="240" w:lineRule="auto"/>
              <w:rPr>
                <w:rFonts w:eastAsia="MS Mincho"/>
                <w:b/>
                <w:iCs/>
              </w:rPr>
            </w:pPr>
            <w:r w:rsidRPr="00731C3E">
              <w:rPr>
                <w:rFonts w:eastAsia="MS Mincho"/>
                <w:bCs/>
              </w:rPr>
              <w:t>Dru</w:t>
            </w:r>
            <w:r w:rsidR="007B1BA3" w:rsidRPr="00731C3E">
              <w:rPr>
                <w:rFonts w:eastAsia="MS Mincho"/>
                <w:bCs/>
              </w:rPr>
              <w:t>hou variantou</w:t>
            </w:r>
            <w:r w:rsidRPr="00731C3E">
              <w:rPr>
                <w:rFonts w:eastAsia="MS Mincho"/>
                <w:bCs/>
              </w:rPr>
              <w:t xml:space="preserve"> </w:t>
            </w:r>
            <w:r w:rsidR="007B1BA3" w:rsidRPr="00731C3E">
              <w:rPr>
                <w:rFonts w:eastAsia="MS Mincho"/>
                <w:bCs/>
              </w:rPr>
              <w:t>je změna formou novely zákona o oceňování majetku, upravující některé postupy oceňování</w:t>
            </w:r>
            <w:r w:rsidR="00807FE6" w:rsidRPr="00731C3E">
              <w:rPr>
                <w:rFonts w:eastAsia="MS Mincho"/>
                <w:bCs/>
              </w:rPr>
              <w:t xml:space="preserve"> a obsahující další spíše technické úpravy </w:t>
            </w:r>
            <w:r w:rsidR="00302FA9" w:rsidRPr="00731C3E">
              <w:rPr>
                <w:rFonts w:eastAsia="MS Mincho"/>
                <w:bCs/>
              </w:rPr>
              <w:t>nebo</w:t>
            </w:r>
            <w:r w:rsidR="00807FE6" w:rsidRPr="00731C3E">
              <w:rPr>
                <w:rFonts w:eastAsia="MS Mincho"/>
                <w:bCs/>
              </w:rPr>
              <w:t xml:space="preserve"> reakce na již platné právní předpisy.</w:t>
            </w:r>
            <w:r w:rsidR="007B1BA3">
              <w:rPr>
                <w:rFonts w:eastAsia="MS Mincho"/>
                <w:b/>
                <w:bCs/>
              </w:rPr>
              <w:t xml:space="preserve">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5. Stanovisko předkladatele k zpracování RIA.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5A1" w:rsidRPr="0032453D" w:rsidRDefault="00574750" w:rsidP="000F35A1">
            <w:pPr>
              <w:tabs>
                <w:tab w:val="left" w:pos="6660"/>
              </w:tabs>
              <w:spacing w:line="240" w:lineRule="auto"/>
              <w:rPr>
                <w:rFonts w:eastAsia="MS Mincho"/>
              </w:rPr>
            </w:pPr>
            <w:r w:rsidRPr="0032453D">
              <w:rPr>
                <w:rFonts w:eastAsia="MS Mincho"/>
                <w:bCs/>
              </w:rPr>
              <w:t>ANO</w:t>
            </w:r>
            <w:r w:rsidRPr="0032453D">
              <w:rPr>
                <w:rFonts w:eastAsia="MS Mincho"/>
                <w:b/>
                <w:bCs/>
                <w:i/>
                <w:iCs/>
              </w:rPr>
              <w:t xml:space="preserve"> </w:t>
            </w:r>
            <w:r w:rsidR="008821B7">
              <w:rPr>
                <w:rFonts w:eastAsia="MS Mincho"/>
                <w:b/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3"/>
            <w:r w:rsidR="008821B7">
              <w:rPr>
                <w:rFonts w:eastAsia="MS Mincho"/>
                <w:b/>
                <w:bCs/>
              </w:rPr>
              <w:instrText xml:space="preserve"> FORMCHECKBOX </w:instrText>
            </w:r>
            <w:r w:rsidR="00F371B3">
              <w:rPr>
                <w:rFonts w:eastAsia="MS Mincho"/>
                <w:b/>
                <w:bCs/>
              </w:rPr>
            </w:r>
            <w:r w:rsidR="00F371B3">
              <w:rPr>
                <w:rFonts w:eastAsia="MS Mincho"/>
                <w:b/>
                <w:bCs/>
              </w:rPr>
              <w:fldChar w:fldCharType="separate"/>
            </w:r>
            <w:r w:rsidR="008821B7">
              <w:rPr>
                <w:rFonts w:eastAsia="MS Mincho"/>
                <w:b/>
                <w:bCs/>
              </w:rPr>
              <w:fldChar w:fldCharType="end"/>
            </w:r>
            <w:bookmarkEnd w:id="4"/>
            <w:r w:rsidRPr="0032453D">
              <w:rPr>
                <w:rFonts w:eastAsia="MS Mincho"/>
                <w:bCs/>
                <w:i/>
              </w:rPr>
              <w:t xml:space="preserve"> </w:t>
            </w:r>
            <w:r w:rsidR="000F35A1" w:rsidRPr="0032453D">
              <w:rPr>
                <w:rFonts w:eastAsia="MS Mincho"/>
                <w:bCs/>
              </w:rPr>
              <w:t xml:space="preserve">NE </w:t>
            </w:r>
            <w:r w:rsidR="000F35A1">
              <w:rPr>
                <w:rFonts w:eastAsia="MS Mincho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5A1">
              <w:rPr>
                <w:rFonts w:eastAsia="MS Mincho"/>
                <w:b/>
                <w:bCs/>
              </w:rPr>
              <w:instrText xml:space="preserve"> FORMCHECKBOX </w:instrText>
            </w:r>
            <w:r w:rsidR="00F371B3">
              <w:rPr>
                <w:rFonts w:eastAsia="MS Mincho"/>
                <w:b/>
                <w:bCs/>
              </w:rPr>
            </w:r>
            <w:r w:rsidR="00F371B3">
              <w:rPr>
                <w:rFonts w:eastAsia="MS Mincho"/>
                <w:b/>
                <w:bCs/>
              </w:rPr>
              <w:fldChar w:fldCharType="separate"/>
            </w:r>
            <w:r w:rsidR="000F35A1">
              <w:rPr>
                <w:rFonts w:eastAsia="MS Mincho"/>
                <w:b/>
                <w:bCs/>
              </w:rPr>
              <w:fldChar w:fldCharType="end"/>
            </w:r>
            <w:r w:rsidR="000F35A1" w:rsidRPr="0032453D">
              <w:rPr>
                <w:rFonts w:eastAsia="MS Mincho"/>
              </w:rPr>
              <w:t xml:space="preserve"> </w:t>
            </w:r>
          </w:p>
          <w:p w:rsidR="008821B7" w:rsidRPr="00731C3E" w:rsidRDefault="008821B7" w:rsidP="008821B7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731C3E">
              <w:rPr>
                <w:rFonts w:eastAsia="MS Mincho"/>
                <w:bCs/>
              </w:rPr>
              <w:t>Dvě varianty: - stávající stav</w:t>
            </w:r>
          </w:p>
          <w:p w:rsidR="007B1BA3" w:rsidRPr="00731C3E" w:rsidRDefault="008821B7" w:rsidP="008821B7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731C3E">
              <w:rPr>
                <w:rFonts w:eastAsia="MS Mincho"/>
                <w:bCs/>
              </w:rPr>
              <w:t xml:space="preserve">                        - změna zákona </w:t>
            </w:r>
            <w:r w:rsidR="007B1BA3" w:rsidRPr="00731C3E">
              <w:rPr>
                <w:rFonts w:eastAsia="MS Mincho"/>
                <w:bCs/>
              </w:rPr>
              <w:t xml:space="preserve">o oceňování majetku </w:t>
            </w:r>
            <w:r w:rsidRPr="00731C3E">
              <w:rPr>
                <w:rFonts w:eastAsia="MS Mincho"/>
                <w:bCs/>
              </w:rPr>
              <w:t xml:space="preserve">formou novely, obsahující </w:t>
            </w:r>
            <w:r w:rsidR="007B1BA3" w:rsidRPr="00731C3E">
              <w:rPr>
                <w:rFonts w:eastAsia="MS Mincho"/>
                <w:bCs/>
              </w:rPr>
              <w:t xml:space="preserve">    </w:t>
            </w:r>
          </w:p>
          <w:p w:rsidR="00574750" w:rsidRPr="0032453D" w:rsidRDefault="007B1BA3" w:rsidP="00807FE6">
            <w:pPr>
              <w:tabs>
                <w:tab w:val="left" w:pos="6660"/>
              </w:tabs>
              <w:spacing w:line="240" w:lineRule="auto"/>
              <w:rPr>
                <w:rFonts w:eastAsia="MS Mincho"/>
                <w:b/>
              </w:rPr>
            </w:pPr>
            <w:r w:rsidRPr="00731C3E">
              <w:rPr>
                <w:rFonts w:eastAsia="MS Mincho"/>
                <w:bCs/>
              </w:rPr>
              <w:t xml:space="preserve">                        </w:t>
            </w:r>
            <w:r w:rsidR="008821B7" w:rsidRPr="00731C3E">
              <w:rPr>
                <w:rFonts w:eastAsia="MS Mincho"/>
                <w:bCs/>
              </w:rPr>
              <w:t xml:space="preserve">zejména reakci na již </w:t>
            </w:r>
            <w:r w:rsidRPr="00731C3E">
              <w:rPr>
                <w:rFonts w:eastAsia="MS Mincho"/>
                <w:bCs/>
              </w:rPr>
              <w:t>p</w:t>
            </w:r>
            <w:r w:rsidR="00273F63" w:rsidRPr="00731C3E">
              <w:rPr>
                <w:rFonts w:eastAsia="MS Mincho"/>
                <w:bCs/>
              </w:rPr>
              <w:t>latné právní předpisy a</w:t>
            </w:r>
            <w:r w:rsidR="008821B7" w:rsidRPr="00731C3E">
              <w:rPr>
                <w:rFonts w:eastAsia="MS Mincho"/>
                <w:bCs/>
              </w:rPr>
              <w:t xml:space="preserve"> úpravu dílčích postupů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bottom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6. Přijetí prováděcích právních předpisů </w:t>
            </w:r>
            <w:r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12"/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bookmarkEnd w:id="5"/>
            <w:r w:rsidRPr="0032453D">
              <w:rPr>
                <w:rFonts w:eastAsia="MS Mincho"/>
                <w:bCs/>
              </w:rPr>
              <w:t xml:space="preserve"> ANO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731C3E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/>
              </w:rPr>
            </w:pPr>
            <w:r w:rsidRPr="00731C3E">
              <w:rPr>
                <w:rFonts w:eastAsia="MS Mincho"/>
                <w:bCs/>
              </w:rPr>
              <w:t xml:space="preserve">Upřesnění </w:t>
            </w:r>
            <w:r w:rsidR="008B575B" w:rsidRPr="00731C3E">
              <w:rPr>
                <w:rFonts w:eastAsia="MS Mincho"/>
                <w:bCs/>
              </w:rPr>
              <w:t xml:space="preserve">předmětů oceňování, </w:t>
            </w:r>
            <w:r w:rsidRPr="00731C3E">
              <w:rPr>
                <w:rFonts w:eastAsia="MS Mincho"/>
                <w:bCs/>
              </w:rPr>
              <w:t xml:space="preserve">oceňovacích způsobů a postupů. </w:t>
            </w:r>
          </w:p>
        </w:tc>
      </w:tr>
    </w:tbl>
    <w:p w:rsidR="00574750" w:rsidRPr="004C52F4" w:rsidRDefault="00574750" w:rsidP="00512B09">
      <w:pPr>
        <w:spacing w:after="0" w:line="240" w:lineRule="auto"/>
        <w:rPr>
          <w:rFonts w:eastAsia="MS Mincho"/>
          <w:sz w:val="1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>7. Dotčené subjekty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731C3E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Cs/>
              </w:rPr>
            </w:pPr>
            <w:r w:rsidRPr="00731C3E">
              <w:rPr>
                <w:rFonts w:eastAsia="MS Mincho"/>
                <w:bCs/>
              </w:rPr>
              <w:t>Právnické a fyzické osoby.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8. Konzultace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731C3E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Cs/>
              </w:rPr>
            </w:pPr>
            <w:r w:rsidRPr="00731C3E">
              <w:rPr>
                <w:rFonts w:eastAsia="MS Mincho"/>
                <w:bCs/>
              </w:rPr>
              <w:t>S ústředními orgány státní správy, vysokými školami, profesními organizacemi, finančními úřady, soudními znalci, odbornou veřejností, atd.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/>
                <w:iCs/>
              </w:rPr>
            </w:pPr>
            <w:r w:rsidRPr="0032453D">
              <w:rPr>
                <w:rFonts w:eastAsia="MS Mincho"/>
                <w:bCs/>
              </w:rPr>
              <w:t xml:space="preserve">9. Dostupná data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731C3E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731C3E">
              <w:rPr>
                <w:rFonts w:eastAsia="MS Mincho"/>
                <w:bCs/>
              </w:rPr>
              <w:t xml:space="preserve">Právní předpisy (Nový občanský zákoník, popřípadě stavební zákon, katastrální zákon). </w:t>
            </w:r>
          </w:p>
        </w:tc>
      </w:tr>
    </w:tbl>
    <w:p w:rsidR="005A7751" w:rsidRPr="004C52F4" w:rsidRDefault="005A7751" w:rsidP="00512B09">
      <w:pPr>
        <w:spacing w:after="0" w:line="240" w:lineRule="auto"/>
        <w:rPr>
          <w:rFonts w:eastAsia="MS Mincho"/>
          <w:sz w:val="1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/>
                <w:iCs/>
              </w:rPr>
            </w:pPr>
            <w:r w:rsidRPr="0032453D">
              <w:rPr>
                <w:rFonts w:eastAsia="MS Mincho"/>
                <w:bCs/>
              </w:rPr>
              <w:t>10. Charakteristika specifických dopadů</w:t>
            </w:r>
            <w:r w:rsidRPr="0032453D">
              <w:rPr>
                <w:rFonts w:eastAsia="MS Mincho"/>
                <w:i/>
                <w:iCs/>
              </w:rPr>
              <w:t xml:space="preserve">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10.1 Dopady na státní rozpočet a ostatní veřejné rozpočty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4C52F4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751" w:rsidRPr="004C52F4" w:rsidRDefault="00973F8F" w:rsidP="000F35A1">
            <w:pPr>
              <w:rPr>
                <w:rFonts w:eastAsia="MS Mincho"/>
                <w:bCs/>
                <w:iCs/>
                <w:sz w:val="22"/>
              </w:rPr>
            </w:pPr>
            <w:r w:rsidRPr="004C52F4">
              <w:rPr>
                <w:rFonts w:eastAsia="MS Mincho"/>
                <w:bCs/>
                <w:iCs/>
                <w:sz w:val="22"/>
              </w:rP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/>
                <w:iCs/>
              </w:rPr>
            </w:pPr>
            <w:r w:rsidRPr="0032453D">
              <w:rPr>
                <w:rFonts w:eastAsia="MS Mincho"/>
                <w:bCs/>
              </w:rPr>
              <w:t xml:space="preserve">10.2 Dopady na mezinárodní konkurenceschopnost ČR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1B3D8B" w:rsidRDefault="00973F8F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Cs/>
              </w:rPr>
            </w:pPr>
            <w:r>
              <w:rPr>
                <w:rFonts w:eastAsia="MS Mincho"/>
                <w:bCs/>
              </w:rPr>
              <w:t>-</w:t>
            </w:r>
            <w:r w:rsidR="001B3D8B" w:rsidRPr="0032453D">
              <w:rPr>
                <w:rFonts w:eastAsia="MS Mincho"/>
                <w:bCs/>
              </w:rPr>
              <w:t xml:space="preserve">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</w:rPr>
            </w:pPr>
            <w:r w:rsidRPr="0032453D">
              <w:rPr>
                <w:rFonts w:eastAsia="MS Mincho"/>
                <w:bCs/>
              </w:rPr>
              <w:t xml:space="preserve">10.3 Dopady na podnikatelské prostředí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32453D" w:rsidRDefault="00973F8F" w:rsidP="007472D5">
            <w:pPr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i/>
                <w:iCs/>
              </w:rPr>
            </w:pPr>
            <w:r w:rsidRPr="0032453D">
              <w:rPr>
                <w:rFonts w:eastAsia="MS Mincho"/>
                <w:bCs/>
              </w:rPr>
              <w:lastRenderedPageBreak/>
              <w:t xml:space="preserve">10.4 Dopady na územní samosprávné celky (obce, kraje)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296325" w:rsidRDefault="00296325" w:rsidP="0041106F">
            <w:pPr>
              <w:tabs>
                <w:tab w:val="left" w:pos="6660"/>
              </w:tabs>
              <w:spacing w:line="240" w:lineRule="auto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10.5 Sociální dopady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32453D" w:rsidRDefault="00727908" w:rsidP="007472D5">
            <w:pPr>
              <w:rPr>
                <w:rFonts w:eastAsia="MS Mincho"/>
                <w:b/>
                <w:bCs/>
                <w:i/>
                <w:iCs/>
              </w:rPr>
            </w:pPr>
            <w: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10.6 Dopady na spotřebitele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32453D" w:rsidRDefault="009E3AC4" w:rsidP="00DD78F2">
            <w:pPr>
              <w:tabs>
                <w:tab w:val="left" w:pos="6660"/>
              </w:tabs>
              <w:spacing w:line="240" w:lineRule="auto"/>
              <w:rPr>
                <w:rFonts w:eastAsia="MS Mincho"/>
                <w:b/>
                <w:bCs/>
                <w:i/>
                <w:iCs/>
              </w:rPr>
            </w:pPr>
            <w:r>
              <w:t>-</w:t>
            </w:r>
          </w:p>
        </w:tc>
      </w:tr>
      <w:tr w:rsidR="00574750" w:rsidRPr="0032453D" w:rsidTr="00911AB2">
        <w:trPr>
          <w:trHeight w:val="38"/>
          <w:jc w:val="center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 xml:space="preserve">10.7 Dopady na životní prostředí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4750" w:rsidRPr="0032453D" w:rsidRDefault="009E3AC4" w:rsidP="007472D5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/>
                <w:bCs/>
              </w:rPr>
            </w:pPr>
            <w:r w:rsidRPr="0032453D">
              <w:rPr>
                <w:rFonts w:eastAsia="MS Mincho"/>
                <w:bCs/>
              </w:rPr>
              <w:t>10.8 Dopady ve vztahu k zákazu diskriminace</w:t>
            </w:r>
            <w:r w:rsidRPr="0032453D" w:rsidDel="00547A7E">
              <w:rPr>
                <w:rFonts w:eastAsia="MS Mincho"/>
                <w:b/>
                <w:bCs/>
              </w:rPr>
              <w:t xml:space="preserve"> </w:t>
            </w:r>
            <w:r w:rsidRPr="0032453D">
              <w:rPr>
                <w:rFonts w:eastAsia="MS Mincho"/>
                <w:bCs/>
              </w:rPr>
              <w:t>a ve vztahu k rovnosti žen a mužů</w:t>
            </w:r>
            <w:r w:rsidRPr="0032453D">
              <w:rPr>
                <w:rFonts w:eastAsia="MS Mincho"/>
                <w:b/>
                <w:bCs/>
              </w:rPr>
              <w:t xml:space="preserve"> </w:t>
            </w:r>
            <w:r w:rsidR="00360196">
              <w:rPr>
                <w:rFonts w:eastAsia="MS Mincho"/>
                <w:b/>
                <w:bCs/>
              </w:rPr>
              <w:br/>
              <w:t xml:space="preserve">                 </w:t>
            </w:r>
            <w:r w:rsidRPr="0032453D">
              <w:rPr>
                <w:rFonts w:eastAsia="MS Mincho"/>
                <w:b/>
                <w:bCs/>
              </w:rPr>
              <w:t xml:space="preserve"> </w:t>
            </w:r>
            <w:r>
              <w:rPr>
                <w:rFonts w:eastAsia="MS Mincho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/>
                <w:b/>
                <w:bCs/>
              </w:rPr>
              <w:instrText xml:space="preserve"> FORMCHECKBOX </w:instrText>
            </w:r>
            <w:r w:rsidR="00F371B3">
              <w:rPr>
                <w:rFonts w:eastAsia="MS Mincho"/>
                <w:b/>
                <w:bCs/>
              </w:rPr>
            </w:r>
            <w:r w:rsidR="00F371B3">
              <w:rPr>
                <w:rFonts w:eastAsia="MS Mincho"/>
                <w:b/>
                <w:bCs/>
              </w:rPr>
              <w:fldChar w:fldCharType="separate"/>
            </w:r>
            <w:r>
              <w:rPr>
                <w:rFonts w:eastAsia="MS Mincho"/>
                <w:b/>
                <w:bCs/>
              </w:rPr>
              <w:fldChar w:fldCharType="end"/>
            </w:r>
            <w:r w:rsidRPr="0032453D">
              <w:rPr>
                <w:rFonts w:eastAsia="MS Mincho"/>
                <w:b/>
                <w:bCs/>
              </w:rPr>
              <w:t xml:space="preserve"> </w:t>
            </w:r>
            <w:r w:rsidRPr="0032453D">
              <w:rPr>
                <w:rFonts w:eastAsia="MS Mincho"/>
                <w:bCs/>
              </w:rPr>
              <w:t xml:space="preserve">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</w:t>
            </w:r>
            <w:r w:rsidRPr="0032453D">
              <w:rPr>
                <w:rFonts w:eastAsia="MS Mincho"/>
                <w:b/>
                <w:bCs/>
              </w:rPr>
              <w:t xml:space="preserve">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4750" w:rsidRPr="0032453D" w:rsidRDefault="00D748AD" w:rsidP="007472D5">
            <w:pPr>
              <w:ind w:firstLine="357"/>
              <w:rPr>
                <w:rFonts w:eastAsia="MS Mincho"/>
                <w:bCs/>
              </w:rPr>
            </w:pPr>
            <w:r>
              <w:rPr>
                <w:noProof/>
              </w:rP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</w:rPr>
            </w:pPr>
            <w:r w:rsidRPr="0032453D">
              <w:rPr>
                <w:rFonts w:eastAsia="MS Mincho"/>
                <w:bCs/>
              </w:rPr>
              <w:t xml:space="preserve">10.9 Dopady na výkon státní statistické služby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 w:rsidRPr="004F3CF7">
              <w:rPr>
                <w:rFonts w:eastAsia="MS Mincho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F3CF7">
              <w:rPr>
                <w:rFonts w:eastAsia="MS Mincho"/>
                <w:b/>
                <w:bCs/>
              </w:rPr>
              <w:instrText xml:space="preserve"> FORMCHECKBOX </w:instrText>
            </w:r>
            <w:r w:rsidR="00F371B3">
              <w:rPr>
                <w:rFonts w:eastAsia="MS Mincho"/>
                <w:b/>
                <w:bCs/>
              </w:rPr>
            </w:r>
            <w:r w:rsidR="00F371B3">
              <w:rPr>
                <w:rFonts w:eastAsia="MS Mincho"/>
                <w:b/>
                <w:bCs/>
              </w:rPr>
              <w:fldChar w:fldCharType="separate"/>
            </w:r>
            <w:r w:rsidRPr="004F3CF7">
              <w:rPr>
                <w:rFonts w:eastAsia="MS Mincho"/>
                <w:b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4750" w:rsidRPr="0032453D" w:rsidRDefault="00D748AD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>
              <w:t>-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  <w:i/>
                <w:iCs/>
              </w:rPr>
            </w:pPr>
            <w:r w:rsidRPr="0032453D">
              <w:rPr>
                <w:rFonts w:eastAsia="MS Mincho"/>
                <w:bCs/>
              </w:rPr>
              <w:t xml:space="preserve">10.10 Zhodnocení korupčních rizik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trHeight w:val="406"/>
          <w:jc w:val="center"/>
        </w:trPr>
        <w:tc>
          <w:tcPr>
            <w:tcW w:w="94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74750" w:rsidRPr="0032453D" w:rsidRDefault="00D748AD" w:rsidP="00D84386">
            <w:pPr>
              <w:rPr>
                <w:rFonts w:eastAsia="MS Mincho"/>
              </w:rPr>
            </w:pPr>
            <w:r>
              <w:t>-</w:t>
            </w:r>
          </w:p>
        </w:tc>
      </w:tr>
      <w:tr w:rsidR="00574750" w:rsidRPr="0032453D" w:rsidTr="00911AB2">
        <w:trPr>
          <w:trHeight w:val="406"/>
          <w:jc w:val="center"/>
        </w:trPr>
        <w:tc>
          <w:tcPr>
            <w:tcW w:w="946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  <w:i/>
                <w:iCs/>
              </w:rPr>
            </w:pPr>
            <w:r w:rsidRPr="0032453D">
              <w:rPr>
                <w:rFonts w:eastAsia="MS Mincho"/>
                <w:bCs/>
              </w:rPr>
              <w:t xml:space="preserve">10.11 Dopady na bezpečnost nebo obranu státu  </w:t>
            </w:r>
            <w:r w:rsidRPr="0032453D">
              <w:rPr>
                <w:rFonts w:eastAsia="MS Mincho"/>
                <w:bCs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53D"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 w:rsidRPr="0032453D"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ANO    </w:t>
            </w:r>
            <w:r>
              <w:rPr>
                <w:rFonts w:eastAsia="MS Mincho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/>
                <w:bCs/>
              </w:rPr>
              <w:instrText xml:space="preserve"> FORMCHECKBOX </w:instrText>
            </w:r>
            <w:r w:rsidR="00F371B3">
              <w:rPr>
                <w:rFonts w:eastAsia="MS Mincho"/>
                <w:bCs/>
              </w:rPr>
            </w:r>
            <w:r w:rsidR="00F371B3">
              <w:rPr>
                <w:rFonts w:eastAsia="MS Mincho"/>
                <w:bCs/>
              </w:rPr>
              <w:fldChar w:fldCharType="separate"/>
            </w:r>
            <w:r>
              <w:rPr>
                <w:rFonts w:eastAsia="MS Mincho"/>
                <w:bCs/>
              </w:rPr>
              <w:fldChar w:fldCharType="end"/>
            </w:r>
            <w:r w:rsidRPr="0032453D">
              <w:rPr>
                <w:rFonts w:eastAsia="MS Mincho"/>
                <w:bCs/>
              </w:rPr>
              <w:t xml:space="preserve"> NE    </w:t>
            </w:r>
          </w:p>
        </w:tc>
      </w:tr>
      <w:tr w:rsidR="00574750" w:rsidRPr="0032453D" w:rsidTr="00911AB2">
        <w:trPr>
          <w:jc w:val="center"/>
        </w:trPr>
        <w:tc>
          <w:tcPr>
            <w:tcW w:w="94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74750" w:rsidRPr="0032453D" w:rsidRDefault="0084688F" w:rsidP="00911AB2">
            <w:pPr>
              <w:autoSpaceDE w:val="0"/>
              <w:autoSpaceDN w:val="0"/>
              <w:adjustRightInd w:val="0"/>
              <w:rPr>
                <w:rFonts w:eastAsia="MS Mincho"/>
                <w:i/>
              </w:rPr>
            </w:pPr>
            <w:r>
              <w:t>-</w:t>
            </w:r>
          </w:p>
        </w:tc>
      </w:tr>
    </w:tbl>
    <w:p w:rsidR="0084688F" w:rsidRPr="004C52F4" w:rsidRDefault="0084688F" w:rsidP="00512B09">
      <w:pPr>
        <w:tabs>
          <w:tab w:val="left" w:pos="6660"/>
        </w:tabs>
        <w:spacing w:after="0" w:line="240" w:lineRule="auto"/>
        <w:rPr>
          <w:rFonts w:eastAsia="MS Mincho"/>
          <w:sz w:val="16"/>
        </w:rPr>
      </w:pP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574750" w:rsidRPr="0032453D" w:rsidTr="00911AB2">
        <w:trPr>
          <w:trHeight w:val="1266"/>
          <w:jc w:val="center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750" w:rsidRPr="0032453D" w:rsidRDefault="00574750" w:rsidP="00911AB2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32453D">
              <w:rPr>
                <w:rFonts w:eastAsia="MS Mincho"/>
                <w:bCs/>
              </w:rPr>
              <w:t>11. Kontakty na zpracovatele</w:t>
            </w:r>
          </w:p>
          <w:p w:rsidR="00574750" w:rsidRPr="0032453D" w:rsidRDefault="00574750" w:rsidP="00523778">
            <w:pPr>
              <w:numPr>
                <w:ilvl w:val="0"/>
                <w:numId w:val="11"/>
              </w:numPr>
              <w:tabs>
                <w:tab w:val="left" w:pos="6660"/>
              </w:tabs>
              <w:spacing w:line="240" w:lineRule="auto"/>
              <w:jc w:val="left"/>
              <w:rPr>
                <w:rFonts w:eastAsia="MS Mincho"/>
                <w:lang w:val="en-US"/>
              </w:rPr>
            </w:pPr>
            <w:r>
              <w:rPr>
                <w:i/>
                <w:iCs/>
              </w:rPr>
              <w:t xml:space="preserve">Ing. Petr Polák, </w:t>
            </w:r>
            <w:r w:rsidR="00523778">
              <w:rPr>
                <w:i/>
                <w:iCs/>
              </w:rPr>
              <w:t>vedoucí</w:t>
            </w:r>
            <w:r w:rsidRPr="00E25A34">
              <w:rPr>
                <w:i/>
                <w:iCs/>
              </w:rPr>
              <w:t xml:space="preserve"> oddělení 2602</w:t>
            </w:r>
            <w:r w:rsidRPr="009E589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/odbor 26 – Majetkové</w:t>
            </w:r>
            <w:r w:rsidR="00FF023F">
              <w:rPr>
                <w:i/>
                <w:iCs/>
              </w:rPr>
              <w:t xml:space="preserve"> daně</w:t>
            </w:r>
            <w:r>
              <w:rPr>
                <w:i/>
                <w:iCs/>
              </w:rPr>
              <w:t xml:space="preserve"> a oceňování, telefon: 257 044 265, petr.polak2@mfcr.cz</w:t>
            </w:r>
          </w:p>
        </w:tc>
      </w:tr>
    </w:tbl>
    <w:p w:rsidR="000C3949" w:rsidRPr="004C52F4" w:rsidRDefault="00BE0A6F" w:rsidP="004D4D3C">
      <w:pPr>
        <w:spacing w:line="264" w:lineRule="auto"/>
        <w:ind w:firstLine="0"/>
        <w:rPr>
          <w:rFonts w:eastAsia="MS Mincho"/>
          <w:sz w:val="16"/>
        </w:rPr>
      </w:pPr>
      <w:r w:rsidRPr="004C52F4">
        <w:rPr>
          <w:rFonts w:eastAsia="MS Mincho"/>
          <w:sz w:val="16"/>
        </w:rPr>
        <w:tab/>
      </w:r>
    </w:p>
    <w:p w:rsidR="000C3949" w:rsidRDefault="000C3949" w:rsidP="004D4D3C">
      <w:pPr>
        <w:spacing w:line="264" w:lineRule="auto"/>
        <w:ind w:firstLine="0"/>
        <w:rPr>
          <w:rFonts w:eastAsia="MS Mincho"/>
          <w:iCs/>
        </w:rPr>
      </w:pPr>
      <w:r>
        <w:rPr>
          <w:rFonts w:eastAsia="MS Mincho"/>
        </w:rPr>
        <w:tab/>
      </w:r>
      <w:r w:rsidR="004D4D3C">
        <w:rPr>
          <w:rFonts w:eastAsia="MS Mincho"/>
        </w:rPr>
        <w:t>Přehled dopadů návrhu právního předpisu byl nově</w:t>
      </w:r>
      <w:r w:rsidR="004D4D3C" w:rsidRPr="004D4D3C">
        <w:rPr>
          <w:rFonts w:eastAsia="MS Mincho"/>
        </w:rPr>
        <w:t xml:space="preserve"> upraven</w:t>
      </w:r>
      <w:r w:rsidR="004D4D3C">
        <w:rPr>
          <w:rFonts w:eastAsia="MS Mincho"/>
        </w:rPr>
        <w:t xml:space="preserve"> z důvodu</w:t>
      </w:r>
      <w:r w:rsidR="004D4D3C" w:rsidRPr="004D4D3C">
        <w:rPr>
          <w:rFonts w:eastAsia="MS Mincho"/>
        </w:rPr>
        <w:t xml:space="preserve"> </w:t>
      </w:r>
      <w:r w:rsidR="004D4D3C">
        <w:rPr>
          <w:rFonts w:eastAsia="MS Mincho"/>
        </w:rPr>
        <w:t>změny</w:t>
      </w:r>
      <w:r w:rsidR="00670402" w:rsidRPr="00D84A51">
        <w:rPr>
          <w:rFonts w:eastAsia="MS Mincho"/>
        </w:rPr>
        <w:t>,</w:t>
      </w:r>
      <w:r w:rsidR="006D3DA5">
        <w:rPr>
          <w:rFonts w:eastAsia="MS Mincho"/>
        </w:rPr>
        <w:t xml:space="preserve"> </w:t>
      </w:r>
      <w:r w:rsidR="00E91268">
        <w:rPr>
          <w:rFonts w:eastAsia="MS Mincho"/>
        </w:rPr>
        <w:br/>
        <w:t xml:space="preserve">kdy </w:t>
      </w:r>
      <w:r w:rsidR="00003841">
        <w:t xml:space="preserve">v </w:t>
      </w:r>
      <w:r w:rsidR="00670402">
        <w:t>Plánu</w:t>
      </w:r>
      <w:r w:rsidR="00670402" w:rsidRPr="0088158E">
        <w:t xml:space="preserve"> legislativních prací v</w:t>
      </w:r>
      <w:r w:rsidR="00670402">
        <w:t>lády na zbývající část roku 2018 bylo</w:t>
      </w:r>
      <w:r w:rsidR="00670402">
        <w:rPr>
          <w:rFonts w:eastAsia="MS Mincho"/>
        </w:rPr>
        <w:t xml:space="preserve"> rozhodnuto, </w:t>
      </w:r>
      <w:r w:rsidR="00E91268">
        <w:rPr>
          <w:rFonts w:eastAsia="MS Mincho"/>
        </w:rPr>
        <w:br/>
      </w:r>
      <w:r w:rsidR="00670402">
        <w:rPr>
          <w:rFonts w:eastAsia="MS Mincho"/>
        </w:rPr>
        <w:t xml:space="preserve">že k </w:t>
      </w:r>
      <w:r w:rsidR="00670402" w:rsidRPr="00670402">
        <w:rPr>
          <w:rFonts w:eastAsia="MS Mincho"/>
          <w:iCs/>
        </w:rPr>
        <w:t>Návrh</w:t>
      </w:r>
      <w:r w:rsidR="00670402">
        <w:rPr>
          <w:rFonts w:eastAsia="MS Mincho"/>
          <w:iCs/>
        </w:rPr>
        <w:t>u</w:t>
      </w:r>
      <w:r w:rsidR="00670402" w:rsidRPr="00670402">
        <w:rPr>
          <w:rFonts w:eastAsia="MS Mincho"/>
          <w:iCs/>
        </w:rPr>
        <w:t xml:space="preserve"> zákona, kterým se mění zákon č. 151/1997 Sb., o oceňování majetku a o změně některých zákonů (zákon o oceňování majetku), ve znění pozdějších předpisů</w:t>
      </w:r>
      <w:r w:rsidR="00386F74">
        <w:rPr>
          <w:rFonts w:eastAsia="MS Mincho"/>
          <w:iCs/>
        </w:rPr>
        <w:t xml:space="preserve">, bude </w:t>
      </w:r>
      <w:r w:rsidR="00003841">
        <w:rPr>
          <w:rFonts w:eastAsia="MS Mincho"/>
          <w:iCs/>
        </w:rPr>
        <w:t>RIA zpracována</w:t>
      </w:r>
      <w:r w:rsidR="00670402" w:rsidRPr="00670402">
        <w:rPr>
          <w:rFonts w:eastAsia="MS Mincho"/>
          <w:iCs/>
        </w:rPr>
        <w:t>.</w:t>
      </w:r>
    </w:p>
    <w:p w:rsidR="004D4D3C" w:rsidRDefault="002630A5" w:rsidP="004D4D3C">
      <w:pPr>
        <w:spacing w:line="264" w:lineRule="auto"/>
        <w:ind w:firstLine="0"/>
        <w:rPr>
          <w:rFonts w:eastAsia="MS Mincho"/>
        </w:rPr>
      </w:pPr>
      <w:r>
        <w:rPr>
          <w:rFonts w:eastAsia="MS Mincho"/>
          <w:iCs/>
        </w:rPr>
        <w:t>Z</w:t>
      </w:r>
      <w:r w:rsidR="000C3949">
        <w:rPr>
          <w:rFonts w:eastAsia="MS Mincho"/>
          <w:iCs/>
        </w:rPr>
        <w:t> </w:t>
      </w:r>
      <w:r>
        <w:rPr>
          <w:rFonts w:eastAsia="MS Mincho"/>
          <w:iCs/>
        </w:rPr>
        <w:t>toho důvodu</w:t>
      </w:r>
      <w:r w:rsidRPr="002630A5">
        <w:rPr>
          <w:rFonts w:eastAsia="MS Mincho"/>
        </w:rPr>
        <w:t xml:space="preserve"> </w:t>
      </w:r>
      <w:r>
        <w:rPr>
          <w:rFonts w:eastAsia="MS Mincho"/>
        </w:rPr>
        <w:t>je</w:t>
      </w:r>
      <w:r w:rsidRPr="002630A5">
        <w:rPr>
          <w:rFonts w:eastAsia="MS Mincho"/>
        </w:rPr>
        <w:t xml:space="preserve"> </w:t>
      </w:r>
      <w:r>
        <w:rPr>
          <w:rFonts w:eastAsia="MS Mincho"/>
        </w:rPr>
        <w:t>Přehled dopadů návrhu právního předpisu</w:t>
      </w:r>
      <w:r w:rsidRPr="002630A5">
        <w:rPr>
          <w:rFonts w:eastAsia="MS Mincho"/>
        </w:rPr>
        <w:t xml:space="preserve"> </w:t>
      </w:r>
      <w:r>
        <w:rPr>
          <w:rFonts w:eastAsia="MS Mincho"/>
        </w:rPr>
        <w:t xml:space="preserve">předkládán v nové úpravě uvedené výše.  </w:t>
      </w:r>
    </w:p>
    <w:p w:rsidR="002D0CF7" w:rsidRDefault="002D0CF7" w:rsidP="004D4D3C">
      <w:pPr>
        <w:spacing w:line="264" w:lineRule="auto"/>
        <w:ind w:firstLine="0"/>
        <w:rPr>
          <w:rFonts w:eastAsia="MS Mincho"/>
        </w:rPr>
      </w:pPr>
    </w:p>
    <w:p w:rsidR="002D0CF7" w:rsidRDefault="002D0CF7" w:rsidP="004D4D3C">
      <w:pPr>
        <w:spacing w:line="264" w:lineRule="auto"/>
        <w:ind w:firstLine="0"/>
        <w:rPr>
          <w:rFonts w:eastAsia="MS Mincho"/>
        </w:rPr>
      </w:pPr>
    </w:p>
    <w:p w:rsidR="002D0CF7" w:rsidRPr="00670402" w:rsidRDefault="002D0CF7" w:rsidP="004D4D3C">
      <w:pPr>
        <w:spacing w:line="264" w:lineRule="auto"/>
        <w:ind w:firstLine="0"/>
        <w:rPr>
          <w:rFonts w:eastAsia="MS Mincho"/>
        </w:rPr>
      </w:pPr>
    </w:p>
    <w:p w:rsidR="00DD51A1" w:rsidRDefault="00DD51A1" w:rsidP="00DD51A1">
      <w:pPr>
        <w:spacing w:after="0" w:line="240" w:lineRule="auto"/>
        <w:jc w:val="center"/>
        <w:rPr>
          <w:rFonts w:eastAsia="Times New Roman Bold"/>
          <w:b/>
          <w:sz w:val="36"/>
          <w:szCs w:val="32"/>
        </w:rPr>
      </w:pPr>
      <w:r>
        <w:rPr>
          <w:b/>
          <w:sz w:val="36"/>
          <w:szCs w:val="32"/>
        </w:rPr>
        <w:t>Závěrečná zpráva o hodnocení dopadů regulace (RIA)</w:t>
      </w:r>
    </w:p>
    <w:p w:rsidR="007E6B6B" w:rsidRDefault="00DD51A1" w:rsidP="00DD51A1">
      <w:pPr>
        <w:tabs>
          <w:tab w:val="left" w:pos="6660"/>
        </w:tabs>
        <w:spacing w:line="240" w:lineRule="auto"/>
        <w:jc w:val="center"/>
        <w:rPr>
          <w:sz w:val="32"/>
        </w:rPr>
      </w:pPr>
      <w:r>
        <w:rPr>
          <w:sz w:val="32"/>
        </w:rPr>
        <w:t>SHRNUTÍ ZÁVĚREČNÉ ZPRÁVY RIA</w:t>
      </w:r>
    </w:p>
    <w:p w:rsidR="00B1693C" w:rsidRDefault="00B1693C" w:rsidP="00DD51A1">
      <w:pPr>
        <w:tabs>
          <w:tab w:val="left" w:pos="6660"/>
        </w:tabs>
        <w:spacing w:line="240" w:lineRule="auto"/>
        <w:jc w:val="center"/>
        <w:rPr>
          <w:sz w:val="32"/>
        </w:rPr>
      </w:pPr>
    </w:p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5001"/>
      </w:tblGrid>
      <w:tr w:rsidR="00DD51A1" w:rsidTr="00DD51A1">
        <w:tc>
          <w:tcPr>
            <w:tcW w:w="9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6660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1. Základní identifikační údaje </w:t>
            </w:r>
          </w:p>
        </w:tc>
      </w:tr>
      <w:tr w:rsidR="00DD51A1" w:rsidTr="00DD51A1">
        <w:trPr>
          <w:trHeight w:val="187"/>
        </w:trPr>
        <w:tc>
          <w:tcPr>
            <w:tcW w:w="9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:rsidR="00DD51A1" w:rsidRDefault="00DD51A1">
            <w:pPr>
              <w:keepNext/>
              <w:keepLines/>
              <w:spacing w:line="240" w:lineRule="auto"/>
              <w:outlineLvl w:val="0"/>
              <w:rPr>
                <w:lang w:eastAsia="en-US"/>
              </w:rPr>
            </w:pPr>
            <w:r>
              <w:rPr>
                <w:b/>
                <w:bCs/>
              </w:rPr>
              <w:t>Název návrhu zákona:</w:t>
            </w:r>
            <w:r>
              <w:rPr>
                <w:bCs/>
              </w:rPr>
              <w:t xml:space="preserve"> </w:t>
            </w:r>
            <w:r w:rsidR="00C0697F" w:rsidRPr="00C0697F">
              <w:rPr>
                <w:rFonts w:eastAsia="MS Mincho"/>
                <w:iCs/>
              </w:rPr>
              <w:t>Návrh zákona, kterým se mění zákon č. 151/1997 Sb., o oceňování majetku a o změně některých zákonů (zákon o oceňování majetku), ve znění pozdějších předpisů.</w:t>
            </w:r>
          </w:p>
        </w:tc>
      </w:tr>
      <w:tr w:rsidR="00DD51A1" w:rsidTr="00DD51A1">
        <w:trPr>
          <w:trHeight w:val="500"/>
        </w:trPr>
        <w:tc>
          <w:tcPr>
            <w:tcW w:w="4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1" w:rsidRDefault="00DD51A1">
            <w:pPr>
              <w:tabs>
                <w:tab w:val="left" w:pos="6660"/>
              </w:tabs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Zpracovatel / zástupce předkladatele:</w:t>
            </w:r>
          </w:p>
          <w:p w:rsidR="00DD51A1" w:rsidRDefault="00C0697F">
            <w:pPr>
              <w:tabs>
                <w:tab w:val="left" w:pos="6660"/>
              </w:tabs>
              <w:spacing w:line="240" w:lineRule="auto"/>
              <w:jc w:val="center"/>
              <w:rPr>
                <w:bCs/>
                <w:u w:val="single"/>
                <w:lang w:eastAsia="en-US"/>
              </w:rPr>
            </w:pPr>
            <w:r>
              <w:rPr>
                <w:bCs/>
              </w:rPr>
              <w:t>Ministerstvo financí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D51A1" w:rsidRDefault="00DD51A1">
            <w:pPr>
              <w:tabs>
                <w:tab w:val="left" w:pos="6660"/>
              </w:tabs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Předpokládaný termín nabytí účinnosti</w:t>
            </w:r>
          </w:p>
          <w:p w:rsidR="00DD51A1" w:rsidRDefault="00C0697F">
            <w:pPr>
              <w:tabs>
                <w:tab w:val="left" w:pos="6660"/>
              </w:tabs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1. ledna 2020</w:t>
            </w:r>
          </w:p>
        </w:tc>
      </w:tr>
      <w:tr w:rsidR="00DD51A1" w:rsidTr="00DD51A1">
        <w:trPr>
          <w:trHeight w:val="1080"/>
        </w:trPr>
        <w:tc>
          <w:tcPr>
            <w:tcW w:w="9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D51A1" w:rsidRDefault="00DD51A1" w:rsidP="00DD51A1">
            <w:pPr>
              <w:numPr>
                <w:ilvl w:val="1"/>
                <w:numId w:val="15"/>
              </w:numPr>
              <w:spacing w:before="0" w:line="240" w:lineRule="auto"/>
              <w:ind w:left="0" w:hanging="284"/>
              <w:rPr>
                <w:lang w:eastAsia="en-US"/>
              </w:rPr>
            </w:pPr>
            <w:r>
              <w:t xml:space="preserve">Implementace práva EU: </w:t>
            </w:r>
            <w:r w:rsidR="00C0697F" w:rsidRPr="00C0697F">
              <w:rPr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6660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2. Cíl návrhu zákona 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3C71" w:rsidRPr="00B1693C" w:rsidRDefault="00B45213" w:rsidP="006F40C5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BA28D6">
              <w:rPr>
                <w:rFonts w:eastAsia="MS Mincho"/>
                <w:bCs/>
              </w:rPr>
              <w:t xml:space="preserve">Cílem návrhu tohoto zákona je především zajistit soulad zákona o oceňování majetku s aktuálním </w:t>
            </w:r>
            <w:r w:rsidR="0060566C" w:rsidRPr="00BA28D6">
              <w:rPr>
                <w:rFonts w:eastAsia="MS Mincho"/>
                <w:bCs/>
              </w:rPr>
              <w:t>stavem</w:t>
            </w:r>
            <w:r w:rsidRPr="00BA28D6">
              <w:rPr>
                <w:rFonts w:eastAsia="MS Mincho"/>
                <w:bCs/>
              </w:rPr>
              <w:t xml:space="preserve"> právního řádu </w:t>
            </w:r>
            <w:r w:rsidR="007275CC" w:rsidRPr="00BA28D6">
              <w:rPr>
                <w:rFonts w:eastAsia="MS Mincho"/>
                <w:bCs/>
              </w:rPr>
              <w:t>směrem k</w:t>
            </w:r>
            <w:r w:rsidRPr="00BA28D6">
              <w:rPr>
                <w:rFonts w:eastAsia="MS Mincho"/>
                <w:bCs/>
              </w:rPr>
              <w:t xml:space="preserve"> oblasti oceňování. </w:t>
            </w:r>
            <w:r w:rsidR="00BB3071" w:rsidRPr="00BA28D6">
              <w:rPr>
                <w:rFonts w:eastAsia="MS Mincho"/>
                <w:bCs/>
              </w:rPr>
              <w:t>J</w:t>
            </w:r>
            <w:r w:rsidR="000A2949" w:rsidRPr="00BA28D6">
              <w:rPr>
                <w:rFonts w:eastAsia="MS Mincho"/>
                <w:bCs/>
              </w:rPr>
              <w:t>e potřeba</w:t>
            </w:r>
            <w:r w:rsidR="00C0697F" w:rsidRPr="00BA28D6">
              <w:rPr>
                <w:rFonts w:eastAsia="MS Mincho"/>
                <w:bCs/>
              </w:rPr>
              <w:t xml:space="preserve"> reagovat na vývoj v</w:t>
            </w:r>
            <w:r w:rsidR="006F40C5">
              <w:rPr>
                <w:rFonts w:eastAsia="MS Mincho"/>
                <w:bCs/>
              </w:rPr>
              <w:t> </w:t>
            </w:r>
            <w:r w:rsidR="00C0697F" w:rsidRPr="00BA28D6">
              <w:rPr>
                <w:rFonts w:eastAsia="MS Mincho"/>
                <w:bCs/>
              </w:rPr>
              <w:t>oblasti uplatňování věcných práv</w:t>
            </w:r>
            <w:r w:rsidR="00284B6C" w:rsidRPr="00BA28D6">
              <w:rPr>
                <w:rFonts w:eastAsia="MS Mincho"/>
                <w:bCs/>
              </w:rPr>
              <w:t xml:space="preserve"> (</w:t>
            </w:r>
            <w:r w:rsidR="00C0697F" w:rsidRPr="00BA28D6">
              <w:rPr>
                <w:rFonts w:eastAsia="MS Mincho"/>
                <w:bCs/>
              </w:rPr>
              <w:t>tj.</w:t>
            </w:r>
            <w:r w:rsidR="00176234" w:rsidRPr="00BA28D6">
              <w:rPr>
                <w:rFonts w:eastAsia="MS Mincho"/>
                <w:bCs/>
              </w:rPr>
              <w:t xml:space="preserve"> u</w:t>
            </w:r>
            <w:r w:rsidRPr="00BA28D6">
              <w:rPr>
                <w:rFonts w:eastAsia="MS Mincho"/>
                <w:bCs/>
              </w:rPr>
              <w:t>prav</w:t>
            </w:r>
            <w:r w:rsidR="00176234" w:rsidRPr="00BA28D6">
              <w:rPr>
                <w:rFonts w:eastAsia="MS Mincho"/>
                <w:bCs/>
              </w:rPr>
              <w:t>it náležitosti</w:t>
            </w:r>
            <w:r w:rsidR="00C0697F" w:rsidRPr="00BA28D6">
              <w:rPr>
                <w:rFonts w:eastAsia="MS Mincho"/>
                <w:bCs/>
              </w:rPr>
              <w:t xml:space="preserve"> ocenění práva stavby</w:t>
            </w:r>
            <w:r w:rsidR="00320A1D">
              <w:rPr>
                <w:rFonts w:eastAsia="MS Mincho"/>
                <w:bCs/>
              </w:rPr>
              <w:t>,</w:t>
            </w:r>
            <w:r w:rsidR="00C0697F" w:rsidRPr="00BA28D6">
              <w:rPr>
                <w:rFonts w:eastAsia="MS Mincho"/>
                <w:bCs/>
              </w:rPr>
              <w:t xml:space="preserve"> věcných </w:t>
            </w:r>
            <w:r w:rsidR="00176234" w:rsidRPr="00BA28D6">
              <w:rPr>
                <w:rFonts w:eastAsia="MS Mincho"/>
                <w:bCs/>
              </w:rPr>
              <w:t>břemen</w:t>
            </w:r>
            <w:r w:rsidR="006F40C5">
              <w:rPr>
                <w:rFonts w:eastAsia="MS Mincho"/>
                <w:bCs/>
              </w:rPr>
              <w:t xml:space="preserve"> a </w:t>
            </w:r>
            <w:r w:rsidR="00320A1D">
              <w:rPr>
                <w:rFonts w:eastAsia="MS Mincho"/>
                <w:bCs/>
              </w:rPr>
              <w:t>újmy</w:t>
            </w:r>
            <w:r w:rsidR="00284B6C" w:rsidRPr="00BA28D6">
              <w:rPr>
                <w:rFonts w:eastAsia="MS Mincho"/>
                <w:bCs/>
              </w:rPr>
              <w:t>)</w:t>
            </w:r>
            <w:r w:rsidR="00176234" w:rsidRPr="00BA28D6">
              <w:rPr>
                <w:rFonts w:eastAsia="MS Mincho"/>
                <w:bCs/>
              </w:rPr>
              <w:t>, umožnit tržní ocenění,</w:t>
            </w:r>
            <w:r w:rsidR="00176234" w:rsidRPr="00B1693C">
              <w:rPr>
                <w:rFonts w:eastAsia="MS Mincho"/>
                <w:bCs/>
              </w:rPr>
              <w:t xml:space="preserve"> </w:t>
            </w:r>
            <w:r w:rsidR="00176234" w:rsidRPr="00BA28D6">
              <w:rPr>
                <w:rFonts w:eastAsia="MS Mincho"/>
                <w:bCs/>
              </w:rPr>
              <w:t>zavést pojem rychle rostoucí</w:t>
            </w:r>
            <w:r w:rsidR="00D43F8E" w:rsidRPr="00BA28D6">
              <w:rPr>
                <w:rFonts w:eastAsia="MS Mincho"/>
                <w:bCs/>
              </w:rPr>
              <w:t xml:space="preserve">ch dřevin včetně jejich ocenění </w:t>
            </w:r>
            <w:r w:rsidR="003F6C91" w:rsidRPr="00BA28D6">
              <w:rPr>
                <w:rFonts w:eastAsia="MS Mincho"/>
                <w:bCs/>
              </w:rPr>
              <w:t>a</w:t>
            </w:r>
            <w:r w:rsidR="006F40C5">
              <w:rPr>
                <w:rFonts w:eastAsia="MS Mincho"/>
                <w:bCs/>
              </w:rPr>
              <w:t> </w:t>
            </w:r>
            <w:r w:rsidR="003F6C91" w:rsidRPr="00B1693C">
              <w:rPr>
                <w:rFonts w:eastAsia="MS Mincho"/>
                <w:bCs/>
              </w:rPr>
              <w:t>upřesnit text i postup týkající se zpracování cenových map stavebních pozemků.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 </w:t>
            </w:r>
            <w:r>
              <w:t>Agregované</w:t>
            </w:r>
            <w:r>
              <w:rPr>
                <w:bCs/>
              </w:rPr>
              <w:t xml:space="preserve"> dopady návrhu zákona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3.1 Dopady na státní rozpočet a ostatní veřejné rozpočty: </w:t>
            </w:r>
            <w:r w:rsidR="00C0697F">
              <w:rPr>
                <w:bCs/>
                <w:i/>
              </w:rPr>
              <w:t>Ne</w:t>
            </w:r>
            <w:r>
              <w:rPr>
                <w:bCs/>
              </w:rPr>
              <w:t xml:space="preserve"> 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1A1" w:rsidRPr="00A87382" w:rsidRDefault="00973F8F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>V souvislosti s návrhem novely zákona o oceňování majetku se nepředpokládají dopady na státní rozpočet, či na ostatní veřejné rozpočty.</w:t>
            </w:r>
          </w:p>
        </w:tc>
      </w:tr>
      <w:tr w:rsidR="00DD51A1" w:rsidTr="00DD51A1">
        <w:trPr>
          <w:trHeight w:val="360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i/>
                <w:lang w:eastAsia="en-US"/>
              </w:rPr>
            </w:pPr>
            <w:r>
              <w:t xml:space="preserve">3.2 Dopady na mezinárodní konkurenceschopnost ČR: </w:t>
            </w:r>
            <w:r>
              <w:rPr>
                <w:i/>
              </w:rPr>
              <w:t>Ne</w:t>
            </w:r>
          </w:p>
        </w:tc>
      </w:tr>
      <w:tr w:rsidR="00DD51A1" w:rsidTr="00DD51A1">
        <w:trPr>
          <w:trHeight w:val="360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Pr="00A87382" w:rsidRDefault="006B6265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 xml:space="preserve">Zákon o oceňování majetku stanoví </w:t>
            </w:r>
            <w:r w:rsidR="001E0DDC" w:rsidRPr="00A87382">
              <w:rPr>
                <w:rFonts w:eastAsia="MS Mincho"/>
                <w:bCs/>
              </w:rPr>
              <w:t>postupy zpracování cen pro potřeby tuzemského trh</w:t>
            </w:r>
            <w:r w:rsidR="00A93BD3" w:rsidRPr="00A87382">
              <w:rPr>
                <w:rFonts w:eastAsia="MS Mincho"/>
                <w:bCs/>
              </w:rPr>
              <w:t>u</w:t>
            </w:r>
            <w:r w:rsidRPr="00A87382">
              <w:rPr>
                <w:rFonts w:eastAsia="MS Mincho"/>
                <w:bCs/>
              </w:rPr>
              <w:t>.</w:t>
            </w:r>
          </w:p>
          <w:p w:rsidR="006B6265" w:rsidRPr="00A87382" w:rsidRDefault="006B6265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850B6B">
              <w:rPr>
                <w:rFonts w:eastAsia="MS Mincho"/>
                <w:bCs/>
              </w:rPr>
              <w:t xml:space="preserve">Oblast oceňování majetku není sekundárním právem Evropské unie </w:t>
            </w:r>
            <w:r w:rsidR="000A530A" w:rsidRPr="00850B6B">
              <w:rPr>
                <w:rFonts w:eastAsia="MS Mincho"/>
                <w:bCs/>
              </w:rPr>
              <w:t xml:space="preserve">upravena </w:t>
            </w:r>
            <w:r w:rsidRPr="00850B6B">
              <w:rPr>
                <w:rFonts w:eastAsia="MS Mincho"/>
                <w:bCs/>
              </w:rPr>
              <w:t>a obecně nepodléhá harmonizaci na úrovni Evropské unie.</w:t>
            </w:r>
            <w:r w:rsidRPr="00A87382">
              <w:rPr>
                <w:rFonts w:eastAsia="MS Mincho"/>
                <w:bCs/>
              </w:rPr>
              <w:t xml:space="preserve"> </w:t>
            </w:r>
          </w:p>
          <w:p w:rsidR="006B6265" w:rsidRPr="00A87382" w:rsidRDefault="006B6265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 xml:space="preserve">Navrhovaná právní úprava není v rozporu s právními principy Evropské unie, protože předpisy Evropské unie, judikatura soudních orgánů Evropské unie a obecné právní zásady práva Evropské unie se na danou oblast (oblast oceňování majetku) nevztahují. </w:t>
            </w:r>
          </w:p>
          <w:p w:rsidR="006B6265" w:rsidRPr="00A87382" w:rsidRDefault="006B6265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 xml:space="preserve">Na oblast oceňování majetku se </w:t>
            </w:r>
            <w:r w:rsidR="00D56500" w:rsidRPr="00A87382">
              <w:rPr>
                <w:rFonts w:eastAsia="MS Mincho"/>
                <w:bCs/>
              </w:rPr>
              <w:t xml:space="preserve">rovněž nevztahuje </w:t>
            </w:r>
            <w:r w:rsidRPr="00A87382">
              <w:rPr>
                <w:rFonts w:eastAsia="MS Mincho"/>
                <w:bCs/>
              </w:rPr>
              <w:t>žádná mezinárodní smlouva, k</w:t>
            </w:r>
            <w:r w:rsidR="00D56500" w:rsidRPr="00A87382">
              <w:rPr>
                <w:rFonts w:eastAsia="MS Mincho"/>
                <w:bCs/>
              </w:rPr>
              <w:t xml:space="preserve">terou </w:t>
            </w:r>
            <w:r w:rsidR="00E91268">
              <w:rPr>
                <w:rFonts w:eastAsia="MS Mincho"/>
                <w:bCs/>
              </w:rPr>
              <w:br/>
            </w:r>
            <w:r w:rsidR="00D56500" w:rsidRPr="00A87382">
              <w:rPr>
                <w:rFonts w:eastAsia="MS Mincho"/>
                <w:bCs/>
              </w:rPr>
              <w:t>je Česká republika vázána</w:t>
            </w:r>
            <w:r w:rsidRPr="00A87382">
              <w:rPr>
                <w:rFonts w:eastAsia="MS Mincho"/>
                <w:bCs/>
              </w:rPr>
              <w:t xml:space="preserve">. </w:t>
            </w:r>
          </w:p>
          <w:p w:rsidR="00A87382" w:rsidRDefault="006B6265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>Z výše uvedených důvodů se dopady</w:t>
            </w:r>
            <w:r w:rsidRPr="0032453D">
              <w:rPr>
                <w:rFonts w:eastAsia="MS Mincho"/>
                <w:bCs/>
              </w:rPr>
              <w:t xml:space="preserve"> na mezinárodní konkurenceschopnost </w:t>
            </w:r>
            <w:r w:rsidR="00E91268">
              <w:rPr>
                <w:rFonts w:eastAsia="MS Mincho"/>
                <w:bCs/>
              </w:rPr>
              <w:br/>
            </w:r>
            <w:r w:rsidRPr="0032453D">
              <w:rPr>
                <w:rFonts w:eastAsia="MS Mincho"/>
                <w:bCs/>
              </w:rPr>
              <w:t>ČR</w:t>
            </w:r>
            <w:r w:rsidR="007E7151" w:rsidRPr="00A87382">
              <w:rPr>
                <w:rFonts w:eastAsia="MS Mincho"/>
                <w:bCs/>
              </w:rPr>
              <w:t xml:space="preserve"> nepředpokládají</w:t>
            </w:r>
            <w:r>
              <w:rPr>
                <w:rFonts w:eastAsia="MS Mincho"/>
                <w:bCs/>
              </w:rPr>
              <w:t>.</w:t>
            </w:r>
          </w:p>
          <w:p w:rsidR="00B1693C" w:rsidRPr="00A87382" w:rsidRDefault="00B1693C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3.3 Dopady na podnikatelské prostředí: </w:t>
            </w:r>
            <w:r w:rsidR="006B6265">
              <w:rPr>
                <w:bCs/>
                <w:i/>
              </w:rPr>
              <w:t>Ne</w:t>
            </w:r>
          </w:p>
        </w:tc>
      </w:tr>
      <w:tr w:rsidR="00DD51A1" w:rsidTr="00DD51A1">
        <w:trPr>
          <w:trHeight w:val="494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Pr="00B1693C" w:rsidRDefault="006B6265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 xml:space="preserve">V souvislosti s návrhem novely zákona o oceňování majetku se nepředpokládají dopady </w:t>
            </w:r>
            <w:r w:rsidR="00E91268">
              <w:rPr>
                <w:rFonts w:eastAsia="MS Mincho"/>
                <w:bCs/>
              </w:rPr>
              <w:br/>
            </w:r>
            <w:r w:rsidRPr="00A87382">
              <w:rPr>
                <w:rFonts w:eastAsia="MS Mincho"/>
                <w:bCs/>
              </w:rPr>
              <w:t>na podnikatelské prostředí České republiky.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3.4 Dopady na územní samosprávné celky (obce, kraje) </w:t>
            </w:r>
            <w:r>
              <w:rPr>
                <w:bCs/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Pr="00A87382" w:rsidRDefault="00CF4E23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>Navrhovaná novela</w:t>
            </w:r>
            <w:r w:rsidR="00973F8F" w:rsidRPr="00A87382">
              <w:rPr>
                <w:rFonts w:eastAsia="MS Mincho"/>
                <w:bCs/>
              </w:rPr>
              <w:t xml:space="preserve"> zákona o oceňování majetku </w:t>
            </w:r>
            <w:r w:rsidR="0053732B" w:rsidRPr="00A87382">
              <w:rPr>
                <w:rFonts w:eastAsia="MS Mincho"/>
                <w:bCs/>
              </w:rPr>
              <w:t>je bez dopadů</w:t>
            </w:r>
            <w:r w:rsidR="00973F8F" w:rsidRPr="0032453D">
              <w:rPr>
                <w:rFonts w:eastAsia="MS Mincho"/>
                <w:bCs/>
              </w:rPr>
              <w:t xml:space="preserve"> na územní samosprávné celky</w:t>
            </w:r>
            <w:r w:rsidR="00973F8F">
              <w:rPr>
                <w:rFonts w:eastAsia="MS Mincho"/>
                <w:bCs/>
              </w:rPr>
              <w:t>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  <w:tab w:val="left" w:pos="3970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3.5 Sociální dopady: </w:t>
            </w:r>
            <w:r>
              <w:rPr>
                <w:bCs/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Default="00296325" w:rsidP="00B1693C">
            <w:pPr>
              <w:tabs>
                <w:tab w:val="left" w:pos="6660"/>
              </w:tabs>
              <w:spacing w:line="240" w:lineRule="auto"/>
              <w:rPr>
                <w:bCs/>
              </w:rPr>
            </w:pPr>
            <w:r w:rsidRPr="00A87382">
              <w:rPr>
                <w:rFonts w:eastAsia="MS Mincho"/>
                <w:bCs/>
              </w:rPr>
              <w:t xml:space="preserve">Navrhovaná novela zákona o oceňování majetku nemá žádné sociální dopady, včetně vlivu </w:t>
            </w:r>
            <w:r w:rsidR="00E91268">
              <w:rPr>
                <w:rFonts w:eastAsia="MS Mincho"/>
                <w:bCs/>
              </w:rPr>
              <w:br/>
            </w:r>
            <w:r w:rsidRPr="00A87382">
              <w:rPr>
                <w:rFonts w:eastAsia="MS Mincho"/>
                <w:bCs/>
              </w:rPr>
              <w:t xml:space="preserve">na rodiny, nebo specifické skupiny obyvatel, zejména vliv na osoby sociálně slabé či osoby </w:t>
            </w:r>
            <w:r w:rsidR="00E91268">
              <w:rPr>
                <w:rFonts w:eastAsia="MS Mincho"/>
                <w:bCs/>
              </w:rPr>
              <w:br/>
            </w:r>
            <w:r w:rsidRPr="00A87382">
              <w:rPr>
                <w:rFonts w:eastAsia="MS Mincho"/>
                <w:bCs/>
              </w:rPr>
              <w:t>se zdravotním postižením a národnostní menšiny.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3.6 Dopady na spotřebitele: </w:t>
            </w:r>
            <w:r>
              <w:rPr>
                <w:bCs/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Pr="00A87382" w:rsidRDefault="00727908" w:rsidP="00B1693C">
            <w:pPr>
              <w:tabs>
                <w:tab w:val="left" w:pos="6660"/>
              </w:tabs>
              <w:spacing w:line="240" w:lineRule="auto"/>
              <w:rPr>
                <w:rFonts w:eastAsia="MS Mincho"/>
                <w:bCs/>
              </w:rPr>
            </w:pPr>
            <w:r w:rsidRPr="00A87382">
              <w:rPr>
                <w:rFonts w:eastAsia="MS Mincho"/>
                <w:bCs/>
              </w:rPr>
              <w:t>V souvislosti s návrhem novely zákona o oceň</w:t>
            </w:r>
            <w:r w:rsidR="00EB6D3A" w:rsidRPr="00A87382">
              <w:rPr>
                <w:rFonts w:eastAsia="MS Mincho"/>
                <w:bCs/>
              </w:rPr>
              <w:t>ování majetku</w:t>
            </w:r>
            <w:r w:rsidRPr="00A87382">
              <w:rPr>
                <w:rFonts w:eastAsia="MS Mincho"/>
                <w:bCs/>
              </w:rPr>
              <w:t xml:space="preserve"> </w:t>
            </w:r>
            <w:r w:rsidR="00EB6D3A" w:rsidRPr="00A87382">
              <w:rPr>
                <w:rFonts w:eastAsia="MS Mincho"/>
                <w:bCs/>
              </w:rPr>
              <w:t>je bez dopadů</w:t>
            </w:r>
            <w:r w:rsidRPr="0032453D">
              <w:rPr>
                <w:rFonts w:eastAsia="MS Mincho"/>
                <w:bCs/>
              </w:rPr>
              <w:t xml:space="preserve"> </w:t>
            </w:r>
            <w:r>
              <w:rPr>
                <w:rFonts w:eastAsia="MS Mincho"/>
                <w:bCs/>
              </w:rPr>
              <w:t>na spotřebitele.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3.7. Dopady na životní prostředí: </w:t>
            </w:r>
            <w:r w:rsidR="00F7349D">
              <w:rPr>
                <w:bCs/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Default="009E3AC4" w:rsidP="00B1693C">
            <w:pPr>
              <w:tabs>
                <w:tab w:val="left" w:pos="6660"/>
              </w:tabs>
              <w:spacing w:line="240" w:lineRule="auto"/>
              <w:rPr>
                <w:bCs/>
                <w:lang w:eastAsia="en-US"/>
              </w:rPr>
            </w:pPr>
            <w:r w:rsidRPr="00FC30B7">
              <w:t xml:space="preserve">Navrhovaná právní úprava </w:t>
            </w:r>
            <w:r>
              <w:t>rovněž nemá žádné dopady na životní prostředí.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3.8 </w:t>
            </w:r>
            <w:r>
              <w:t xml:space="preserve">Dopady ve vztahu k zákazu diskriminace a ve vztahu k rovnosti žen a mužů: </w:t>
            </w:r>
            <w:r>
              <w:rPr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Default="007514CA" w:rsidP="00B1693C">
            <w:pPr>
              <w:tabs>
                <w:tab w:val="left" w:pos="6660"/>
              </w:tabs>
              <w:spacing w:line="240" w:lineRule="auto"/>
              <w:rPr>
                <w:bCs/>
                <w:lang w:eastAsia="en-US"/>
              </w:rPr>
            </w:pPr>
            <w:r>
              <w:t>P</w:t>
            </w:r>
            <w:r w:rsidRPr="000D6BA6">
              <w:t>rávní</w:t>
            </w:r>
            <w:r w:rsidRPr="000D6BA6">
              <w:rPr>
                <w:noProof/>
              </w:rPr>
              <w:t xml:space="preserve"> úprava nemá </w:t>
            </w:r>
            <w:r w:rsidR="00EB6D3A">
              <w:rPr>
                <w:noProof/>
              </w:rPr>
              <w:t xml:space="preserve">žádný </w:t>
            </w:r>
            <w:r w:rsidRPr="000D6BA6">
              <w:rPr>
                <w:noProof/>
              </w:rPr>
              <w:t>dopad ve vztahu k zák</w:t>
            </w:r>
            <w:r>
              <w:rPr>
                <w:noProof/>
              </w:rPr>
              <w:t>azu diskriminace, ani ve vztahu</w:t>
            </w:r>
            <w:r>
              <w:rPr>
                <w:noProof/>
              </w:rPr>
              <w:br/>
            </w:r>
            <w:r w:rsidRPr="000D6BA6">
              <w:rPr>
                <w:noProof/>
              </w:rPr>
              <w:t>k rovnosti mužů a žen.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3.9 </w:t>
            </w:r>
            <w:r>
              <w:t xml:space="preserve">Dopady na výkon státní statistické služby: </w:t>
            </w:r>
            <w:r>
              <w:rPr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Pr="00A87382" w:rsidRDefault="00D748AD" w:rsidP="00B1693C">
            <w:pPr>
              <w:tabs>
                <w:tab w:val="left" w:pos="6660"/>
              </w:tabs>
              <w:spacing w:line="240" w:lineRule="auto"/>
              <w:rPr>
                <w:noProof/>
              </w:rPr>
            </w:pPr>
            <w:r>
              <w:t>Navrhovaná</w:t>
            </w:r>
            <w:r>
              <w:rPr>
                <w:noProof/>
              </w:rPr>
              <w:t xml:space="preserve"> novela</w:t>
            </w:r>
            <w:r w:rsidRPr="0070353A">
              <w:rPr>
                <w:noProof/>
              </w:rPr>
              <w:t xml:space="preserve"> </w:t>
            </w:r>
            <w:r>
              <w:rPr>
                <w:noProof/>
              </w:rPr>
              <w:t>zákona o oceňování majetku</w:t>
            </w:r>
            <w:r w:rsidRPr="0064670A">
              <w:rPr>
                <w:noProof/>
              </w:rPr>
              <w:t xml:space="preserve"> </w:t>
            </w:r>
            <w:r>
              <w:rPr>
                <w:noProof/>
              </w:rPr>
              <w:t>nemá dopad</w:t>
            </w:r>
            <w:r w:rsidRPr="00A87382">
              <w:rPr>
                <w:noProof/>
              </w:rPr>
              <w:t xml:space="preserve"> na výkon státní statistické služby. Právní úprava počítá s</w:t>
            </w:r>
            <w:r w:rsidR="00CD2A95" w:rsidRPr="00A87382">
              <w:rPr>
                <w:noProof/>
              </w:rPr>
              <w:t> dosavadním způsobem</w:t>
            </w:r>
            <w:r w:rsidRPr="00A87382">
              <w:rPr>
                <w:noProof/>
              </w:rPr>
              <w:t xml:space="preserve"> vedení statistik v rámci finanční správy </w:t>
            </w:r>
            <w:r w:rsidR="00E91268">
              <w:rPr>
                <w:noProof/>
              </w:rPr>
              <w:br/>
            </w:r>
            <w:r w:rsidRPr="00A87382">
              <w:rPr>
                <w:noProof/>
              </w:rPr>
              <w:t xml:space="preserve">a Českého statistického úřadu. 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3.10 Korupční rizika: </w:t>
            </w:r>
            <w:r>
              <w:rPr>
                <w:bCs/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Default="00D748AD" w:rsidP="00B1693C">
            <w:pPr>
              <w:tabs>
                <w:tab w:val="left" w:pos="6660"/>
              </w:tabs>
              <w:spacing w:line="240" w:lineRule="auto"/>
              <w:rPr>
                <w:bCs/>
                <w:lang w:eastAsia="en-US"/>
              </w:rPr>
            </w:pPr>
            <w:r w:rsidRPr="001069D4">
              <w:t xml:space="preserve">Navrhovaný zákon o oceňování majetku upravuje oceňovací postupy, které </w:t>
            </w:r>
            <w:r>
              <w:t>vychází</w:t>
            </w:r>
            <w:r>
              <w:br/>
            </w:r>
            <w:r w:rsidRPr="001069D4">
              <w:t>ze</w:t>
            </w:r>
            <w:r w:rsidRPr="003618F6">
              <w:t xml:space="preserve"> sledování cen věcí na tuzemském trhu</w:t>
            </w:r>
            <w:r>
              <w:t xml:space="preserve">. </w:t>
            </w:r>
            <w:r w:rsidRPr="005842B1">
              <w:t xml:space="preserve">Právní předpis </w:t>
            </w:r>
            <w:r>
              <w:t xml:space="preserve">tedy </w:t>
            </w:r>
            <w:r w:rsidRPr="005842B1">
              <w:t>není zákonem procesním,</w:t>
            </w:r>
            <w:r>
              <w:t xml:space="preserve"> </w:t>
            </w:r>
            <w:r w:rsidRPr="0030433B">
              <w:t>ale věcně právním</w:t>
            </w:r>
            <w:r w:rsidRPr="005842B1">
              <w:t>.</w:t>
            </w:r>
            <w:r>
              <w:t xml:space="preserve"> </w:t>
            </w:r>
            <w:r w:rsidRPr="005842B1">
              <w:t xml:space="preserve">Vzhledem k tomu, že jde o normu technickou, </w:t>
            </w:r>
            <w:r>
              <w:t>založenou na dlouhodobém</w:t>
            </w:r>
            <w:r w:rsidRPr="005842B1">
              <w:t xml:space="preserve"> sledování vývoje cen na</w:t>
            </w:r>
            <w:r>
              <w:t xml:space="preserve"> tuzemském</w:t>
            </w:r>
            <w:r w:rsidRPr="005842B1">
              <w:t xml:space="preserve"> trhu, vytváření </w:t>
            </w:r>
            <w:r>
              <w:t xml:space="preserve">statistických řad a jejich analytickém vyhodnocování, nemajícím </w:t>
            </w:r>
            <w:r w:rsidRPr="005842B1">
              <w:t>dopad na věcnou stránku právního předpisu</w:t>
            </w:r>
            <w:r>
              <w:t>, žádná korupční rizika nevznikají.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DD51A1" w:rsidRDefault="00DD51A1">
            <w:pPr>
              <w:tabs>
                <w:tab w:val="left" w:pos="1037"/>
              </w:tabs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3.11 </w:t>
            </w:r>
            <w:r>
              <w:t xml:space="preserve">Dopady na bezpečnost nebo obranu státu: </w:t>
            </w:r>
            <w:r>
              <w:rPr>
                <w:i/>
              </w:rPr>
              <w:t>Ne</w:t>
            </w:r>
          </w:p>
        </w:tc>
      </w:tr>
      <w:tr w:rsidR="00DD51A1" w:rsidTr="00DD51A1">
        <w:tc>
          <w:tcPr>
            <w:tcW w:w="9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51A1" w:rsidRPr="00A87382" w:rsidRDefault="00D748AD" w:rsidP="00B1693C">
            <w:pPr>
              <w:tabs>
                <w:tab w:val="left" w:pos="6660"/>
              </w:tabs>
              <w:spacing w:line="240" w:lineRule="auto"/>
            </w:pPr>
            <w:r w:rsidRPr="00FC30B7">
              <w:t xml:space="preserve">Navrhovaná právní úprava </w:t>
            </w:r>
            <w:r>
              <w:t xml:space="preserve">nemá žádné dopady </w:t>
            </w:r>
            <w:r w:rsidRPr="0060185C">
              <w:t xml:space="preserve">na </w:t>
            </w:r>
            <w:r w:rsidRPr="00A87382">
              <w:t>bezpečnost nebo obranu státu</w:t>
            </w:r>
            <w:r>
              <w:t>.</w:t>
            </w:r>
          </w:p>
        </w:tc>
      </w:tr>
    </w:tbl>
    <w:p w:rsidR="00B1693C" w:rsidRDefault="00B1693C">
      <w:pPr>
        <w:spacing w:before="0" w:after="0" w:line="240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517CCD" w:rsidRPr="007E7B15" w:rsidRDefault="00517CCD" w:rsidP="00517CC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E7B15">
        <w:lastRenderedPageBreak/>
        <w:fldChar w:fldCharType="begin"/>
      </w:r>
      <w:r w:rsidRPr="007E7B15">
        <w:instrText xml:space="preserve"> TOC \o "1-3" \h \z \u </w:instrText>
      </w:r>
      <w:r w:rsidRPr="007E7B15">
        <w:fldChar w:fldCharType="separate"/>
      </w:r>
      <w:r w:rsidR="007E7B15" w:rsidRPr="007E7B15">
        <w:t>Obsah:</w:t>
      </w:r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09" w:history="1">
        <w:r w:rsidR="00517CCD" w:rsidRPr="007E7B15">
          <w:rPr>
            <w:rStyle w:val="Hypertextovodkaz"/>
            <w:noProof/>
            <w:color w:val="auto"/>
          </w:rPr>
          <w:t>1.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Důvod předložení a cíle</w:t>
        </w:r>
      </w:hyperlink>
      <w:r w:rsidR="007E7B15" w:rsidRPr="007E7B15">
        <w:rPr>
          <w:noProof/>
        </w:rPr>
        <w:t>………………………………………………</w:t>
      </w:r>
      <w:r w:rsidR="00E00565">
        <w:rPr>
          <w:noProof/>
        </w:rPr>
        <w:t>..</w:t>
      </w:r>
      <w:r w:rsidR="00D40D33">
        <w:rPr>
          <w:noProof/>
        </w:rPr>
        <w:t>……….25</w:t>
      </w:r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0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Název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25</w:t>
        </w:r>
      </w:hyperlink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1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Definice problému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25</w:t>
        </w:r>
      </w:hyperlink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2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E7B15">
          <w:rPr>
            <w:rStyle w:val="Hypertextovodkaz"/>
            <w:noProof/>
            <w:color w:val="auto"/>
          </w:rPr>
          <w:t>Popis existujícího právního vztahu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26</w:t>
        </w:r>
      </w:hyperlink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3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E7B15">
          <w:rPr>
            <w:rStyle w:val="Hypertextovodkaz"/>
            <w:noProof/>
            <w:color w:val="auto"/>
          </w:rPr>
          <w:t>Identifikace dotčených subjektů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27</w:t>
        </w:r>
      </w:hyperlink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4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E7B15">
          <w:rPr>
            <w:rStyle w:val="Hypertextovodkaz"/>
            <w:noProof/>
            <w:color w:val="auto"/>
          </w:rPr>
          <w:t>Popis cílového stavu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27</w:t>
        </w:r>
      </w:hyperlink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5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Zho</w:t>
        </w:r>
        <w:r w:rsidR="00092EF1">
          <w:rPr>
            <w:rStyle w:val="Hypertextovodkaz"/>
            <w:noProof/>
            <w:color w:val="auto"/>
          </w:rPr>
          <w:t>dnocení rizika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28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19" w:history="1">
        <w:r w:rsidR="00517CCD" w:rsidRPr="007E7B15">
          <w:rPr>
            <w:rStyle w:val="Hypertextovodkaz"/>
            <w:noProof/>
            <w:color w:val="auto"/>
          </w:rPr>
          <w:t>2.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Návrh variant řešení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29</w:t>
        </w:r>
      </w:hyperlink>
    </w:p>
    <w:p w:rsidR="00517CCD" w:rsidRPr="007E7B15" w:rsidRDefault="00F371B3" w:rsidP="00517CC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0" w:history="1">
        <w:r w:rsidR="00517CCD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Přizpůsobení variant regulaci a její vynucování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32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1" w:history="1">
        <w:r w:rsidR="00517CCD" w:rsidRPr="007E7B15">
          <w:rPr>
            <w:rStyle w:val="Hypertextovodkaz"/>
            <w:noProof/>
            <w:color w:val="auto"/>
          </w:rPr>
          <w:t>3.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Vyhodnocení nákladů a přínosů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32</w:t>
        </w:r>
      </w:hyperlink>
    </w:p>
    <w:p w:rsidR="00092EF1" w:rsidRPr="007E7B15" w:rsidRDefault="00F371B3" w:rsidP="00092E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0" w:history="1">
        <w:r w:rsidR="00092EF1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092EF1" w:rsidRPr="007E7B15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.1</w:t>
        </w:r>
        <w:r w:rsidR="00092EF1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2790D">
          <w:rPr>
            <w:rStyle w:val="Hypertextovodkaz"/>
            <w:noProof/>
            <w:color w:val="auto"/>
          </w:rPr>
          <w:t>Identifikace nákladů a přínosů</w:t>
        </w:r>
        <w:r w:rsidR="00092EF1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32</w:t>
        </w:r>
      </w:hyperlink>
    </w:p>
    <w:p w:rsidR="00092EF1" w:rsidRPr="007E7B15" w:rsidRDefault="00F371B3" w:rsidP="00092E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0" w:history="1">
        <w:r w:rsidR="00092EF1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092EF1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2790D">
          <w:rPr>
            <w:rStyle w:val="Hypertextovodkaz"/>
            <w:noProof/>
            <w:color w:val="auto"/>
          </w:rPr>
          <w:t>Náklady</w:t>
        </w:r>
        <w:r w:rsidR="00092EF1" w:rsidRPr="007E7B15">
          <w:rPr>
            <w:noProof/>
            <w:webHidden/>
          </w:rPr>
          <w:tab/>
        </w:r>
      </w:hyperlink>
      <w:r w:rsidR="00D40D33">
        <w:rPr>
          <w:noProof/>
        </w:rPr>
        <w:t>36</w:t>
      </w:r>
    </w:p>
    <w:p w:rsidR="00092EF1" w:rsidRPr="007E7B15" w:rsidRDefault="00F371B3" w:rsidP="00092E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0" w:history="1">
        <w:r w:rsidR="00092EF1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092EF1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2790D">
          <w:rPr>
            <w:rStyle w:val="Hypertextovodkaz"/>
            <w:noProof/>
            <w:color w:val="auto"/>
          </w:rPr>
          <w:t>Přínosy</w:t>
        </w:r>
        <w:r w:rsidR="00092EF1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36</w:t>
        </w:r>
      </w:hyperlink>
    </w:p>
    <w:p w:rsidR="00C2790D" w:rsidRPr="007E7B15" w:rsidRDefault="00F371B3" w:rsidP="00C2790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0" w:history="1">
        <w:r w:rsidR="00C2790D">
          <w:rPr>
            <w:rStyle w:val="Hypertextovodkaz"/>
            <w:noProof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C2790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2790D">
          <w:rPr>
            <w:rStyle w:val="Hypertextovodkaz"/>
            <w:noProof/>
            <w:color w:val="auto"/>
          </w:rPr>
          <w:t>Vyhodnocení variant</w:t>
        </w:r>
        <w:r w:rsidR="00C2790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36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2" w:history="1">
        <w:r w:rsidR="00517CCD" w:rsidRPr="007E7B15">
          <w:rPr>
            <w:rStyle w:val="Hypertextovodkaz"/>
            <w:noProof/>
            <w:color w:val="auto"/>
          </w:rPr>
          <w:t>4.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A35D0">
          <w:rPr>
            <w:rStyle w:val="Hypertextovodkaz"/>
            <w:noProof/>
            <w:color w:val="auto"/>
          </w:rPr>
          <w:t>Stanovení pořadí variant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36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3" w:history="1">
        <w:r w:rsidR="00517CCD" w:rsidRPr="007E7B15">
          <w:rPr>
            <w:rStyle w:val="Hypertextovodkaz"/>
            <w:noProof/>
            <w:color w:val="auto"/>
          </w:rPr>
          <w:t>5.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Implementace doporučené varianty a vynucování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37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4" w:history="1">
        <w:r w:rsidR="00517CCD" w:rsidRPr="007E7B15">
          <w:rPr>
            <w:rStyle w:val="Hypertextovodkaz"/>
            <w:noProof/>
            <w:color w:val="auto"/>
          </w:rPr>
          <w:t>6.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A35D0">
          <w:rPr>
            <w:rStyle w:val="Hypertextovodkaz"/>
            <w:noProof/>
            <w:color w:val="auto"/>
          </w:rPr>
          <w:t>Přezkum účinnosti regulace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37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25" w:history="1">
        <w:r w:rsidR="00517CCD" w:rsidRPr="007E7B15">
          <w:rPr>
            <w:rStyle w:val="Hypertextovodkaz"/>
            <w:noProof/>
            <w:color w:val="auto"/>
          </w:rPr>
          <w:t>7.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A35D0">
          <w:rPr>
            <w:rStyle w:val="Hypertextovodkaz"/>
            <w:noProof/>
            <w:color w:val="auto"/>
          </w:rPr>
          <w:t>Konzultace a zdroje dat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38</w:t>
        </w:r>
      </w:hyperlink>
    </w:p>
    <w:p w:rsidR="00517CCD" w:rsidRPr="007E7B15" w:rsidRDefault="00F371B3" w:rsidP="00517CCD">
      <w:pPr>
        <w:pStyle w:val="Obsah1"/>
        <w:tabs>
          <w:tab w:val="left" w:pos="1276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589432" w:history="1">
        <w:r w:rsidR="00517CCD" w:rsidRPr="007E7B15">
          <w:rPr>
            <w:rStyle w:val="Hypertextovodkaz"/>
            <w:noProof/>
            <w:color w:val="auto"/>
          </w:rPr>
          <w:t>8.</w:t>
        </w:r>
        <w:r w:rsidR="00517CCD" w:rsidRPr="007E7B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CCD" w:rsidRPr="007E7B15">
          <w:rPr>
            <w:rStyle w:val="Hypertextovodkaz"/>
            <w:noProof/>
            <w:color w:val="auto"/>
          </w:rPr>
          <w:t>Kontakty na zpracovatele RIA</w:t>
        </w:r>
        <w:r w:rsidR="00517CCD" w:rsidRPr="007E7B15">
          <w:rPr>
            <w:noProof/>
            <w:webHidden/>
          </w:rPr>
          <w:tab/>
        </w:r>
        <w:r w:rsidR="00D40D33">
          <w:rPr>
            <w:noProof/>
            <w:webHidden/>
          </w:rPr>
          <w:t>38</w:t>
        </w:r>
      </w:hyperlink>
    </w:p>
    <w:p w:rsidR="00517CCD" w:rsidRPr="00FE477E" w:rsidRDefault="00517CCD" w:rsidP="00517CCD">
      <w:pPr>
        <w:spacing w:before="0" w:after="0" w:line="240" w:lineRule="auto"/>
        <w:ind w:firstLine="0"/>
        <w:jc w:val="left"/>
      </w:pPr>
      <w:r w:rsidRPr="007E7B15">
        <w:fldChar w:fldCharType="end"/>
      </w:r>
    </w:p>
    <w:p w:rsidR="00517CCD" w:rsidRPr="00FE477E" w:rsidRDefault="00517CCD" w:rsidP="00517CCD">
      <w:pPr>
        <w:spacing w:before="0" w:after="0" w:line="240" w:lineRule="auto"/>
        <w:ind w:firstLine="0"/>
        <w:jc w:val="left"/>
      </w:pPr>
      <w:r w:rsidRPr="00FE477E">
        <w:br w:type="page"/>
      </w:r>
    </w:p>
    <w:p w:rsidR="00713BAC" w:rsidRDefault="00713BAC" w:rsidP="00DD51A1">
      <w:pPr>
        <w:rPr>
          <w:rFonts w:ascii="Calibri" w:eastAsia="Calibri" w:hAnsi="Calibri"/>
          <w:sz w:val="22"/>
          <w:szCs w:val="22"/>
          <w:lang w:eastAsia="en-US"/>
        </w:rPr>
      </w:pPr>
    </w:p>
    <w:p w:rsidR="002B5328" w:rsidRDefault="002B5328" w:rsidP="002B5328">
      <w:pPr>
        <w:pStyle w:val="Nadpis1"/>
        <w:numPr>
          <w:ilvl w:val="0"/>
          <w:numId w:val="4"/>
        </w:numPr>
        <w:rPr>
          <w:b w:val="0"/>
          <w:sz w:val="28"/>
        </w:rPr>
      </w:pPr>
      <w:r w:rsidRPr="002B5328">
        <w:rPr>
          <w:rStyle w:val="Nadpis1Char"/>
          <w:b/>
          <w:sz w:val="28"/>
        </w:rPr>
        <w:t>Důvod předložení a cíle</w:t>
      </w:r>
      <w:r w:rsidRPr="002B5328">
        <w:rPr>
          <w:b w:val="0"/>
          <w:sz w:val="28"/>
        </w:rPr>
        <w:t xml:space="preserve"> </w:t>
      </w:r>
    </w:p>
    <w:p w:rsidR="00E10FC6" w:rsidRPr="00E10FC6" w:rsidRDefault="00E10FC6" w:rsidP="00E10FC6"/>
    <w:p w:rsidR="002B5328" w:rsidRDefault="002B5328" w:rsidP="002B5328">
      <w:pPr>
        <w:pStyle w:val="Nadpis2"/>
        <w:numPr>
          <w:ilvl w:val="1"/>
          <w:numId w:val="9"/>
        </w:numPr>
        <w:rPr>
          <w:sz w:val="24"/>
          <w:szCs w:val="24"/>
        </w:rPr>
      </w:pPr>
      <w:r w:rsidRPr="002B5328">
        <w:rPr>
          <w:sz w:val="24"/>
          <w:szCs w:val="24"/>
        </w:rPr>
        <w:t>Název</w:t>
      </w:r>
    </w:p>
    <w:p w:rsidR="002B5328" w:rsidRPr="002B5328" w:rsidRDefault="00220797" w:rsidP="00220797">
      <w:pPr>
        <w:pStyle w:val="Nadpis2"/>
        <w:numPr>
          <w:ilvl w:val="0"/>
          <w:numId w:val="0"/>
        </w:numPr>
        <w:rPr>
          <w:b w:val="0"/>
          <w:sz w:val="24"/>
          <w:szCs w:val="24"/>
        </w:rPr>
      </w:pPr>
      <w:r>
        <w:rPr>
          <w:rFonts w:eastAsia="MS Mincho"/>
          <w:b w:val="0"/>
          <w:iCs/>
          <w:sz w:val="24"/>
          <w:szCs w:val="24"/>
        </w:rPr>
        <w:tab/>
      </w:r>
      <w:r w:rsidR="002B5328" w:rsidRPr="002B5328">
        <w:rPr>
          <w:rFonts w:eastAsia="MS Mincho"/>
          <w:b w:val="0"/>
          <w:iCs/>
          <w:sz w:val="24"/>
          <w:szCs w:val="24"/>
        </w:rPr>
        <w:t>Návrh zákona, kterým se mění zákon č. 151/1997 Sb., o oceňování majetku a o změně některých zákonů (zákon o oceňování majetku), ve znění pozdějších předpisů</w:t>
      </w:r>
      <w:r w:rsidR="00D34C97">
        <w:rPr>
          <w:rFonts w:eastAsia="MS Mincho"/>
          <w:b w:val="0"/>
          <w:iCs/>
          <w:sz w:val="24"/>
          <w:szCs w:val="24"/>
        </w:rPr>
        <w:t xml:space="preserve"> </w:t>
      </w:r>
      <w:r w:rsidR="00D34C97" w:rsidRPr="00D34C97">
        <w:rPr>
          <w:b w:val="0"/>
          <w:sz w:val="24"/>
          <w:szCs w:val="24"/>
        </w:rPr>
        <w:t>(dále</w:t>
      </w:r>
      <w:r w:rsidR="00B53470">
        <w:rPr>
          <w:b w:val="0"/>
          <w:sz w:val="24"/>
          <w:szCs w:val="24"/>
        </w:rPr>
        <w:t xml:space="preserve"> v tomto materiálu</w:t>
      </w:r>
      <w:r w:rsidR="00D34C97" w:rsidRPr="00D34C97">
        <w:rPr>
          <w:b w:val="0"/>
          <w:sz w:val="24"/>
          <w:szCs w:val="24"/>
        </w:rPr>
        <w:t xml:space="preserve"> jen „</w:t>
      </w:r>
      <w:r w:rsidR="00B53470">
        <w:rPr>
          <w:b w:val="0"/>
          <w:sz w:val="24"/>
          <w:szCs w:val="24"/>
        </w:rPr>
        <w:t xml:space="preserve">návrh </w:t>
      </w:r>
      <w:r w:rsidR="003B2934" w:rsidRPr="00BB55CE">
        <w:rPr>
          <w:b w:val="0"/>
          <w:sz w:val="24"/>
          <w:szCs w:val="24"/>
        </w:rPr>
        <w:t xml:space="preserve">novely </w:t>
      </w:r>
      <w:r w:rsidR="00D34C97" w:rsidRPr="00BB55CE">
        <w:rPr>
          <w:b w:val="0"/>
          <w:sz w:val="24"/>
          <w:szCs w:val="24"/>
        </w:rPr>
        <w:t>z</w:t>
      </w:r>
      <w:r w:rsidR="00D34C97" w:rsidRPr="00D34C97">
        <w:rPr>
          <w:b w:val="0"/>
          <w:sz w:val="24"/>
          <w:szCs w:val="24"/>
        </w:rPr>
        <w:t>ákon</w:t>
      </w:r>
      <w:r w:rsidR="00B53470">
        <w:rPr>
          <w:b w:val="0"/>
          <w:sz w:val="24"/>
          <w:szCs w:val="24"/>
        </w:rPr>
        <w:t>a</w:t>
      </w:r>
      <w:r w:rsidR="00D34C97" w:rsidRPr="00D34C97">
        <w:rPr>
          <w:b w:val="0"/>
          <w:sz w:val="24"/>
          <w:szCs w:val="24"/>
        </w:rPr>
        <w:t xml:space="preserve"> o oceňování majetku“)</w:t>
      </w:r>
      <w:r w:rsidR="002B5328" w:rsidRPr="00D34C97">
        <w:rPr>
          <w:rFonts w:eastAsia="MS Mincho"/>
          <w:b w:val="0"/>
          <w:iCs/>
          <w:sz w:val="24"/>
          <w:szCs w:val="24"/>
        </w:rPr>
        <w:t>.</w:t>
      </w:r>
    </w:p>
    <w:p w:rsidR="002B5328" w:rsidRDefault="002B5328" w:rsidP="002B5328">
      <w:pPr>
        <w:pStyle w:val="Nadpis2"/>
        <w:numPr>
          <w:ilvl w:val="1"/>
          <w:numId w:val="9"/>
        </w:numPr>
        <w:rPr>
          <w:sz w:val="24"/>
          <w:szCs w:val="24"/>
        </w:rPr>
      </w:pPr>
      <w:r w:rsidRPr="002B5328">
        <w:rPr>
          <w:b w:val="0"/>
          <w:sz w:val="24"/>
          <w:szCs w:val="24"/>
        </w:rPr>
        <w:t xml:space="preserve"> </w:t>
      </w:r>
      <w:r w:rsidR="00AA214E" w:rsidRPr="00AA214E">
        <w:rPr>
          <w:sz w:val="24"/>
          <w:szCs w:val="24"/>
        </w:rPr>
        <w:t>Definice problému</w:t>
      </w:r>
    </w:p>
    <w:p w:rsidR="00E27253" w:rsidRPr="00833A5B" w:rsidRDefault="00220797" w:rsidP="00E27253">
      <w:r>
        <w:tab/>
      </w:r>
      <w:r w:rsidR="00E27253">
        <w:t xml:space="preserve"> </w:t>
      </w:r>
      <w:r w:rsidR="00E27253" w:rsidRPr="00BB55CE">
        <w:t xml:space="preserve">Návrh </w:t>
      </w:r>
      <w:r w:rsidR="003B2934" w:rsidRPr="00BB55CE">
        <w:t>novely</w:t>
      </w:r>
      <w:r w:rsidR="003B2934">
        <w:t xml:space="preserve"> </w:t>
      </w:r>
      <w:r w:rsidR="00D34C97">
        <w:t>z</w:t>
      </w:r>
      <w:r w:rsidR="00D34C97" w:rsidRPr="000D6BA6">
        <w:t>ákon</w:t>
      </w:r>
      <w:r w:rsidR="00D34C97">
        <w:t>a o oceňování majetku</w:t>
      </w:r>
      <w:r w:rsidR="00D34C97" w:rsidRPr="000D6BA6">
        <w:t xml:space="preserve"> </w:t>
      </w:r>
      <w:r w:rsidR="00E27253" w:rsidRPr="0088158E">
        <w:t>je předkládán v souladu s Plánem legislativních prací v</w:t>
      </w:r>
      <w:r w:rsidR="00E27253">
        <w:t>lády na zbývající část roku 2018</w:t>
      </w:r>
      <w:r w:rsidR="00E27253" w:rsidRPr="0088158E">
        <w:t>, s</w:t>
      </w:r>
      <w:r w:rsidR="00E27253">
        <w:t xml:space="preserve">chváleným usnesením vlády č. 91 </w:t>
      </w:r>
      <w:r w:rsidR="00E91268">
        <w:br/>
      </w:r>
      <w:r w:rsidR="00E27253">
        <w:t>ze dne 7</w:t>
      </w:r>
      <w:r w:rsidR="00E27253" w:rsidRPr="0088158E">
        <w:t xml:space="preserve">. </w:t>
      </w:r>
      <w:r w:rsidR="00E27253">
        <w:t>února 2018, úkolovým listem vlády pro </w:t>
      </w:r>
      <w:r w:rsidR="00E27253" w:rsidRPr="0088158E">
        <w:t xml:space="preserve">úkol </w:t>
      </w:r>
      <w:r w:rsidR="00E27253" w:rsidRPr="00722451">
        <w:t>č. 62/18</w:t>
      </w:r>
      <w:r w:rsidR="00E0452D">
        <w:t>,</w:t>
      </w:r>
      <w:r w:rsidR="00E27253" w:rsidRPr="0088158E">
        <w:t xml:space="preserve"> s konečným termínem </w:t>
      </w:r>
      <w:r w:rsidR="003C2B81">
        <w:t>předložení vládě</w:t>
      </w:r>
      <w:r w:rsidR="003B2934">
        <w:t xml:space="preserve"> </w:t>
      </w:r>
      <w:r w:rsidR="00E27253">
        <w:t>31. prosince 2018,  </w:t>
      </w:r>
      <w:r w:rsidR="00E0452D">
        <w:t xml:space="preserve">a </w:t>
      </w:r>
      <w:r w:rsidR="00E27253">
        <w:t>předpokládaný</w:t>
      </w:r>
      <w:r w:rsidR="00E0452D">
        <w:t>m</w:t>
      </w:r>
      <w:r w:rsidR="00E27253">
        <w:t xml:space="preserve"> termín</w:t>
      </w:r>
      <w:r w:rsidR="00E0452D">
        <w:t>em</w:t>
      </w:r>
      <w:r w:rsidR="00E27253">
        <w:t xml:space="preserve"> nabytí účinnosti leden 2020.</w:t>
      </w:r>
    </w:p>
    <w:p w:rsidR="00D34C97" w:rsidRDefault="00D34C97" w:rsidP="00D34C97">
      <w:r>
        <w:t>Stávající právní úprava</w:t>
      </w:r>
      <w:r w:rsidR="00537395">
        <w:t>,</w:t>
      </w:r>
      <w:r>
        <w:t xml:space="preserve"> zakotvená v z</w:t>
      </w:r>
      <w:r w:rsidRPr="000D6BA6">
        <w:t>ákon</w:t>
      </w:r>
      <w:r>
        <w:t>ě</w:t>
      </w:r>
      <w:r w:rsidR="00537395" w:rsidRPr="00537395">
        <w:rPr>
          <w:rFonts w:eastAsia="MS Mincho"/>
          <w:iCs/>
        </w:rPr>
        <w:t xml:space="preserve"> </w:t>
      </w:r>
      <w:r w:rsidR="00537395" w:rsidRPr="002B5328">
        <w:rPr>
          <w:rFonts w:eastAsia="MS Mincho"/>
          <w:iCs/>
        </w:rPr>
        <w:t>č. 151/</w:t>
      </w:r>
      <w:r w:rsidR="00537395">
        <w:rPr>
          <w:rFonts w:eastAsia="MS Mincho"/>
          <w:iCs/>
        </w:rPr>
        <w:t xml:space="preserve">1997 Sb., o oceňování majetku </w:t>
      </w:r>
      <w:r w:rsidR="00E91268">
        <w:rPr>
          <w:rFonts w:eastAsia="MS Mincho"/>
          <w:iCs/>
        </w:rPr>
        <w:br/>
        <w:t xml:space="preserve">a </w:t>
      </w:r>
      <w:r w:rsidR="00537395" w:rsidRPr="002B5328">
        <w:rPr>
          <w:rFonts w:eastAsia="MS Mincho"/>
          <w:iCs/>
        </w:rPr>
        <w:t>o změně některých zákonů (zákon o oceňování majetku), ve znění pozdějších předpisů</w:t>
      </w:r>
      <w:r w:rsidR="00537395">
        <w:rPr>
          <w:rFonts w:eastAsia="MS Mincho"/>
          <w:iCs/>
        </w:rPr>
        <w:t xml:space="preserve"> </w:t>
      </w:r>
      <w:r w:rsidR="00537395" w:rsidRPr="00D34C97">
        <w:t>(dále</w:t>
      </w:r>
      <w:r w:rsidR="00537395">
        <w:rPr>
          <w:b/>
        </w:rPr>
        <w:t xml:space="preserve"> </w:t>
      </w:r>
      <w:r w:rsidR="00537395">
        <w:t>též</w:t>
      </w:r>
      <w:r w:rsidR="00537395" w:rsidRPr="00D34C97">
        <w:t xml:space="preserve"> „zákon o oceňování majetku“)</w:t>
      </w:r>
      <w:r w:rsidR="00537395">
        <w:t xml:space="preserve">, </w:t>
      </w:r>
      <w:r w:rsidRPr="000D6BA6">
        <w:t xml:space="preserve">upravuje způsoby oceňování majetku a služeb pro účely stanovené jinými předpisy, mimo oblast cen sjednávaných mezi prodávajícím a kupujícím, kterou </w:t>
      </w:r>
      <w:r>
        <w:t>upravuje zákon č. 526/1990 Sb.,</w:t>
      </w:r>
      <w:r w:rsidR="00537395">
        <w:t xml:space="preserve"> </w:t>
      </w:r>
      <w:r w:rsidRPr="000D6BA6">
        <w:t>o cenách</w:t>
      </w:r>
      <w:r>
        <w:t>, ve znění pozdějších předpisů</w:t>
      </w:r>
      <w:r w:rsidRPr="000D6BA6">
        <w:t>. Podle zákona o o</w:t>
      </w:r>
      <w:r>
        <w:t>ceňování majetku se určují ceny</w:t>
      </w:r>
      <w:r w:rsidR="00537395">
        <w:t xml:space="preserve"> </w:t>
      </w:r>
      <w:r w:rsidRPr="000D6BA6">
        <w:t xml:space="preserve">v ostatních případech, kdy se cena majetku </w:t>
      </w:r>
      <w:r>
        <w:t>stanov</w:t>
      </w:r>
      <w:r w:rsidRPr="000D6BA6">
        <w:t>uje</w:t>
      </w:r>
      <w:r w:rsidR="00537395">
        <w:br/>
      </w:r>
      <w:r>
        <w:t>pro jiné účely než pro prodej.</w:t>
      </w:r>
    </w:p>
    <w:p w:rsidR="00970E7F" w:rsidRDefault="009A6D43" w:rsidP="00220797">
      <w:pPr>
        <w:pStyle w:val="Odstavecseseznamem"/>
        <w:ind w:left="0" w:firstLine="0"/>
        <w:rPr>
          <w:noProof/>
        </w:rPr>
      </w:pPr>
      <w:r>
        <w:rPr>
          <w:noProof/>
        </w:rPr>
        <w:tab/>
      </w:r>
    </w:p>
    <w:p w:rsidR="00E27253" w:rsidRDefault="009A6D43" w:rsidP="00220797">
      <w:pPr>
        <w:pStyle w:val="Odstavecseseznamem"/>
        <w:ind w:left="0" w:firstLine="0"/>
        <w:rPr>
          <w:noProof/>
        </w:rPr>
      </w:pPr>
      <w:r>
        <w:rPr>
          <w:noProof/>
        </w:rPr>
        <w:t>Významným pro</w:t>
      </w:r>
      <w:r w:rsidR="00144592">
        <w:rPr>
          <w:noProof/>
        </w:rPr>
        <w:t>blémem současné právní úpravy</w:t>
      </w:r>
      <w:r w:rsidR="00CD48E1" w:rsidRPr="00CD48E1">
        <w:t xml:space="preserve"> </w:t>
      </w:r>
      <w:r w:rsidR="00CD48E1" w:rsidRPr="00D34C97">
        <w:t>zákon</w:t>
      </w:r>
      <w:r w:rsidR="00CD48E1">
        <w:t>a</w:t>
      </w:r>
      <w:r w:rsidR="00CD48E1" w:rsidRPr="00D34C97">
        <w:t xml:space="preserve"> o oceňování majetku</w:t>
      </w:r>
      <w:r w:rsidR="00144592">
        <w:rPr>
          <w:noProof/>
        </w:rPr>
        <w:t xml:space="preserve"> je</w:t>
      </w:r>
      <w:r>
        <w:rPr>
          <w:noProof/>
        </w:rPr>
        <w:t>:</w:t>
      </w:r>
    </w:p>
    <w:p w:rsidR="00970E7F" w:rsidRDefault="00970E7F" w:rsidP="00220797">
      <w:pPr>
        <w:pStyle w:val="Odstavecseseznamem"/>
        <w:ind w:left="0" w:firstLine="0"/>
        <w:rPr>
          <w:noProof/>
        </w:rPr>
      </w:pPr>
    </w:p>
    <w:p w:rsidR="005740FC" w:rsidRPr="00570833" w:rsidRDefault="005740FC" w:rsidP="005740FC">
      <w:pPr>
        <w:pStyle w:val="Odstavecseseznamem"/>
        <w:numPr>
          <w:ilvl w:val="0"/>
          <w:numId w:val="14"/>
        </w:numPr>
      </w:pPr>
      <w:r>
        <w:t xml:space="preserve">nemožnost ocenění obvyklou cenou </w:t>
      </w:r>
      <w:r w:rsidR="00970E7F">
        <w:t>v případech, kdy nelze srovnatelnou sjednanou</w:t>
      </w:r>
      <w:r w:rsidR="00970E7F" w:rsidRPr="00CA7205">
        <w:t xml:space="preserve"> kupní </w:t>
      </w:r>
      <w:r w:rsidR="00970E7F">
        <w:t>cenu obdobných</w:t>
      </w:r>
      <w:r w:rsidR="00970E7F" w:rsidRPr="00CA7205">
        <w:t xml:space="preserve"> věcí zjistit</w:t>
      </w:r>
      <w:r w:rsidR="00970E7F">
        <w:t>,</w:t>
      </w:r>
      <w:r w:rsidR="00970E7F" w:rsidRPr="00CA7205">
        <w:t xml:space="preserve"> buď z důvodu její jedinečnosti, nebo z</w:t>
      </w:r>
      <w:r w:rsidR="006667AF">
        <w:t> </w:t>
      </w:r>
      <w:r w:rsidR="00970E7F" w:rsidRPr="00CA7205">
        <w:t>důvodu</w:t>
      </w:r>
      <w:r w:rsidR="00570833" w:rsidRPr="00570833">
        <w:rPr>
          <w:color w:val="FF0000"/>
        </w:rPr>
        <w:t xml:space="preserve"> </w:t>
      </w:r>
      <w:r w:rsidR="00570833" w:rsidRPr="00570833">
        <w:t>nedostatku údajů</w:t>
      </w:r>
      <w:r w:rsidR="00970E7F" w:rsidRPr="00CA7205">
        <w:t>,</w:t>
      </w:r>
      <w:r w:rsidR="00570833">
        <w:t xml:space="preserve"> </w:t>
      </w:r>
      <w:r w:rsidR="00FE0426">
        <w:t xml:space="preserve">kdy se </w:t>
      </w:r>
      <w:r w:rsidR="00570833">
        <w:t>např</w:t>
      </w:r>
      <w:r w:rsidR="00FE0426">
        <w:t>íklad</w:t>
      </w:r>
      <w:r w:rsidR="00570833" w:rsidRPr="00570833">
        <w:t xml:space="preserve"> s věcí</w:t>
      </w:r>
      <w:r w:rsidR="00970E7F" w:rsidRPr="00570833">
        <w:t xml:space="preserve"> v dané lokalitě a přiměřeném časovém úseku neobchodovalo,</w:t>
      </w:r>
    </w:p>
    <w:p w:rsidR="00970E7F" w:rsidRPr="00E30E96" w:rsidRDefault="00A2704F" w:rsidP="005740FC">
      <w:pPr>
        <w:pStyle w:val="Odstavecseseznamem"/>
        <w:numPr>
          <w:ilvl w:val="0"/>
          <w:numId w:val="14"/>
        </w:numPr>
      </w:pPr>
      <w:r>
        <w:t>menší</w:t>
      </w:r>
      <w:r w:rsidR="00327CA7">
        <w:t xml:space="preserve"> </w:t>
      </w:r>
      <w:r w:rsidR="00CF38D9">
        <w:t>srozumitelnost či</w:t>
      </w:r>
      <w:r w:rsidR="002059A8">
        <w:t xml:space="preserve"> </w:t>
      </w:r>
      <w:r w:rsidR="008614B7">
        <w:t>pochopitelnost</w:t>
      </w:r>
      <w:r w:rsidR="00327CA7">
        <w:t xml:space="preserve"> stanoveného </w:t>
      </w:r>
      <w:r w:rsidR="00144592">
        <w:t>postup</w:t>
      </w:r>
      <w:r w:rsidR="00327CA7">
        <w:t>u</w:t>
      </w:r>
      <w:r w:rsidR="00144592" w:rsidRPr="00144592">
        <w:t xml:space="preserve"> </w:t>
      </w:r>
      <w:r w:rsidR="00144592">
        <w:t xml:space="preserve">zpracování cenových map stavebních </w:t>
      </w:r>
      <w:r w:rsidR="00144592" w:rsidRPr="00C01709">
        <w:t>pozemků</w:t>
      </w:r>
      <w:r w:rsidR="00CF38D9">
        <w:t xml:space="preserve"> nebo</w:t>
      </w:r>
      <w:r w:rsidR="00C01709" w:rsidRPr="00C01709">
        <w:rPr>
          <w:color w:val="FF0000"/>
        </w:rPr>
        <w:t xml:space="preserve"> </w:t>
      </w:r>
      <w:r w:rsidR="00C01709" w:rsidRPr="00E30E96">
        <w:t xml:space="preserve">nejasnost postupu v případech, kdy nelze ocenění </w:t>
      </w:r>
      <w:r w:rsidR="00E91268">
        <w:br/>
      </w:r>
      <w:r w:rsidR="00C01709" w:rsidRPr="00E30E96">
        <w:t xml:space="preserve">dle cenové </w:t>
      </w:r>
      <w:r w:rsidR="005D49A5">
        <w:t>mapy stavebních pozemků použít,</w:t>
      </w:r>
    </w:p>
    <w:p w:rsidR="00045A96" w:rsidRPr="007440AF" w:rsidRDefault="006D20C9" w:rsidP="005740FC">
      <w:pPr>
        <w:pStyle w:val="Odstavecseseznamem"/>
        <w:numPr>
          <w:ilvl w:val="0"/>
          <w:numId w:val="14"/>
        </w:numPr>
      </w:pPr>
      <w:r w:rsidRPr="007440AF">
        <w:rPr>
          <w:noProof/>
        </w:rPr>
        <w:t>nepřesnost textu v ustanovení týkajícího se práva stavby, neboť</w:t>
      </w:r>
      <w:r w:rsidRPr="007440AF">
        <w:rPr>
          <w:bCs/>
        </w:rPr>
        <w:t xml:space="preserve"> právem stavby </w:t>
      </w:r>
      <w:r w:rsidR="00E91268">
        <w:rPr>
          <w:bCs/>
        </w:rPr>
        <w:br/>
      </w:r>
      <w:r w:rsidRPr="007440AF">
        <w:rPr>
          <w:bCs/>
        </w:rPr>
        <w:t>lze zatížit pouze celý pozemek, nikoliv jeho část - viz zákon č. 89/2012 Sb., občanský zákoník, ve znění pozdějších předpisů</w:t>
      </w:r>
      <w:r w:rsidR="00FD2546" w:rsidRPr="007440AF">
        <w:rPr>
          <w:bCs/>
        </w:rPr>
        <w:t>,</w:t>
      </w:r>
      <w:r w:rsidRPr="007440AF">
        <w:rPr>
          <w:bCs/>
        </w:rPr>
        <w:t xml:space="preserve"> ustanovení § 1240 a následujících,</w:t>
      </w:r>
      <w:r w:rsidR="00F63FC4" w:rsidRPr="007440AF">
        <w:rPr>
          <w:bCs/>
        </w:rPr>
        <w:t xml:space="preserve"> kde nejsou části pozemku zmiňovány</w:t>
      </w:r>
      <w:r w:rsidR="008051B0">
        <w:rPr>
          <w:bCs/>
        </w:rPr>
        <w:t>, nemožnost reagovat na změny související se způsobem oceňování práva stavby</w:t>
      </w:r>
      <w:r w:rsidR="00F63FC4" w:rsidRPr="007440AF">
        <w:rPr>
          <w:bCs/>
        </w:rPr>
        <w:t>,</w:t>
      </w:r>
    </w:p>
    <w:p w:rsidR="00F63FC4" w:rsidRDefault="00015E24" w:rsidP="005740FC">
      <w:pPr>
        <w:pStyle w:val="Odstavecseseznamem"/>
        <w:numPr>
          <w:ilvl w:val="0"/>
          <w:numId w:val="14"/>
        </w:numPr>
      </w:pPr>
      <w:r>
        <w:rPr>
          <w:bCs/>
        </w:rPr>
        <w:t>ne</w:t>
      </w:r>
      <w:r w:rsidR="00F63FC4">
        <w:rPr>
          <w:bCs/>
        </w:rPr>
        <w:t>stanoven</w:t>
      </w:r>
      <w:r>
        <w:rPr>
          <w:bCs/>
        </w:rPr>
        <w:t>í</w:t>
      </w:r>
      <w:r w:rsidR="00F63FC4">
        <w:rPr>
          <w:bCs/>
        </w:rPr>
        <w:t xml:space="preserve"> </w:t>
      </w:r>
      <w:r w:rsidR="00F63FC4">
        <w:t>způsob</w:t>
      </w:r>
      <w:r>
        <w:t>u</w:t>
      </w:r>
      <w:r w:rsidR="00F63FC4">
        <w:t xml:space="preserve"> oceňování</w:t>
      </w:r>
      <w:r w:rsidR="00F63FC4" w:rsidRPr="00F63FC4">
        <w:t xml:space="preserve"> </w:t>
      </w:r>
      <w:r w:rsidR="00F63FC4">
        <w:t>rychle rostoucích dřevin,</w:t>
      </w:r>
      <w:r w:rsidR="00A31B45">
        <w:t xml:space="preserve"> </w:t>
      </w:r>
    </w:p>
    <w:p w:rsidR="00A31B45" w:rsidRDefault="00A31B45" w:rsidP="00DD0069">
      <w:pPr>
        <w:pStyle w:val="Odstavecseseznamem"/>
        <w:numPr>
          <w:ilvl w:val="0"/>
          <w:numId w:val="14"/>
        </w:numPr>
      </w:pPr>
      <w:r w:rsidRPr="00FD1756">
        <w:lastRenderedPageBreak/>
        <w:t>nezji</w:t>
      </w:r>
      <w:r w:rsidR="00307FC0" w:rsidRPr="00FD1756">
        <w:t>stitelnost</w:t>
      </w:r>
      <w:r w:rsidR="00307FC0">
        <w:t xml:space="preserve"> </w:t>
      </w:r>
      <w:r>
        <w:t xml:space="preserve">újmy </w:t>
      </w:r>
      <w:r w:rsidR="00307FC0">
        <w:t xml:space="preserve">v případech </w:t>
      </w:r>
      <w:r w:rsidR="00DD0069" w:rsidRPr="00150A30">
        <w:t>věcných břemen nebo jiných věcných práv zřízených ze zákona jako závad na nemovité věci</w:t>
      </w:r>
      <w:r w:rsidR="00FD1756">
        <w:t>, z důvodu v zákoně chybějící úpravy pro její ocenění</w:t>
      </w:r>
      <w:r w:rsidR="00DD0069">
        <w:t xml:space="preserve">, </w:t>
      </w:r>
    </w:p>
    <w:p w:rsidR="00F63FC4" w:rsidRDefault="00015E24" w:rsidP="005740FC">
      <w:pPr>
        <w:pStyle w:val="Odstavecseseznamem"/>
        <w:numPr>
          <w:ilvl w:val="0"/>
          <w:numId w:val="14"/>
        </w:numPr>
        <w:rPr>
          <w:noProof/>
        </w:rPr>
      </w:pPr>
      <w:r>
        <w:rPr>
          <w:noProof/>
        </w:rPr>
        <w:t>ne</w:t>
      </w:r>
      <w:r w:rsidR="00F63FC4">
        <w:rPr>
          <w:noProof/>
        </w:rPr>
        <w:t>možno</w:t>
      </w:r>
      <w:r>
        <w:rPr>
          <w:noProof/>
        </w:rPr>
        <w:t>st</w:t>
      </w:r>
      <w:r w:rsidR="00F63FC4" w:rsidRPr="00D61BAF">
        <w:rPr>
          <w:noProof/>
        </w:rPr>
        <w:t xml:space="preserve"> </w:t>
      </w:r>
      <w:r w:rsidR="00F63FC4">
        <w:rPr>
          <w:noProof/>
        </w:rPr>
        <w:t>pružně reagovat na změny</w:t>
      </w:r>
      <w:r w:rsidR="00F63FC4" w:rsidRPr="00FF037D">
        <w:rPr>
          <w:noProof/>
        </w:rPr>
        <w:t xml:space="preserve"> </w:t>
      </w:r>
      <w:r w:rsidR="00F63FC4">
        <w:rPr>
          <w:noProof/>
        </w:rPr>
        <w:t xml:space="preserve">související se způsobem oceňování věcných břemen (např. z titulu úprav právních předpisů, vycházejících z právní praxe, </w:t>
      </w:r>
      <w:r w:rsidR="00E91268">
        <w:rPr>
          <w:noProof/>
        </w:rPr>
        <w:br/>
      </w:r>
      <w:r w:rsidR="00F63FC4">
        <w:rPr>
          <w:noProof/>
        </w:rPr>
        <w:t xml:space="preserve">či judikátů). </w:t>
      </w:r>
    </w:p>
    <w:p w:rsidR="00426D32" w:rsidRDefault="00426D32" w:rsidP="00426D32">
      <w:pPr>
        <w:pStyle w:val="Odstavecseseznamem"/>
        <w:ind w:firstLine="0"/>
        <w:rPr>
          <w:noProof/>
        </w:rPr>
      </w:pPr>
    </w:p>
    <w:bookmarkEnd w:id="1"/>
    <w:bookmarkEnd w:id="2"/>
    <w:p w:rsidR="000127B6" w:rsidRPr="00566A7B" w:rsidRDefault="004D0652" w:rsidP="000127B6">
      <w:pPr>
        <w:pStyle w:val="Nadpis2"/>
        <w:numPr>
          <w:ilvl w:val="1"/>
          <w:numId w:val="9"/>
        </w:numPr>
        <w:rPr>
          <w:rFonts w:cs="Times New Roman"/>
          <w:sz w:val="24"/>
          <w:szCs w:val="24"/>
        </w:rPr>
      </w:pPr>
      <w:r w:rsidRPr="00566A7B">
        <w:rPr>
          <w:rFonts w:cs="Times New Roman"/>
          <w:sz w:val="24"/>
          <w:szCs w:val="24"/>
        </w:rPr>
        <w:t>Popis existujícího právního stavu v dané oblasti</w:t>
      </w:r>
      <w:r w:rsidR="000127B6" w:rsidRPr="00566A7B">
        <w:rPr>
          <w:rFonts w:cs="Times New Roman"/>
          <w:sz w:val="24"/>
          <w:szCs w:val="24"/>
        </w:rPr>
        <w:t xml:space="preserve"> </w:t>
      </w:r>
    </w:p>
    <w:p w:rsidR="000127B6" w:rsidRPr="00FE477E" w:rsidRDefault="000127B6" w:rsidP="000127B6">
      <w:r w:rsidRPr="00FE477E">
        <w:t>Stávající zákon o oceňování majetku byl připraven v období vznikajícího tržního prostředí a velkých daňových a legislativních změn ve všech oblastech života společnosti</w:t>
      </w:r>
      <w:r w:rsidR="00AB0582">
        <w:br/>
        <w:t>v tuzemsku</w:t>
      </w:r>
      <w:r w:rsidRPr="00FE477E">
        <w:t xml:space="preserve">. </w:t>
      </w:r>
    </w:p>
    <w:p w:rsidR="000127B6" w:rsidRDefault="000127B6" w:rsidP="000127B6">
      <w:r w:rsidRPr="00FE477E">
        <w:t xml:space="preserve">Zákon </w:t>
      </w:r>
      <w:r w:rsidR="00755F77" w:rsidRPr="00FE477E">
        <w:t xml:space="preserve">o oceňování majetku </w:t>
      </w:r>
      <w:r w:rsidRPr="00FE477E">
        <w:t>byl připravován v době, kdy po centrálně řízeném hospodářství s uměle nastavovanými cenami nebyl v České republice volný trh a to především volný trh s nemovitými věcmi</w:t>
      </w:r>
      <w:r w:rsidR="00D7000D">
        <w:t>. Z</w:t>
      </w:r>
      <w:r w:rsidRPr="00FE477E">
        <w:t> tohoto důvodu byl navržen u některých druhů majetku jiný způsob oceňování než oceňování cenou obvyklou. Jiný způsob oceňování</w:t>
      </w:r>
      <w:r w:rsidR="00AB0582">
        <w:t xml:space="preserve"> byl</w:t>
      </w:r>
      <w:r w:rsidR="00AB0582" w:rsidRPr="00AB0582">
        <w:t xml:space="preserve"> </w:t>
      </w:r>
      <w:r w:rsidR="00AB0582" w:rsidRPr="00FE477E">
        <w:t xml:space="preserve">pro případy, kdy nebylo možné určit cenu obvyklou, </w:t>
      </w:r>
      <w:r w:rsidRPr="00FE477E">
        <w:t>stanoven</w:t>
      </w:r>
      <w:r w:rsidR="00AB0582">
        <w:t xml:space="preserve"> zákonem o oceňování majetku </w:t>
      </w:r>
      <w:r w:rsidR="00854B57">
        <w:t>jako</w:t>
      </w:r>
      <w:r w:rsidRPr="00FE477E">
        <w:t xml:space="preserve"> způsob nákladový, výnosový, porovnávací, ocenění podle jmenovité</w:t>
      </w:r>
      <w:r w:rsidR="007E2F4B">
        <w:t xml:space="preserve"> hodnoty</w:t>
      </w:r>
      <w:r w:rsidRPr="00FE477E">
        <w:t xml:space="preserve">, účetní hodnoty, kurzové hodnoty, a popřípadě cenou sjednanou. Obecně platí, že pokud zákon </w:t>
      </w:r>
      <w:r w:rsidR="00AB0582">
        <w:t>o oceňování majetku</w:t>
      </w:r>
      <w:r w:rsidR="00AB0582" w:rsidRPr="00FE477E">
        <w:t xml:space="preserve"> </w:t>
      </w:r>
      <w:r w:rsidRPr="00FE477E">
        <w:t xml:space="preserve">u majetku nestanoví jiný způsob oceňování, oceňuje se cenou obvyklou. </w:t>
      </w:r>
      <w:r w:rsidR="00D7000D">
        <w:t>C</w:t>
      </w:r>
      <w:r w:rsidR="00D7000D" w:rsidRPr="00FE477E">
        <w:t>ena</w:t>
      </w:r>
      <w:r w:rsidR="00D7000D">
        <w:t>,</w:t>
      </w:r>
      <w:r w:rsidR="00D7000D" w:rsidRPr="00FE477E">
        <w:t xml:space="preserve"> </w:t>
      </w:r>
      <w:r w:rsidR="00D7000D">
        <w:t>p</w:t>
      </w:r>
      <w:r w:rsidR="00854B57" w:rsidRPr="00FE477E">
        <w:t>odle zákona o oceňování majetku</w:t>
      </w:r>
      <w:r w:rsidR="00D7000D">
        <w:t>,</w:t>
      </w:r>
      <w:r w:rsidR="00854B57" w:rsidRPr="00FE477E">
        <w:t xml:space="preserve"> se určuje v případech, kdy majetek není předmětem koupě a prodeje.</w:t>
      </w:r>
    </w:p>
    <w:p w:rsidR="000127B6" w:rsidRDefault="000127B6" w:rsidP="000127B6">
      <w:r w:rsidRPr="00FE477E">
        <w:t>V</w:t>
      </w:r>
      <w:r w:rsidR="00854B57">
        <w:t xml:space="preserve"> současné </w:t>
      </w:r>
      <w:r w:rsidRPr="00FE477E">
        <w:t xml:space="preserve">době, kdy se změnily podmínky a situace na trhu, </w:t>
      </w:r>
      <w:r w:rsidR="00854B57">
        <w:t>poukazuje odborná veřejnost</w:t>
      </w:r>
      <w:r w:rsidR="0069094F">
        <w:t xml:space="preserve"> na skutečnost</w:t>
      </w:r>
      <w:r w:rsidR="00854B57">
        <w:t xml:space="preserve">, že </w:t>
      </w:r>
      <w:r w:rsidR="009B6DDC">
        <w:t>lze pro ocenění využít i </w:t>
      </w:r>
      <w:r w:rsidR="009B6DDC" w:rsidRPr="002836F4">
        <w:t>jiné</w:t>
      </w:r>
      <w:r w:rsidRPr="002836F4">
        <w:t xml:space="preserve"> </w:t>
      </w:r>
      <w:r w:rsidR="009B6DDC" w:rsidRPr="002836F4">
        <w:t>možnosti určování cen (hodnot),</w:t>
      </w:r>
      <w:r w:rsidRPr="002836F4">
        <w:t xml:space="preserve"> </w:t>
      </w:r>
      <w:r w:rsidR="00E91268">
        <w:br/>
      </w:r>
      <w:r w:rsidRPr="00FE477E">
        <w:t xml:space="preserve">než pouze takové, které </w:t>
      </w:r>
      <w:r w:rsidR="00894C77">
        <w:t xml:space="preserve">připouští </w:t>
      </w:r>
      <w:r w:rsidR="00854B57">
        <w:t>současný zákon</w:t>
      </w:r>
      <w:r w:rsidR="009C552A" w:rsidRPr="009C552A">
        <w:t xml:space="preserve"> </w:t>
      </w:r>
      <w:r w:rsidR="009C552A" w:rsidRPr="00FE477E">
        <w:t>o oceňování majetku</w:t>
      </w:r>
      <w:r w:rsidR="00854B57">
        <w:t>. Navrhuje</w:t>
      </w:r>
      <w:r w:rsidR="00F63DD0">
        <w:t xml:space="preserve"> </w:t>
      </w:r>
      <w:r w:rsidR="0069094F">
        <w:t xml:space="preserve">proto </w:t>
      </w:r>
      <w:r w:rsidR="00F63DD0">
        <w:t>uplatnit</w:t>
      </w:r>
      <w:r w:rsidR="00854B57">
        <w:t xml:space="preserve"> </w:t>
      </w:r>
      <w:r w:rsidRPr="00FE477E">
        <w:t>ocenění</w:t>
      </w:r>
      <w:r w:rsidR="002836F4">
        <w:t xml:space="preserve"> tržní hodnotou</w:t>
      </w:r>
      <w:r w:rsidRPr="00FE477E">
        <w:t>, kter</w:t>
      </w:r>
      <w:r w:rsidR="00F63DD0">
        <w:t>é vyc</w:t>
      </w:r>
      <w:r w:rsidR="00F63DD0" w:rsidRPr="002836F4">
        <w:t>há</w:t>
      </w:r>
      <w:r w:rsidR="002836F4" w:rsidRPr="002836F4">
        <w:t>z</w:t>
      </w:r>
      <w:r w:rsidR="00F63DD0" w:rsidRPr="002836F4">
        <w:t xml:space="preserve">í </w:t>
      </w:r>
      <w:r w:rsidR="00F63DD0">
        <w:t>z tržního prostředí a</w:t>
      </w:r>
      <w:r w:rsidR="00127D49">
        <w:t xml:space="preserve"> </w:t>
      </w:r>
      <w:r w:rsidR="00127D49" w:rsidRPr="002836F4">
        <w:t>může</w:t>
      </w:r>
      <w:r w:rsidR="00127D49">
        <w:t xml:space="preserve"> </w:t>
      </w:r>
      <w:r w:rsidRPr="00FE477E">
        <w:t xml:space="preserve">v některých případech lépe postihnout hodnotu oceňovaného majetku. </w:t>
      </w:r>
    </w:p>
    <w:p w:rsidR="002C353C" w:rsidRPr="00352CD4" w:rsidRDefault="002C353C" w:rsidP="002C353C">
      <w:r w:rsidRPr="00FE477E">
        <w:t xml:space="preserve">Zákon o oceňování majetku </w:t>
      </w:r>
      <w:r w:rsidR="002E72F0" w:rsidRPr="00FE477E">
        <w:t>v obecné rovině</w:t>
      </w:r>
      <w:r w:rsidR="00027DD8">
        <w:t xml:space="preserve"> upravuje pouze</w:t>
      </w:r>
      <w:r w:rsidR="00027DD8" w:rsidRPr="00027DD8">
        <w:t xml:space="preserve"> </w:t>
      </w:r>
      <w:r w:rsidR="00027DD8" w:rsidRPr="00FE477E">
        <w:t>oceňování majetku</w:t>
      </w:r>
      <w:r w:rsidR="002E72F0">
        <w:t>,</w:t>
      </w:r>
      <w:r w:rsidR="00027DD8">
        <w:t xml:space="preserve"> </w:t>
      </w:r>
      <w:r w:rsidR="0070645C">
        <w:t>a kromě toho</w:t>
      </w:r>
      <w:r w:rsidRPr="00FE477E">
        <w:t xml:space="preserve"> </w:t>
      </w:r>
      <w:r w:rsidR="00027DD8">
        <w:t>do</w:t>
      </w:r>
      <w:r w:rsidR="0070645C">
        <w:t> </w:t>
      </w:r>
      <w:r w:rsidR="00027DD8">
        <w:t>žádné</w:t>
      </w:r>
      <w:r w:rsidRPr="00FE477E">
        <w:t xml:space="preserve"> da</w:t>
      </w:r>
      <w:r w:rsidR="002E72F0">
        <w:t>lší oblast</w:t>
      </w:r>
      <w:r w:rsidR="00027DD8">
        <w:t>i</w:t>
      </w:r>
      <w:r w:rsidR="002E72F0">
        <w:t xml:space="preserve"> našeho právního řádu</w:t>
      </w:r>
      <w:r w:rsidR="0070645C" w:rsidRPr="0070645C">
        <w:t xml:space="preserve"> </w:t>
      </w:r>
      <w:r w:rsidR="0070645C">
        <w:t>nezasahuje</w:t>
      </w:r>
      <w:r w:rsidR="002E72F0">
        <w:t xml:space="preserve">. </w:t>
      </w:r>
      <w:r w:rsidR="00352CD4" w:rsidRPr="00352CD4">
        <w:t>O</w:t>
      </w:r>
      <w:r w:rsidR="0070645C" w:rsidRPr="00352CD4">
        <w:t>bsah a účel jiných</w:t>
      </w:r>
      <w:r w:rsidR="005A5C24" w:rsidRPr="00352CD4">
        <w:t xml:space="preserve"> speciálních</w:t>
      </w:r>
      <w:r w:rsidR="0070645C" w:rsidRPr="00352CD4">
        <w:t xml:space="preserve"> právních předpisů </w:t>
      </w:r>
      <w:r w:rsidR="00352CD4" w:rsidRPr="00352CD4">
        <w:t xml:space="preserve">se do něj </w:t>
      </w:r>
      <w:r w:rsidR="0070645C" w:rsidRPr="00352CD4">
        <w:t>nepromítá</w:t>
      </w:r>
      <w:r w:rsidRPr="00352CD4">
        <w:t xml:space="preserve">. </w:t>
      </w:r>
    </w:p>
    <w:p w:rsidR="002C353C" w:rsidRDefault="002C353C" w:rsidP="000127B6">
      <w:r w:rsidRPr="00FE477E">
        <w:t xml:space="preserve">Pokud některý právní předpis potřebuje pro své účely </w:t>
      </w:r>
      <w:r w:rsidR="00DE761F">
        <w:t xml:space="preserve">řešit </w:t>
      </w:r>
      <w:r w:rsidRPr="00FE477E">
        <w:t>ocenění majetku,</w:t>
      </w:r>
      <w:r w:rsidR="00DE761F">
        <w:t xml:space="preserve"> </w:t>
      </w:r>
      <w:r w:rsidR="00E91268">
        <w:br/>
      </w:r>
      <w:r w:rsidR="00DE761F">
        <w:t>má možnost odkázat na příslušné</w:t>
      </w:r>
      <w:r w:rsidRPr="00FE477E">
        <w:t xml:space="preserve"> ustanovení zákona o oceňování majetku, podle kterého </w:t>
      </w:r>
      <w:r w:rsidR="00E91268">
        <w:br/>
      </w:r>
      <w:r w:rsidRPr="00FE477E">
        <w:t>se ocenění provede (cenou obvyklou, cenou zjištěno</w:t>
      </w:r>
      <w:r w:rsidR="0069094F">
        <w:t>u</w:t>
      </w:r>
      <w:r w:rsidRPr="00FE477E">
        <w:t xml:space="preserve"> a v navrhované úpravě i tržní hodnotou).</w:t>
      </w:r>
    </w:p>
    <w:p w:rsidR="00674823" w:rsidRDefault="008054FC" w:rsidP="007B5E9B">
      <w:pPr>
        <w:rPr>
          <w:color w:val="FF0000"/>
        </w:rPr>
      </w:pPr>
      <w:r>
        <w:tab/>
      </w:r>
      <w:r w:rsidR="002E29A8">
        <w:t xml:space="preserve">Tlak </w:t>
      </w:r>
      <w:r w:rsidR="009C552A">
        <w:t>ze strany odborné veřejnosti (zejména zn</w:t>
      </w:r>
      <w:r w:rsidR="008920C3">
        <w:t>alců, znaleckých komor a ústavů při </w:t>
      </w:r>
      <w:r w:rsidR="009C552A">
        <w:t xml:space="preserve">vysokých školách), </w:t>
      </w:r>
      <w:r w:rsidR="00EF75F2">
        <w:t>na řešení uvedeného p</w:t>
      </w:r>
      <w:r w:rsidR="00EF75F2" w:rsidRPr="00FE477E">
        <w:t>roblém</w:t>
      </w:r>
      <w:r w:rsidR="00EF75F2">
        <w:t xml:space="preserve">u, </w:t>
      </w:r>
      <w:r w:rsidR="002E29A8">
        <w:t>s postupem času</w:t>
      </w:r>
      <w:r w:rsidR="002E29A8" w:rsidRPr="00FE477E">
        <w:t xml:space="preserve"> </w:t>
      </w:r>
      <w:r w:rsidR="00EF75F2">
        <w:t>narůstá.</w:t>
      </w:r>
      <w:r w:rsidR="002E29A8">
        <w:t xml:space="preserve"> </w:t>
      </w:r>
      <w:r w:rsidR="00EF75F2">
        <w:t>A to zejména u</w:t>
      </w:r>
      <w:r w:rsidR="008920C3">
        <w:t> </w:t>
      </w:r>
      <w:r w:rsidR="00EF75F2">
        <w:t>ocenění v</w:t>
      </w:r>
      <w:r w:rsidR="00145F90">
        <w:t> p</w:t>
      </w:r>
      <w:r w:rsidR="00EF75F2">
        <w:t>řípadech</w:t>
      </w:r>
      <w:r w:rsidR="00E43086">
        <w:t xml:space="preserve">, kdy nelze </w:t>
      </w:r>
      <w:r w:rsidR="00E43086">
        <w:rPr>
          <w:noProof/>
        </w:rPr>
        <w:t>určit obvyklou cenu</w:t>
      </w:r>
      <w:r>
        <w:t xml:space="preserve"> z důvodu nedostatku srovnatelných sjednaných</w:t>
      </w:r>
      <w:r w:rsidRPr="00CA7205">
        <w:t xml:space="preserve"> kupní</w:t>
      </w:r>
      <w:r>
        <w:t>ch</w:t>
      </w:r>
      <w:r w:rsidRPr="00CA7205">
        <w:t xml:space="preserve"> </w:t>
      </w:r>
      <w:r>
        <w:t>cen obdobných věcí.</w:t>
      </w:r>
      <w:r w:rsidR="007B5E9B" w:rsidRPr="007B5E9B">
        <w:rPr>
          <w:color w:val="FF0000"/>
        </w:rPr>
        <w:t xml:space="preserve"> </w:t>
      </w:r>
    </w:p>
    <w:p w:rsidR="008A3C31" w:rsidRDefault="00E25A34" w:rsidP="00E91268">
      <w:r w:rsidRPr="00DA36F1">
        <w:t>Problém s určováním obvyklé ceny se projevuje i v případech znaleckých posudků zpracovaných a využívaných při prodejích státního majetku.</w:t>
      </w:r>
    </w:p>
    <w:p w:rsidR="00DA36F1" w:rsidRDefault="00DA36F1" w:rsidP="008054FC">
      <w:pPr>
        <w:pStyle w:val="Odstavecseseznamem"/>
        <w:ind w:left="0" w:firstLine="0"/>
      </w:pPr>
    </w:p>
    <w:p w:rsidR="008A3C31" w:rsidRPr="00856A72" w:rsidRDefault="008A3C31" w:rsidP="008A3C31">
      <w:pPr>
        <w:pStyle w:val="Nadpis2"/>
        <w:numPr>
          <w:ilvl w:val="1"/>
          <w:numId w:val="7"/>
        </w:numPr>
        <w:rPr>
          <w:rFonts w:cs="Times New Roman"/>
          <w:sz w:val="24"/>
          <w:szCs w:val="24"/>
        </w:rPr>
      </w:pPr>
      <w:r w:rsidRPr="00856A72">
        <w:rPr>
          <w:rFonts w:cs="Times New Roman"/>
          <w:sz w:val="24"/>
          <w:szCs w:val="24"/>
        </w:rPr>
        <w:t xml:space="preserve">Identifikace dotčených subjektů </w:t>
      </w:r>
    </w:p>
    <w:p w:rsidR="00E63845" w:rsidRPr="00D43B08" w:rsidRDefault="00E61EE5" w:rsidP="00E63845">
      <w:pPr>
        <w:pStyle w:val="Odstavecseseznamem"/>
        <w:ind w:left="0" w:firstLine="0"/>
      </w:pPr>
      <w:r>
        <w:tab/>
      </w:r>
      <w:r w:rsidR="00E918AC" w:rsidRPr="00D43B08">
        <w:t xml:space="preserve">Dotčenými subjekty z hlediska návrhu novely zákona o oceňování majetku </w:t>
      </w:r>
      <w:r w:rsidR="002010FA" w:rsidRPr="00D43B08">
        <w:t>jsou všichni účastníci volného</w:t>
      </w:r>
      <w:r w:rsidRPr="00D43B08">
        <w:t xml:space="preserve"> trhu.</w:t>
      </w:r>
      <w:r w:rsidR="002010FA" w:rsidRPr="00D43B08">
        <w:t xml:space="preserve"> </w:t>
      </w:r>
      <w:r w:rsidR="00CA734A" w:rsidRPr="00D43B08">
        <w:t>Volný trh přitom na ú</w:t>
      </w:r>
      <w:r w:rsidR="00E131C2" w:rsidRPr="00D43B08">
        <w:t>častníky, jimiž jsou dotčené subjekty,</w:t>
      </w:r>
      <w:r w:rsidR="00CA734A" w:rsidRPr="00D43B08">
        <w:t xml:space="preserve"> </w:t>
      </w:r>
      <w:r w:rsidR="00C76AE5" w:rsidRPr="00D43B08">
        <w:t xml:space="preserve">v průběhu času působí </w:t>
      </w:r>
      <w:r w:rsidR="00CA734A" w:rsidRPr="00D43B08">
        <w:t>pohybem cen na trhu</w:t>
      </w:r>
      <w:r w:rsidR="00AF5EE8" w:rsidRPr="00D43B08">
        <w:t>, který</w:t>
      </w:r>
      <w:r w:rsidR="00704DE8" w:rsidRPr="00D43B08">
        <w:t xml:space="preserve"> u volného trhu </w:t>
      </w:r>
      <w:r w:rsidR="004904F0" w:rsidRPr="00D43B08">
        <w:t xml:space="preserve">nelze </w:t>
      </w:r>
      <w:r w:rsidR="00704DE8" w:rsidRPr="00D43B08">
        <w:t>do budoucna odhadovat a  ani ovlivňovat právním předpisem</w:t>
      </w:r>
      <w:r w:rsidR="00C76AE5" w:rsidRPr="00D43B08">
        <w:t xml:space="preserve">. </w:t>
      </w:r>
      <w:r w:rsidR="00D43B08">
        <w:t>P</w:t>
      </w:r>
      <w:r w:rsidR="00D43B08" w:rsidRPr="00D43B08">
        <w:t xml:space="preserve">říslušný právní předpis, tj. </w:t>
      </w:r>
      <w:r w:rsidR="00D43B08">
        <w:t>zákon</w:t>
      </w:r>
      <w:r w:rsidR="00D43B08">
        <w:br/>
      </w:r>
      <w:r w:rsidR="00D43B08" w:rsidRPr="00D43B08">
        <w:t xml:space="preserve">o oceňování majetku je </w:t>
      </w:r>
      <w:r w:rsidR="00D43B08">
        <w:t>n</w:t>
      </w:r>
      <w:r w:rsidR="00E63845" w:rsidRPr="00D43B08">
        <w:t xml:space="preserve">aopak </w:t>
      </w:r>
      <w:r w:rsidR="00D43B08" w:rsidRPr="00D43B08">
        <w:t>přizpůsobován</w:t>
      </w:r>
      <w:r w:rsidR="00D43B08">
        <w:t xml:space="preserve"> </w:t>
      </w:r>
      <w:r w:rsidR="00E63845" w:rsidRPr="00D43B08">
        <w:t>intencím vývoje volného trhu.</w:t>
      </w:r>
    </w:p>
    <w:p w:rsidR="00907DAA" w:rsidRPr="00D43B08" w:rsidRDefault="00907DAA" w:rsidP="00A749AA">
      <w:r w:rsidRPr="00D43B08">
        <w:t xml:space="preserve">Jediným přímým </w:t>
      </w:r>
      <w:r w:rsidR="000259C3" w:rsidRPr="00D43B08">
        <w:t>dopadem na dotčené</w:t>
      </w:r>
      <w:r w:rsidR="00BA57E4" w:rsidRPr="00D43B08">
        <w:t xml:space="preserve"> subjekty z hlediska návrhu novely zákona</w:t>
      </w:r>
      <w:r w:rsidR="00200672" w:rsidRPr="00D43B08">
        <w:t xml:space="preserve"> o </w:t>
      </w:r>
      <w:r w:rsidR="00BA57E4" w:rsidRPr="00D43B08">
        <w:t>oceňování majetku tak, z výše uvedených důvodů,</w:t>
      </w:r>
      <w:r w:rsidR="001273C6" w:rsidRPr="00D43B08">
        <w:t xml:space="preserve"> bude nutnost</w:t>
      </w:r>
      <w:r w:rsidR="00A749AA" w:rsidRPr="00D43B08">
        <w:t xml:space="preserve"> dodržovat upravená pravidla. </w:t>
      </w:r>
    </w:p>
    <w:p w:rsidR="00907DAA" w:rsidRDefault="00907DAA" w:rsidP="00A749AA"/>
    <w:p w:rsidR="00A749AA" w:rsidRPr="00FE477E" w:rsidRDefault="00F67A74" w:rsidP="00A749AA">
      <w:pPr>
        <w:rPr>
          <w:b/>
        </w:rPr>
      </w:pPr>
      <w:r w:rsidRPr="00200672">
        <w:rPr>
          <w:b/>
        </w:rPr>
        <w:t>Dotčené subjekty jsou</w:t>
      </w:r>
      <w:r w:rsidR="00A749AA" w:rsidRPr="00200672">
        <w:rPr>
          <w:b/>
        </w:rPr>
        <w:t>:</w:t>
      </w:r>
    </w:p>
    <w:p w:rsidR="00A749AA" w:rsidRPr="00FE477E" w:rsidRDefault="00A749AA" w:rsidP="00104D0C">
      <w:pPr>
        <w:pStyle w:val="Odstavecseseznamem"/>
        <w:numPr>
          <w:ilvl w:val="0"/>
          <w:numId w:val="8"/>
        </w:numPr>
        <w:spacing w:before="0" w:after="0" w:line="240" w:lineRule="auto"/>
        <w:ind w:left="426"/>
      </w:pPr>
      <w:r w:rsidRPr="00FE477E">
        <w:t xml:space="preserve">znalci, </w:t>
      </w:r>
      <w:r w:rsidR="00C528AD">
        <w:t xml:space="preserve">znalecké ústavy, </w:t>
      </w:r>
      <w:r w:rsidRPr="00FE477E">
        <w:t>odhadci, certifikovaní odhadci,</w:t>
      </w:r>
      <w:r w:rsidR="003F1B28">
        <w:t xml:space="preserve"> </w:t>
      </w:r>
    </w:p>
    <w:p w:rsidR="00A749AA" w:rsidRPr="00FE477E" w:rsidRDefault="00017035" w:rsidP="00104D0C">
      <w:pPr>
        <w:pStyle w:val="Odstavecseseznamem"/>
        <w:numPr>
          <w:ilvl w:val="0"/>
          <w:numId w:val="8"/>
        </w:numPr>
        <w:spacing w:before="0" w:after="0" w:line="240" w:lineRule="auto"/>
        <w:ind w:left="426"/>
      </w:pPr>
      <w:r>
        <w:t xml:space="preserve">soukromoprávní subjekty, </w:t>
      </w:r>
      <w:r w:rsidR="008E1CD4">
        <w:t xml:space="preserve">jedná se o fyzické či právnické osoby soukromého práva, </w:t>
      </w:r>
      <w:r>
        <w:t xml:space="preserve">jimiž jsou </w:t>
      </w:r>
      <w:r w:rsidR="00A749AA" w:rsidRPr="00FE477E">
        <w:t>prodávající, kupující, pronajímatelé, nájemci, podnájemci, developeři,</w:t>
      </w:r>
      <w:r w:rsidR="008E1CD4">
        <w:t xml:space="preserve"> daňoví poplatníci,</w:t>
      </w:r>
      <w:r w:rsidR="00A749AA" w:rsidRPr="00FE477E">
        <w:t xml:space="preserve"> případně další subjekty,</w:t>
      </w:r>
    </w:p>
    <w:p w:rsidR="00A749AA" w:rsidRPr="00FE477E" w:rsidRDefault="00F67A74" w:rsidP="00104D0C">
      <w:pPr>
        <w:pStyle w:val="Odstavecseseznamem"/>
        <w:numPr>
          <w:ilvl w:val="0"/>
          <w:numId w:val="8"/>
        </w:numPr>
        <w:spacing w:before="0" w:after="0" w:line="240" w:lineRule="auto"/>
        <w:ind w:left="426"/>
      </w:pPr>
      <w:r>
        <w:t>státní orgány -</w:t>
      </w:r>
      <w:r w:rsidR="00A749AA" w:rsidRPr="00FE477E">
        <w:t xml:space="preserve"> Ministerstvo financí</w:t>
      </w:r>
      <w:r w:rsidR="00876411">
        <w:t xml:space="preserve">, Finanční správa </w:t>
      </w:r>
      <w:r w:rsidR="00A749AA" w:rsidRPr="00FE477E">
        <w:t>včetně Generálníh</w:t>
      </w:r>
      <w:r w:rsidR="003F1B28">
        <w:t>o finančního ředitelství a</w:t>
      </w:r>
      <w:r w:rsidR="008E1CD4">
        <w:t xml:space="preserve"> Úřadu </w:t>
      </w:r>
      <w:r w:rsidR="00A749AA" w:rsidRPr="00FE477E">
        <w:t>pro zastupování státu ve věcech majetkových, Ministerstvo dopravy, Ministerstvo zemědělství, Ministerstvo životního prostředí, Ministers</w:t>
      </w:r>
      <w:r>
        <w:t>tvo pro místní rozvoj, a případně další státní orgány</w:t>
      </w:r>
      <w:r w:rsidR="008E6608">
        <w:t xml:space="preserve"> či orgány státní moci</w:t>
      </w:r>
      <w:r w:rsidR="00A749AA" w:rsidRPr="00FE477E">
        <w:t>,</w:t>
      </w:r>
    </w:p>
    <w:p w:rsidR="00A749AA" w:rsidRPr="00FE477E" w:rsidRDefault="00A749AA" w:rsidP="00104D0C">
      <w:pPr>
        <w:pStyle w:val="Odstavecseseznamem"/>
        <w:numPr>
          <w:ilvl w:val="0"/>
          <w:numId w:val="8"/>
        </w:numPr>
        <w:spacing w:before="0" w:after="0" w:line="240" w:lineRule="auto"/>
        <w:ind w:left="426"/>
      </w:pPr>
      <w:r w:rsidRPr="00FE477E">
        <w:t>vzdělávací</w:t>
      </w:r>
      <w:r w:rsidR="001473B7">
        <w:t xml:space="preserve"> a certifikační</w:t>
      </w:r>
      <w:r w:rsidRPr="00FE477E">
        <w:t xml:space="preserve"> instituce</w:t>
      </w:r>
      <w:r w:rsidR="00B219C9">
        <w:t xml:space="preserve"> pro oblast oceňování</w:t>
      </w:r>
      <w:r w:rsidR="008E1CD4">
        <w:t xml:space="preserve"> majetku</w:t>
      </w:r>
      <w:r w:rsidRPr="00FE477E">
        <w:t xml:space="preserve">, </w:t>
      </w:r>
    </w:p>
    <w:p w:rsidR="00A749AA" w:rsidRPr="00FE477E" w:rsidRDefault="00A749AA" w:rsidP="00104D0C">
      <w:pPr>
        <w:pStyle w:val="Odstavecseseznamem"/>
        <w:numPr>
          <w:ilvl w:val="0"/>
          <w:numId w:val="8"/>
        </w:numPr>
        <w:spacing w:before="0" w:after="0" w:line="240" w:lineRule="auto"/>
        <w:ind w:left="426"/>
      </w:pPr>
      <w:r w:rsidRPr="00FE477E">
        <w:t>pr</w:t>
      </w:r>
      <w:r w:rsidR="00F67A74">
        <w:t>ofesní organizace a sdružení</w:t>
      </w:r>
      <w:r w:rsidR="00F4707B" w:rsidRPr="00F4707B">
        <w:t xml:space="preserve"> </w:t>
      </w:r>
      <w:r w:rsidR="00F4707B">
        <w:t>z oblasti oceňování</w:t>
      </w:r>
      <w:r w:rsidR="008E1CD4" w:rsidRPr="008E1CD4">
        <w:t xml:space="preserve"> </w:t>
      </w:r>
      <w:r w:rsidR="008E1CD4">
        <w:t>majetku</w:t>
      </w:r>
      <w:r w:rsidRPr="00FE477E">
        <w:t>,</w:t>
      </w:r>
    </w:p>
    <w:p w:rsidR="003F1B28" w:rsidRPr="00FE477E" w:rsidRDefault="00A749AA" w:rsidP="003F1B28">
      <w:pPr>
        <w:pStyle w:val="Odstavecseseznamem"/>
        <w:numPr>
          <w:ilvl w:val="0"/>
          <w:numId w:val="8"/>
        </w:numPr>
        <w:spacing w:before="0" w:after="0" w:line="240" w:lineRule="auto"/>
        <w:ind w:left="426"/>
      </w:pPr>
      <w:r w:rsidRPr="00FE477E">
        <w:t xml:space="preserve">banky, advokáti a notáři z hlediska použití ocenění (hypotéční zástavy, prodej </w:t>
      </w:r>
      <w:r w:rsidRPr="00BC0BB8">
        <w:t>nemovitých věcí</w:t>
      </w:r>
      <w:r w:rsidRPr="00FE477E">
        <w:t xml:space="preserve"> klientů, dědické řízení a podobně)</w:t>
      </w:r>
      <w:r w:rsidR="003F1B28">
        <w:t>,</w:t>
      </w:r>
      <w:r w:rsidR="003F1B28" w:rsidRPr="003F1B28">
        <w:t xml:space="preserve"> </w:t>
      </w:r>
      <w:r w:rsidR="003F1B28">
        <w:t>případně další subjekty.</w:t>
      </w:r>
    </w:p>
    <w:p w:rsidR="00104D0C" w:rsidRDefault="00104D0C" w:rsidP="00104D0C">
      <w:pPr>
        <w:pStyle w:val="Odstavecseseznamem"/>
        <w:spacing w:before="0" w:after="0" w:line="240" w:lineRule="auto"/>
        <w:ind w:left="0" w:firstLine="0"/>
      </w:pPr>
    </w:p>
    <w:p w:rsidR="009A3F8F" w:rsidRPr="00FE477E" w:rsidRDefault="00104D0C" w:rsidP="00104D0C">
      <w:pPr>
        <w:pStyle w:val="Odstavecseseznamem"/>
        <w:spacing w:before="0" w:after="0" w:line="240" w:lineRule="auto"/>
        <w:ind w:left="0" w:firstLine="0"/>
      </w:pPr>
      <w:r>
        <w:tab/>
      </w:r>
      <w:r w:rsidR="009A3F8F">
        <w:t>Dalšími dotčenými subjekty jsou veškeré subjekty, které mohou přijít do kontaktu</w:t>
      </w:r>
      <w:r w:rsidR="009A3F8F">
        <w:br/>
        <w:t>s oceňováním</w:t>
      </w:r>
      <w:r w:rsidR="009A3F8F" w:rsidRPr="008E1CD4">
        <w:t xml:space="preserve"> </w:t>
      </w:r>
      <w:r w:rsidR="009A3F8F">
        <w:t>majetku.</w:t>
      </w:r>
    </w:p>
    <w:p w:rsidR="00A749AA" w:rsidRPr="00FE477E" w:rsidRDefault="00A749AA" w:rsidP="006D19F4">
      <w:pPr>
        <w:pStyle w:val="Odstavecseseznamem"/>
        <w:ind w:left="0" w:firstLine="0"/>
      </w:pPr>
    </w:p>
    <w:p w:rsidR="00A749AA" w:rsidRPr="009C159D" w:rsidRDefault="00A749AA" w:rsidP="00A749AA">
      <w:pPr>
        <w:pStyle w:val="Nadpis2"/>
        <w:numPr>
          <w:ilvl w:val="1"/>
          <w:numId w:val="7"/>
        </w:numPr>
        <w:rPr>
          <w:sz w:val="24"/>
          <w:szCs w:val="24"/>
        </w:rPr>
      </w:pPr>
      <w:r w:rsidRPr="009C159D">
        <w:rPr>
          <w:sz w:val="24"/>
          <w:szCs w:val="24"/>
        </w:rPr>
        <w:t>Popis cílového stavu</w:t>
      </w:r>
    </w:p>
    <w:p w:rsidR="00A749AA" w:rsidRPr="00FE477E" w:rsidRDefault="005A6B6A" w:rsidP="00A749AA">
      <w:pPr>
        <w:ind w:firstLine="0"/>
      </w:pPr>
      <w:r>
        <w:tab/>
      </w:r>
      <w:r w:rsidR="00A749AA" w:rsidRPr="00FE477E">
        <w:t>S</w:t>
      </w:r>
      <w:r w:rsidR="00D751DA">
        <w:t>e stavem a</w:t>
      </w:r>
      <w:r w:rsidR="00A749AA" w:rsidRPr="00FE477E">
        <w:t> </w:t>
      </w:r>
      <w:r w:rsidR="00A749AA" w:rsidRPr="00364BE1">
        <w:t>vývojem</w:t>
      </w:r>
      <w:r w:rsidR="00CB3CBD" w:rsidRPr="00364BE1">
        <w:t xml:space="preserve"> cen na</w:t>
      </w:r>
      <w:r w:rsidR="00A749AA" w:rsidRPr="00364BE1">
        <w:t xml:space="preserve"> trhu </w:t>
      </w:r>
      <w:r w:rsidR="00A749AA" w:rsidRPr="00FE477E">
        <w:t>je spojeno i ocenění majetku. Každý prodávající i kupuj</w:t>
      </w:r>
      <w:r w:rsidR="00E77554">
        <w:t>ící potřebuje informace o možné</w:t>
      </w:r>
      <w:r w:rsidR="00170404">
        <w:t xml:space="preserve"> </w:t>
      </w:r>
      <w:r w:rsidR="00E77554">
        <w:t>(</w:t>
      </w:r>
      <w:r w:rsidR="00A749AA" w:rsidRPr="00FE477E">
        <w:t>dosažitelné</w:t>
      </w:r>
      <w:r w:rsidR="00E77554">
        <w:t>)</w:t>
      </w:r>
      <w:r w:rsidR="00A749AA" w:rsidRPr="00FE477E">
        <w:t xml:space="preserve"> ceně na trhu</w:t>
      </w:r>
      <w:r w:rsidR="00087D3B">
        <w:t xml:space="preserve"> k datu ocenění</w:t>
      </w:r>
      <w:r w:rsidR="00BF69F5">
        <w:t>,</w:t>
      </w:r>
      <w:r w:rsidR="00A749AA" w:rsidRPr="00FE477E">
        <w:t xml:space="preserve"> a za tímto účelem ko</w:t>
      </w:r>
      <w:r w:rsidR="00DF2476">
        <w:t>ntaktuje osobu, která je schopná</w:t>
      </w:r>
      <w:r w:rsidR="00A749AA" w:rsidRPr="00FE477E">
        <w:t xml:space="preserve"> zodpovědně </w:t>
      </w:r>
      <w:r w:rsidRPr="005A6B6A">
        <w:t>stanovit či</w:t>
      </w:r>
      <w:r>
        <w:rPr>
          <w:i/>
        </w:rPr>
        <w:t xml:space="preserve"> </w:t>
      </w:r>
      <w:r w:rsidRPr="00A749AA">
        <w:rPr>
          <w:i/>
        </w:rPr>
        <w:t>„</w:t>
      </w:r>
      <w:r w:rsidR="00A749AA" w:rsidRPr="00A749AA">
        <w:rPr>
          <w:i/>
        </w:rPr>
        <w:t>předpovědět“</w:t>
      </w:r>
      <w:r w:rsidR="00A749AA" w:rsidRPr="00FE477E">
        <w:t xml:space="preserve"> </w:t>
      </w:r>
      <w:r w:rsidR="009A5B4F" w:rsidRPr="00FE477E">
        <w:t xml:space="preserve">cenu </w:t>
      </w:r>
      <w:r w:rsidR="00A749AA" w:rsidRPr="00FE477E">
        <w:t xml:space="preserve">dosažitelnou při realizaci transakce. </w:t>
      </w:r>
    </w:p>
    <w:p w:rsidR="003B1F98" w:rsidRDefault="005A6B6A" w:rsidP="003B1F98">
      <w:pPr>
        <w:ind w:firstLine="0"/>
      </w:pPr>
      <w:r>
        <w:tab/>
      </w:r>
      <w:r w:rsidR="00A749AA" w:rsidRPr="00FE477E">
        <w:t>V České republice</w:t>
      </w:r>
      <w:r w:rsidR="00B418D6">
        <w:t xml:space="preserve"> </w:t>
      </w:r>
      <w:r w:rsidR="00A749AA" w:rsidRPr="00FE477E">
        <w:t>současný stav</w:t>
      </w:r>
      <w:r w:rsidR="00B418D6">
        <w:t xml:space="preserve"> i</w:t>
      </w:r>
      <w:r w:rsidR="00A749AA" w:rsidRPr="00FE477E">
        <w:t xml:space="preserve"> </w:t>
      </w:r>
      <w:r w:rsidR="00B418D6">
        <w:t>vývoj oceňování majetku souvisí s rozvo</w:t>
      </w:r>
      <w:r w:rsidR="00A749AA" w:rsidRPr="00FE477E">
        <w:t>jem společnosti po</w:t>
      </w:r>
      <w:r w:rsidR="00B418D6">
        <w:t xml:space="preserve"> roce 1989, od kterého se začal</w:t>
      </w:r>
      <w:r w:rsidR="00A749AA" w:rsidRPr="00FE477E">
        <w:t xml:space="preserve"> formovat</w:t>
      </w:r>
      <w:r w:rsidR="00B418D6">
        <w:t xml:space="preserve"> trh a</w:t>
      </w:r>
      <w:r w:rsidR="00A749AA" w:rsidRPr="00FE477E">
        <w:t xml:space="preserve"> </w:t>
      </w:r>
      <w:r w:rsidR="00B418D6" w:rsidRPr="00FE477E">
        <w:t xml:space="preserve">s ním související </w:t>
      </w:r>
      <w:r w:rsidR="00B418D6">
        <w:t>tržní prostředí</w:t>
      </w:r>
      <w:r w:rsidR="00A749AA" w:rsidRPr="00FE477E">
        <w:t xml:space="preserve">. </w:t>
      </w:r>
      <w:r w:rsidR="009D3B90">
        <w:t>Po téměř třicet</w:t>
      </w:r>
      <w:r w:rsidR="00C73FE7">
        <w:t>i letech, kdy se</w:t>
      </w:r>
      <w:r w:rsidR="00DE6A33">
        <w:t xml:space="preserve"> trh s</w:t>
      </w:r>
      <w:r w:rsidR="00C73FE7">
        <w:t xml:space="preserve"> věcmi celkem </w:t>
      </w:r>
      <w:r w:rsidR="00C73FE7" w:rsidRPr="007733C8">
        <w:t>stabilizoval</w:t>
      </w:r>
      <w:r w:rsidR="003B1F98" w:rsidRPr="007733C8">
        <w:t xml:space="preserve">, </w:t>
      </w:r>
      <w:r w:rsidR="00B95636" w:rsidRPr="007733C8">
        <w:t>lze již připustit i jiné ocenění</w:t>
      </w:r>
      <w:r w:rsidR="007733C8">
        <w:br/>
        <w:t>(</w:t>
      </w:r>
      <w:r w:rsidR="00DE6A33" w:rsidRPr="007733C8">
        <w:t>například u</w:t>
      </w:r>
      <w:r w:rsidR="00B95636" w:rsidRPr="007733C8">
        <w:t xml:space="preserve"> nemovitých věcí</w:t>
      </w:r>
      <w:r w:rsidR="007733C8">
        <w:t>)</w:t>
      </w:r>
      <w:r w:rsidR="00B95636" w:rsidRPr="007733C8">
        <w:t xml:space="preserve"> než cenou zjištěnou a obvyklou</w:t>
      </w:r>
      <w:r w:rsidR="004E00BB" w:rsidRPr="007733C8">
        <w:t xml:space="preserve">, jak </w:t>
      </w:r>
      <w:r w:rsidR="004E00BB" w:rsidRPr="00B95636">
        <w:t>bylo</w:t>
      </w:r>
      <w:r w:rsidR="003B1F98" w:rsidRPr="00B95636">
        <w:t xml:space="preserve"> </w:t>
      </w:r>
      <w:r w:rsidR="004E00BB" w:rsidRPr="00B95636">
        <w:t>v zá</w:t>
      </w:r>
      <w:r w:rsidR="004E00BB">
        <w:t>koně</w:t>
      </w:r>
      <w:r w:rsidR="003A3EF0" w:rsidDel="000017C6">
        <w:t xml:space="preserve"> </w:t>
      </w:r>
      <w:r w:rsidR="003A3EF0">
        <w:t>o oceňování majetku</w:t>
      </w:r>
      <w:r w:rsidR="004E00BB">
        <w:t xml:space="preserve"> </w:t>
      </w:r>
      <w:r w:rsidR="004E00BB" w:rsidRPr="00D406FE">
        <w:t>původně</w:t>
      </w:r>
      <w:r w:rsidR="004E00BB">
        <w:t xml:space="preserve"> určeno</w:t>
      </w:r>
      <w:r w:rsidR="003B1F98" w:rsidRPr="00D406FE">
        <w:t>.</w:t>
      </w:r>
    </w:p>
    <w:p w:rsidR="004239D4" w:rsidRPr="001C4427" w:rsidRDefault="005C493E" w:rsidP="001C4427">
      <w:pPr>
        <w:rPr>
          <w:color w:val="FF0000"/>
        </w:rPr>
      </w:pPr>
      <w:r>
        <w:tab/>
      </w:r>
      <w:r w:rsidRPr="004239D4">
        <w:t>Cílem předkládaného návrhu novely zákon</w:t>
      </w:r>
      <w:r w:rsidR="00841864" w:rsidRPr="004239D4">
        <w:t>a o oceňování majetku</w:t>
      </w:r>
      <w:r w:rsidR="00BD306E" w:rsidRPr="004239D4">
        <w:t xml:space="preserve"> je</w:t>
      </w:r>
      <w:r w:rsidR="003E7B56" w:rsidRPr="004239D4">
        <w:rPr>
          <w:color w:val="FF0000"/>
        </w:rPr>
        <w:t xml:space="preserve"> </w:t>
      </w:r>
      <w:r w:rsidR="00831A01">
        <w:t xml:space="preserve">zavedení tržní </w:t>
      </w:r>
      <w:r w:rsidR="00831A01" w:rsidRPr="00831A01">
        <w:t>hodnoty</w:t>
      </w:r>
      <w:r w:rsidR="007C5C90" w:rsidRPr="00831A01">
        <w:t xml:space="preserve"> </w:t>
      </w:r>
      <w:r w:rsidR="00076EE9" w:rsidRPr="00447DEE">
        <w:t>jako</w:t>
      </w:r>
      <w:r w:rsidR="003D0080" w:rsidRPr="00447DEE">
        <w:t xml:space="preserve"> alternativy</w:t>
      </w:r>
      <w:r w:rsidR="007C5C90" w:rsidRPr="00447DEE">
        <w:t xml:space="preserve"> v</w:t>
      </w:r>
      <w:r w:rsidR="00076EE9" w:rsidRPr="00447DEE">
        <w:t xml:space="preserve"> těch</w:t>
      </w:r>
      <w:r w:rsidR="007C5C90" w:rsidRPr="00447DEE">
        <w:t xml:space="preserve"> případech, kdy nelze určit </w:t>
      </w:r>
      <w:r w:rsidR="00076EE9" w:rsidRPr="00447DEE">
        <w:t>obvyklou cenu s o</w:t>
      </w:r>
      <w:r w:rsidR="00DC48BC">
        <w:t xml:space="preserve">hledem </w:t>
      </w:r>
      <w:r w:rsidR="00DC48BC">
        <w:lastRenderedPageBreak/>
        <w:t>na </w:t>
      </w:r>
      <w:r w:rsidR="00076EE9" w:rsidRPr="00447DEE">
        <w:t xml:space="preserve">nedostatek </w:t>
      </w:r>
      <w:r w:rsidR="00076EE9" w:rsidRPr="00DA36F1">
        <w:t>údajů</w:t>
      </w:r>
      <w:r w:rsidR="000022ED" w:rsidRPr="00DA36F1">
        <w:t>, a dále</w:t>
      </w:r>
      <w:r w:rsidR="004708A3" w:rsidRPr="00DA36F1">
        <w:t xml:space="preserve"> s ohledem na</w:t>
      </w:r>
      <w:r w:rsidR="000022ED" w:rsidRPr="00DA36F1">
        <w:t xml:space="preserve"> problémy</w:t>
      </w:r>
      <w:r w:rsidR="004708A3" w:rsidRPr="00DA36F1">
        <w:t xml:space="preserve"> s určováním obvyklé ceny </w:t>
      </w:r>
      <w:r w:rsidR="000022ED" w:rsidRPr="00DA36F1">
        <w:t>v</w:t>
      </w:r>
      <w:r w:rsidR="00DC48BC" w:rsidRPr="00DA36F1">
        <w:t> </w:t>
      </w:r>
      <w:r w:rsidR="000022ED" w:rsidRPr="00DA36F1">
        <w:t>případech znaleckých posudků zpracovaných a využívaných při prodejích státního majetku</w:t>
      </w:r>
      <w:r w:rsidRPr="00DA36F1">
        <w:t>.</w:t>
      </w:r>
      <w:r w:rsidR="003C5E1C" w:rsidRPr="00DA36F1">
        <w:t xml:space="preserve"> </w:t>
      </w:r>
    </w:p>
    <w:p w:rsidR="00EB6ED3" w:rsidRPr="003B7B62" w:rsidRDefault="00076EE9" w:rsidP="003B1F98">
      <w:r>
        <w:t xml:space="preserve"> </w:t>
      </w:r>
      <w:r w:rsidR="00F129A6">
        <w:t>S</w:t>
      </w:r>
      <w:r w:rsidR="00EC6200">
        <w:t xml:space="preserve">oučasně s tím by </w:t>
      </w:r>
      <w:r w:rsidR="00F129A6">
        <w:t>mělo dojít k upřesnění textu ustanovení zákona</w:t>
      </w:r>
      <w:r w:rsidR="00F129A6" w:rsidDel="000017C6">
        <w:t xml:space="preserve"> </w:t>
      </w:r>
      <w:r w:rsidR="00F129A6">
        <w:t>o oceňování majetku, týkajícího se zpracování cenových map stavebních pozemků</w:t>
      </w:r>
      <w:r w:rsidR="004E362A">
        <w:t xml:space="preserve"> a upřesnění postu</w:t>
      </w:r>
      <w:r w:rsidR="001D15FA">
        <w:t>pu pro </w:t>
      </w:r>
      <w:r w:rsidR="004E362A">
        <w:t xml:space="preserve">případy, </w:t>
      </w:r>
      <w:r w:rsidR="004E362A" w:rsidRPr="003B7B62">
        <w:t>kdy nelze podle cenové mapy stavebních pozemků ocenění použít</w:t>
      </w:r>
      <w:r w:rsidR="009A6B08" w:rsidRPr="003B7B62">
        <w:t>. Opodstatnění</w:t>
      </w:r>
      <w:r w:rsidR="00471597" w:rsidRPr="003B7B62">
        <w:t xml:space="preserve"> doplnění tohoto ustanovení </w:t>
      </w:r>
      <w:r w:rsidR="009A6B08" w:rsidRPr="003B7B62">
        <w:t>vyplynulo</w:t>
      </w:r>
      <w:r w:rsidR="00471597" w:rsidRPr="003B7B62">
        <w:t xml:space="preserve"> z připomínky „Komise pro</w:t>
      </w:r>
      <w:r w:rsidR="007A75C2" w:rsidRPr="003B7B62">
        <w:t> </w:t>
      </w:r>
      <w:r w:rsidR="00471597" w:rsidRPr="003B7B62">
        <w:t>veřejné právo I -  Komise pro správní právo č. 1 Legislativní rady vlády ČR“ ze dne 1. září 2014</w:t>
      </w:r>
      <w:r w:rsidR="00E10804" w:rsidRPr="003B7B62">
        <w:t>.</w:t>
      </w:r>
    </w:p>
    <w:p w:rsidR="00EB6ED3" w:rsidRPr="00AC7179" w:rsidRDefault="00E10804" w:rsidP="003B1F98">
      <w:pPr>
        <w:rPr>
          <w:noProof/>
        </w:rPr>
      </w:pPr>
      <w:r w:rsidRPr="00AC7179">
        <w:t>Vedle</w:t>
      </w:r>
      <w:r w:rsidR="00471597" w:rsidRPr="00AC7179">
        <w:t xml:space="preserve"> toho</w:t>
      </w:r>
      <w:r w:rsidRPr="00AC7179">
        <w:t xml:space="preserve"> </w:t>
      </w:r>
      <w:r w:rsidR="001D15FA" w:rsidRPr="00AC7179">
        <w:t>by mělo být</w:t>
      </w:r>
      <w:r w:rsidR="00530D5B">
        <w:t>,</w:t>
      </w:r>
      <w:r w:rsidR="001D15FA" w:rsidRPr="00AC7179">
        <w:t xml:space="preserve"> </w:t>
      </w:r>
      <w:r w:rsidR="00530D5B" w:rsidRPr="00150A30">
        <w:t>ve vazbě na </w:t>
      </w:r>
      <w:r w:rsidR="00530D5B" w:rsidRPr="00150A30">
        <w:rPr>
          <w:bCs/>
        </w:rPr>
        <w:t>zákon č. 89/2012 Sb., občanský zákoník, ve znění pozdějších předpisů</w:t>
      </w:r>
      <w:r w:rsidR="00530D5B">
        <w:rPr>
          <w:bCs/>
        </w:rPr>
        <w:t>,</w:t>
      </w:r>
      <w:r w:rsidR="00530D5B" w:rsidRPr="00150A30">
        <w:t xml:space="preserve"> </w:t>
      </w:r>
      <w:r w:rsidR="001D15FA" w:rsidRPr="00AC7179">
        <w:t>upřesněno</w:t>
      </w:r>
      <w:r w:rsidR="004E362A" w:rsidRPr="00AC7179">
        <w:t xml:space="preserve"> </w:t>
      </w:r>
      <w:r w:rsidR="00F129A6" w:rsidRPr="00AC7179">
        <w:rPr>
          <w:noProof/>
        </w:rPr>
        <w:t>práv</w:t>
      </w:r>
      <w:r w:rsidR="001D15FA" w:rsidRPr="00AC7179">
        <w:rPr>
          <w:noProof/>
        </w:rPr>
        <w:t>o</w:t>
      </w:r>
      <w:r w:rsidR="00F129A6" w:rsidRPr="00AC7179">
        <w:rPr>
          <w:noProof/>
        </w:rPr>
        <w:t xml:space="preserve"> stavby</w:t>
      </w:r>
      <w:r w:rsidR="000D4747" w:rsidRPr="00AC7179">
        <w:rPr>
          <w:noProof/>
        </w:rPr>
        <w:t xml:space="preserve"> </w:t>
      </w:r>
      <w:r w:rsidR="00530D5B">
        <w:rPr>
          <w:noProof/>
        </w:rPr>
        <w:t>i</w:t>
      </w:r>
      <w:r w:rsidR="000D4747" w:rsidRPr="00AC7179">
        <w:rPr>
          <w:noProof/>
        </w:rPr>
        <w:t xml:space="preserve"> </w:t>
      </w:r>
      <w:r w:rsidRPr="006F40C5">
        <w:rPr>
          <w:noProof/>
        </w:rPr>
        <w:t>oce</w:t>
      </w:r>
      <w:r w:rsidR="00EF5A17" w:rsidRPr="006F40C5">
        <w:rPr>
          <w:noProof/>
        </w:rPr>
        <w:t>ň</w:t>
      </w:r>
      <w:r w:rsidR="00530D5B" w:rsidRPr="006F40C5">
        <w:rPr>
          <w:noProof/>
        </w:rPr>
        <w:t>ování</w:t>
      </w:r>
      <w:r w:rsidRPr="006F40C5">
        <w:rPr>
          <w:noProof/>
        </w:rPr>
        <w:t xml:space="preserve"> </w:t>
      </w:r>
      <w:r w:rsidR="000D4747" w:rsidRPr="006F40C5">
        <w:rPr>
          <w:noProof/>
        </w:rPr>
        <w:t>věcných břemen</w:t>
      </w:r>
      <w:r w:rsidR="00530D5B" w:rsidRPr="006F40C5">
        <w:rPr>
          <w:noProof/>
        </w:rPr>
        <w:t xml:space="preserve">, a </w:t>
      </w:r>
      <w:r w:rsidR="00530D5B" w:rsidRPr="006F40C5">
        <w:t xml:space="preserve">nově upraveno oceňování věcných břemen nebo jiných věcných práv zřízených ze zákona jako závady na nemovité věci. </w:t>
      </w:r>
      <w:r w:rsidR="00DE62E0" w:rsidRPr="006F40C5">
        <w:t xml:space="preserve">Způsob </w:t>
      </w:r>
      <w:r w:rsidR="00494605" w:rsidRPr="006F40C5">
        <w:t>o</w:t>
      </w:r>
      <w:r w:rsidR="00DE62E0" w:rsidRPr="006F40C5">
        <w:t xml:space="preserve">ceňování </w:t>
      </w:r>
      <w:r w:rsidR="007C1C38" w:rsidRPr="006F40C5">
        <w:t xml:space="preserve">těchto práv </w:t>
      </w:r>
      <w:r w:rsidR="00DE62E0" w:rsidRPr="006F40C5">
        <w:t xml:space="preserve">by měl být podrobněji řešen </w:t>
      </w:r>
      <w:r w:rsidR="006D3BBE" w:rsidRPr="006F40C5">
        <w:t xml:space="preserve">v prováděcí vyhlášce zákona o oceňování </w:t>
      </w:r>
      <w:r w:rsidR="00E36BBA" w:rsidRPr="006F40C5">
        <w:t>majetku, t</w:t>
      </w:r>
      <w:r w:rsidR="006D3BBE" w:rsidRPr="006F40C5">
        <w:t xml:space="preserve">am by měl být </w:t>
      </w:r>
      <w:r w:rsidR="006D3BBE" w:rsidRPr="006F40C5">
        <w:rPr>
          <w:noProof/>
        </w:rPr>
        <w:t>přesunut i </w:t>
      </w:r>
      <w:r w:rsidR="006D3BBE" w:rsidRPr="00F21093">
        <w:rPr>
          <w:noProof/>
        </w:rPr>
        <w:t>prot</w:t>
      </w:r>
      <w:r w:rsidR="009F50BF" w:rsidRPr="00F21093">
        <w:rPr>
          <w:noProof/>
        </w:rPr>
        <w:t>o</w:t>
      </w:r>
      <w:r w:rsidRPr="00F21093">
        <w:rPr>
          <w:noProof/>
        </w:rPr>
        <w:t xml:space="preserve">, </w:t>
      </w:r>
      <w:r w:rsidR="00F21093" w:rsidRPr="00F21093">
        <w:rPr>
          <w:noProof/>
        </w:rPr>
        <w:t>aby bylo možno na změny s ním související reagova</w:t>
      </w:r>
      <w:r w:rsidR="001C4427">
        <w:rPr>
          <w:noProof/>
        </w:rPr>
        <w:t>t</w:t>
      </w:r>
      <w:r w:rsidR="00F21093" w:rsidRPr="00F21093">
        <w:rPr>
          <w:noProof/>
        </w:rPr>
        <w:t xml:space="preserve"> pružně a operativně. </w:t>
      </w:r>
      <w:r w:rsidR="0009744A" w:rsidRPr="00AC7179">
        <w:rPr>
          <w:noProof/>
        </w:rPr>
        <w:t xml:space="preserve"> </w:t>
      </w:r>
    </w:p>
    <w:p w:rsidR="00EC6200" w:rsidRPr="003B7B62" w:rsidRDefault="0009744A" w:rsidP="003B1F98">
      <w:r w:rsidRPr="003B7B62">
        <w:rPr>
          <w:noProof/>
        </w:rPr>
        <w:t xml:space="preserve">Dále </w:t>
      </w:r>
      <w:r w:rsidR="00BD306E" w:rsidRPr="003B7B62">
        <w:t>by měl být doplněn</w:t>
      </w:r>
      <w:r w:rsidRPr="003B7B62">
        <w:t xml:space="preserve"> </w:t>
      </w:r>
      <w:r w:rsidR="00F129A6" w:rsidRPr="003B7B62">
        <w:t>pojem</w:t>
      </w:r>
      <w:r w:rsidRPr="003B7B62">
        <w:t xml:space="preserve"> rychle rostoucí</w:t>
      </w:r>
      <w:r w:rsidR="001D15FA" w:rsidRPr="003B7B62">
        <w:t xml:space="preserve"> dřeviny</w:t>
      </w:r>
      <w:r w:rsidRPr="003B7B62">
        <w:t xml:space="preserve"> a </w:t>
      </w:r>
      <w:r w:rsidR="00F129A6" w:rsidRPr="003B7B62">
        <w:t>způsob jejich oceňování</w:t>
      </w:r>
      <w:r w:rsidR="000D4747" w:rsidRPr="003B7B62">
        <w:t xml:space="preserve">, </w:t>
      </w:r>
      <w:r w:rsidR="001D15FA" w:rsidRPr="003B7B62">
        <w:t>dle</w:t>
      </w:r>
      <w:r w:rsidR="00AD450C" w:rsidRPr="003B7B62">
        <w:t> </w:t>
      </w:r>
      <w:r w:rsidR="00F1672D">
        <w:t>návrhu</w:t>
      </w:r>
      <w:r w:rsidR="000D4747" w:rsidRPr="003B7B62">
        <w:t xml:space="preserve"> Ministerstva zemědělství.</w:t>
      </w:r>
    </w:p>
    <w:p w:rsidR="00A749AA" w:rsidRPr="00FE477E" w:rsidRDefault="00950446" w:rsidP="003E028B">
      <w:r>
        <w:t>V</w:t>
      </w:r>
      <w:r w:rsidR="00A749AA" w:rsidRPr="00FE477E">
        <w:t xml:space="preserve"> kompetenci </w:t>
      </w:r>
      <w:r w:rsidR="00C8745C">
        <w:t xml:space="preserve">gestorů </w:t>
      </w:r>
      <w:r w:rsidR="00A749AA" w:rsidRPr="00FE477E">
        <w:t>jiných</w:t>
      </w:r>
      <w:r w:rsidR="00C8745C">
        <w:t xml:space="preserve"> právních předpisů, které </w:t>
      </w:r>
      <w:r w:rsidR="00A749AA" w:rsidRPr="00FE477E">
        <w:t>zákon</w:t>
      </w:r>
      <w:r w:rsidR="00C8745C">
        <w:t xml:space="preserve"> o oceňování majetku</w:t>
      </w:r>
      <w:r w:rsidR="00A749AA" w:rsidRPr="00FE477E">
        <w:t xml:space="preserve"> využívají a odkazují na něj, </w:t>
      </w:r>
      <w:r w:rsidR="00554D48">
        <w:t>potom</w:t>
      </w:r>
      <w:r w:rsidR="00183065">
        <w:t xml:space="preserve"> zůstává</w:t>
      </w:r>
      <w:r w:rsidR="00321721">
        <w:t xml:space="preserve"> a rozšiřuje pro ně</w:t>
      </w:r>
      <w:r w:rsidR="00B90E46">
        <w:t xml:space="preserve"> možnost</w:t>
      </w:r>
      <w:r>
        <w:t xml:space="preserve">, </w:t>
      </w:r>
      <w:r w:rsidR="00A749AA" w:rsidRPr="00FE477E">
        <w:t>aby si</w:t>
      </w:r>
      <w:r w:rsidR="00C8745C">
        <w:t> </w:t>
      </w:r>
      <w:r w:rsidR="00CE4396" w:rsidRPr="003B7B62">
        <w:t xml:space="preserve">z cen (hodnot) nabízených </w:t>
      </w:r>
      <w:r w:rsidR="00C8745C">
        <w:t>v</w:t>
      </w:r>
      <w:r w:rsidR="00122E63">
        <w:t> </w:t>
      </w:r>
      <w:r w:rsidR="00183065">
        <w:t>zákoně</w:t>
      </w:r>
      <w:r w:rsidR="00183065" w:rsidRPr="00C8745C">
        <w:t xml:space="preserve"> </w:t>
      </w:r>
      <w:r w:rsidR="00183065">
        <w:t>o oceňování majetku</w:t>
      </w:r>
      <w:r w:rsidR="00B90E46">
        <w:t>,</w:t>
      </w:r>
      <w:r w:rsidR="00183065">
        <w:t xml:space="preserve"> i po </w:t>
      </w:r>
      <w:r w:rsidR="005C2DE4">
        <w:t xml:space="preserve">jeho </w:t>
      </w:r>
      <w:r w:rsidR="00183065">
        <w:t>úpravě</w:t>
      </w:r>
      <w:r w:rsidR="00122E63">
        <w:t xml:space="preserve"> </w:t>
      </w:r>
      <w:r w:rsidR="00183065" w:rsidRPr="00183065">
        <w:t>novel</w:t>
      </w:r>
      <w:r w:rsidR="00183065">
        <w:t>ou</w:t>
      </w:r>
      <w:r w:rsidR="00785928">
        <w:t>,</w:t>
      </w:r>
      <w:r w:rsidR="004B10B2">
        <w:t xml:space="preserve"> vybrali</w:t>
      </w:r>
      <w:r w:rsidR="00CE4396">
        <w:t xml:space="preserve"> takovou, která</w:t>
      </w:r>
      <w:r w:rsidR="00A749AA" w:rsidRPr="00FE477E">
        <w:t xml:space="preserve"> jejich potř</w:t>
      </w:r>
      <w:r w:rsidR="00CE4396">
        <w:t>ebám nejlépe vyhovuje</w:t>
      </w:r>
      <w:r w:rsidR="00A749AA" w:rsidRPr="00FE477E">
        <w:t>.</w:t>
      </w:r>
    </w:p>
    <w:p w:rsidR="006D19F4" w:rsidRDefault="006D19F4" w:rsidP="006D19F4">
      <w:pPr>
        <w:rPr>
          <w:highlight w:val="yellow"/>
        </w:rPr>
      </w:pPr>
    </w:p>
    <w:p w:rsidR="00A749AA" w:rsidRPr="00FC09DC" w:rsidRDefault="006F69D0" w:rsidP="006F69D0">
      <w:pPr>
        <w:pStyle w:val="Nadpis2"/>
        <w:numPr>
          <w:ilvl w:val="1"/>
          <w:numId w:val="7"/>
        </w:numPr>
        <w:rPr>
          <w:sz w:val="24"/>
          <w:szCs w:val="24"/>
        </w:rPr>
      </w:pPr>
      <w:r w:rsidRPr="00FC09DC">
        <w:rPr>
          <w:sz w:val="24"/>
          <w:szCs w:val="24"/>
        </w:rPr>
        <w:t>Zhodnocení rizika</w:t>
      </w:r>
    </w:p>
    <w:p w:rsidR="009C159D" w:rsidRDefault="00761DC9" w:rsidP="006F69D0">
      <w:pPr>
        <w:ind w:firstLine="0"/>
      </w:pPr>
      <w:r>
        <w:tab/>
      </w:r>
      <w:r w:rsidR="00404CD1">
        <w:t>V případě nepřijetí návrhu</w:t>
      </w:r>
      <w:r w:rsidR="009C159D">
        <w:t xml:space="preserve"> </w:t>
      </w:r>
      <w:r w:rsidR="003B2934" w:rsidRPr="00486D90">
        <w:t>novely</w:t>
      </w:r>
      <w:r w:rsidR="003B2934">
        <w:t xml:space="preserve"> </w:t>
      </w:r>
      <w:r w:rsidR="009C159D">
        <w:t>zákona</w:t>
      </w:r>
      <w:r w:rsidR="009C159D" w:rsidRPr="00C8745C">
        <w:t xml:space="preserve"> </w:t>
      </w:r>
      <w:r w:rsidR="009C159D">
        <w:t>o oceňování majetku jsou očekávána tato rizika:</w:t>
      </w:r>
    </w:p>
    <w:p w:rsidR="009C159D" w:rsidRDefault="00761DC9" w:rsidP="006F69D0">
      <w:pPr>
        <w:ind w:firstLine="0"/>
      </w:pPr>
      <w:r>
        <w:tab/>
      </w:r>
      <w:r w:rsidR="00226D18">
        <w:t xml:space="preserve">Za předpokladu, že </w:t>
      </w:r>
      <w:r w:rsidR="00404CD1">
        <w:t>návrh</w:t>
      </w:r>
      <w:r w:rsidR="009C159D">
        <w:t xml:space="preserve"> </w:t>
      </w:r>
      <w:r w:rsidR="003B2934" w:rsidRPr="00486D90">
        <w:t xml:space="preserve">novely </w:t>
      </w:r>
      <w:r w:rsidR="009C159D" w:rsidRPr="00486D90">
        <w:t>z</w:t>
      </w:r>
      <w:r w:rsidR="009C159D">
        <w:t>ákona</w:t>
      </w:r>
      <w:r w:rsidR="009C159D" w:rsidRPr="00C8745C">
        <w:t xml:space="preserve"> </w:t>
      </w:r>
      <w:r w:rsidR="009C159D">
        <w:t xml:space="preserve">o oceňování </w:t>
      </w:r>
      <w:r w:rsidR="00F35D84">
        <w:t>majetku</w:t>
      </w:r>
      <w:r w:rsidR="00404CD1" w:rsidRPr="00404CD1">
        <w:t xml:space="preserve"> </w:t>
      </w:r>
      <w:r w:rsidR="001F5131">
        <w:t xml:space="preserve">by </w:t>
      </w:r>
      <w:r w:rsidR="00226D18">
        <w:t>neb</w:t>
      </w:r>
      <w:r w:rsidR="001F5131">
        <w:t>yl</w:t>
      </w:r>
      <w:r w:rsidR="00404CD1">
        <w:t xml:space="preserve"> přijat</w:t>
      </w:r>
      <w:r w:rsidR="00F35D84">
        <w:t xml:space="preserve">, </w:t>
      </w:r>
      <w:r w:rsidR="00377384">
        <w:t>budou i </w:t>
      </w:r>
      <w:r w:rsidR="009C159D">
        <w:t xml:space="preserve">nadále </w:t>
      </w:r>
      <w:r w:rsidR="009C159D" w:rsidRPr="00E55233">
        <w:t xml:space="preserve">přetrvávat </w:t>
      </w:r>
      <w:r w:rsidR="007A359B" w:rsidRPr="00E55233">
        <w:t>zjištěné</w:t>
      </w:r>
      <w:r w:rsidR="009C159D" w:rsidRPr="00E55233">
        <w:t xml:space="preserve"> nedostatky </w:t>
      </w:r>
      <w:r w:rsidR="00D15F52">
        <w:t>spojené s oceňováním</w:t>
      </w:r>
      <w:r w:rsidR="009C159D">
        <w:t xml:space="preserve"> majetku</w:t>
      </w:r>
      <w:r w:rsidR="00C23FB7">
        <w:t xml:space="preserve"> (zejména nemovitého)</w:t>
      </w:r>
      <w:r w:rsidR="000B52CE">
        <w:t>, které v současnosti způsobují</w:t>
      </w:r>
      <w:r w:rsidR="00F35D84">
        <w:t xml:space="preserve"> problémy</w:t>
      </w:r>
      <w:r w:rsidR="00E55E67">
        <w:t xml:space="preserve"> (uvedené v bodě 1.2), </w:t>
      </w:r>
      <w:r w:rsidR="00404CD1">
        <w:t>a </w:t>
      </w:r>
      <w:r w:rsidR="00F35D84">
        <w:t>na které již nyní poukazuje odborná veřejnost</w:t>
      </w:r>
      <w:r w:rsidR="00EF3A55">
        <w:t xml:space="preserve">, </w:t>
      </w:r>
      <w:r w:rsidR="00EF3A55" w:rsidRPr="00E55233">
        <w:t>či dotčené státní orgány</w:t>
      </w:r>
      <w:r w:rsidR="00F35D84" w:rsidRPr="00E55233">
        <w:t xml:space="preserve">. </w:t>
      </w:r>
      <w:r w:rsidR="00F35D84">
        <w:t xml:space="preserve">Účinná právní úprava </w:t>
      </w:r>
      <w:r w:rsidR="008206E7">
        <w:t>s</w:t>
      </w:r>
      <w:r w:rsidR="008206E7" w:rsidRPr="00FE477E">
        <w:t>távající</w:t>
      </w:r>
      <w:r w:rsidR="008206E7">
        <w:t>ho</w:t>
      </w:r>
      <w:r w:rsidR="008206E7" w:rsidRPr="00FE477E">
        <w:t xml:space="preserve"> zákon</w:t>
      </w:r>
      <w:r w:rsidR="008206E7">
        <w:t>a</w:t>
      </w:r>
      <w:r w:rsidR="008206E7" w:rsidRPr="00FE477E">
        <w:t xml:space="preserve"> o oceňování majetku </w:t>
      </w:r>
      <w:r w:rsidR="00F35D84">
        <w:t>je v některý</w:t>
      </w:r>
      <w:r w:rsidR="006625C3">
        <w:t xml:space="preserve">ch oblastech </w:t>
      </w:r>
      <w:r w:rsidR="008206E7">
        <w:t>překonaná a </w:t>
      </w:r>
      <w:r w:rsidR="00F35D84">
        <w:t xml:space="preserve">neodpovídá </w:t>
      </w:r>
      <w:r w:rsidR="000B22D9">
        <w:t xml:space="preserve">zcela </w:t>
      </w:r>
      <w:r w:rsidR="00F35D84">
        <w:t>požadavkům současné praxe. Pokud by</w:t>
      </w:r>
      <w:r w:rsidR="00124365">
        <w:t>, v dané situaci,</w:t>
      </w:r>
      <w:r w:rsidR="001F5131">
        <w:t xml:space="preserve"> návrh</w:t>
      </w:r>
      <w:r w:rsidR="00F35D84">
        <w:t xml:space="preserve"> </w:t>
      </w:r>
      <w:r w:rsidR="003B2934" w:rsidRPr="00486D90">
        <w:t xml:space="preserve">novely </w:t>
      </w:r>
      <w:r w:rsidR="00F35D84" w:rsidRPr="00486D90">
        <w:t>z</w:t>
      </w:r>
      <w:r w:rsidR="00F35D84">
        <w:t>ákona</w:t>
      </w:r>
      <w:r w:rsidR="00F35D84" w:rsidRPr="00C8745C">
        <w:t xml:space="preserve"> </w:t>
      </w:r>
      <w:r w:rsidR="001F5131">
        <w:t>o </w:t>
      </w:r>
      <w:r w:rsidR="00F35D84">
        <w:t>oceňování</w:t>
      </w:r>
      <w:r w:rsidR="00F35D84" w:rsidRPr="00F35D84">
        <w:t xml:space="preserve"> </w:t>
      </w:r>
      <w:r w:rsidR="001F5131">
        <w:t>majetku nebyl přijat</w:t>
      </w:r>
      <w:r w:rsidR="00124365">
        <w:t>,</w:t>
      </w:r>
      <w:r w:rsidR="001F5131">
        <w:t xml:space="preserve"> a nenabyl</w:t>
      </w:r>
      <w:r w:rsidR="00F35D84">
        <w:t xml:space="preserve"> účinnosti, nebyly by </w:t>
      </w:r>
      <w:r w:rsidR="008206E7">
        <w:t xml:space="preserve">kritizované </w:t>
      </w:r>
      <w:r w:rsidR="008206E7" w:rsidRPr="00E55233">
        <w:t>nedostatky</w:t>
      </w:r>
      <w:r w:rsidR="0074282B" w:rsidRPr="00E55233">
        <w:t xml:space="preserve"> či nejasnosti</w:t>
      </w:r>
      <w:r w:rsidR="008206E7" w:rsidRPr="00E55233">
        <w:t xml:space="preserve"> </w:t>
      </w:r>
      <w:r w:rsidR="00207A30">
        <w:t xml:space="preserve">odstraněny </w:t>
      </w:r>
      <w:r w:rsidR="008206E7">
        <w:t>a </w:t>
      </w:r>
      <w:r w:rsidR="00F35D84">
        <w:t xml:space="preserve">nedošlo by </w:t>
      </w:r>
      <w:r w:rsidR="001F5131" w:rsidRPr="001F5131">
        <w:t>v oblasti cen</w:t>
      </w:r>
      <w:r w:rsidR="001F5131">
        <w:t xml:space="preserve"> </w:t>
      </w:r>
      <w:r w:rsidR="00F35D84">
        <w:t xml:space="preserve">ke zlepšení a zkvalitnění </w:t>
      </w:r>
      <w:r w:rsidR="004B626E">
        <w:t xml:space="preserve">cenových </w:t>
      </w:r>
      <w:r w:rsidR="00F35D84">
        <w:t>výstupů</w:t>
      </w:r>
      <w:r w:rsidR="004B626E">
        <w:t>.</w:t>
      </w:r>
    </w:p>
    <w:p w:rsidR="006F69D0" w:rsidRPr="00FE477E" w:rsidRDefault="00BB171D" w:rsidP="006F69D0">
      <w:pPr>
        <w:ind w:firstLine="0"/>
      </w:pPr>
      <w:r>
        <w:t>Neřešení rizik</w:t>
      </w:r>
      <w:r w:rsidR="006F69D0" w:rsidRPr="00FE477E">
        <w:t xml:space="preserve"> </w:t>
      </w:r>
      <w:r w:rsidR="006F69D0" w:rsidRPr="0045602F">
        <w:t>můž</w:t>
      </w:r>
      <w:r w:rsidR="002F2ED4" w:rsidRPr="0045602F">
        <w:t>e do budoucnosti přinést komplikace</w:t>
      </w:r>
      <w:r w:rsidR="006F69D0" w:rsidRPr="0045602F">
        <w:t xml:space="preserve"> ve smyslu neadekvátních ocenění</w:t>
      </w:r>
      <w:r w:rsidR="006C431D">
        <w:t xml:space="preserve"> </w:t>
      </w:r>
      <w:r w:rsidR="006C431D" w:rsidRPr="00E55233">
        <w:t>(např. v</w:t>
      </w:r>
      <w:r w:rsidR="00AC70C3">
        <w:t> </w:t>
      </w:r>
      <w:r w:rsidR="006C431D" w:rsidRPr="00E55233">
        <w:t>případech</w:t>
      </w:r>
      <w:r w:rsidR="00AC70C3">
        <w:t>,</w:t>
      </w:r>
      <w:r w:rsidR="006C431D" w:rsidRPr="00E55233">
        <w:t xml:space="preserve"> kdy nelze určit obvyklou cenu, ocenit rychle rostoucí dřeviny, </w:t>
      </w:r>
      <w:r w:rsidR="00A50B59">
        <w:t xml:space="preserve">újmu </w:t>
      </w:r>
      <w:r w:rsidR="006C431D" w:rsidRPr="00E55233">
        <w:t>apod.)</w:t>
      </w:r>
      <w:r w:rsidR="006F69D0" w:rsidRPr="00E55233">
        <w:t xml:space="preserve">, </w:t>
      </w:r>
      <w:r w:rsidR="006F69D0" w:rsidRPr="00FE477E">
        <w:t>která se mohou následně promítnout do dalších sfér</w:t>
      </w:r>
      <w:r>
        <w:t xml:space="preserve"> </w:t>
      </w:r>
      <w:r w:rsidR="009B79B6" w:rsidRPr="009B79B6">
        <w:t>souvisejících</w:t>
      </w:r>
      <w:r w:rsidRPr="009B79B6">
        <w:t xml:space="preserve"> s oceňováním</w:t>
      </w:r>
      <w:r w:rsidR="006F69D0" w:rsidRPr="009B79B6">
        <w:t xml:space="preserve">, </w:t>
      </w:r>
      <w:r w:rsidR="00E91268">
        <w:br/>
      </w:r>
      <w:r w:rsidR="00206077" w:rsidRPr="009B79B6">
        <w:t>to</w:t>
      </w:r>
      <w:r w:rsidR="00206077">
        <w:t xml:space="preserve"> znamená, že </w:t>
      </w:r>
      <w:r w:rsidR="00206077" w:rsidRPr="00FE477E">
        <w:t xml:space="preserve">s tím mohou </w:t>
      </w:r>
      <w:r w:rsidR="006F69D0" w:rsidRPr="00FE477E">
        <w:t xml:space="preserve">být </w:t>
      </w:r>
      <w:r w:rsidR="00C456D3" w:rsidRPr="00FE477E">
        <w:t>spojeny</w:t>
      </w:r>
      <w:r w:rsidR="00C456D3">
        <w:t xml:space="preserve"> </w:t>
      </w:r>
      <w:r w:rsidR="009B79B6">
        <w:t>například </w:t>
      </w:r>
      <w:r w:rsidR="00C456D3">
        <w:t xml:space="preserve"> </w:t>
      </w:r>
      <w:r w:rsidR="009B79B6">
        <w:t>nesnáze</w:t>
      </w:r>
      <w:r w:rsidR="00C456D3">
        <w:t xml:space="preserve"> při převodu majetku, popřípadě </w:t>
      </w:r>
      <w:r w:rsidR="006F69D0" w:rsidRPr="00FE477E">
        <w:t>určování</w:t>
      </w:r>
      <w:r w:rsidR="00C456D3">
        <w:t xml:space="preserve"> daňového základu. Potíže se mohou</w:t>
      </w:r>
      <w:r w:rsidR="006F69D0" w:rsidRPr="00FE477E">
        <w:t xml:space="preserve"> ob</w:t>
      </w:r>
      <w:r w:rsidR="00206077">
        <w:t>jevit</w:t>
      </w:r>
      <w:r w:rsidR="00C456D3">
        <w:t xml:space="preserve"> ale</w:t>
      </w:r>
      <w:r w:rsidR="00206077">
        <w:t xml:space="preserve"> i v jiných oblastech</w:t>
      </w:r>
      <w:r w:rsidR="00C5204D">
        <w:t>,</w:t>
      </w:r>
      <w:r w:rsidR="006F69D0" w:rsidRPr="00FE477E">
        <w:t xml:space="preserve"> </w:t>
      </w:r>
      <w:r w:rsidR="00C5204D">
        <w:t>jednak u </w:t>
      </w:r>
      <w:r w:rsidR="006F69D0" w:rsidRPr="00FE477E">
        <w:t xml:space="preserve">soukromé sféry, </w:t>
      </w:r>
      <w:r w:rsidR="00C5204D">
        <w:t xml:space="preserve">jednak </w:t>
      </w:r>
      <w:r w:rsidR="00074FC9">
        <w:t>v</w:t>
      </w:r>
      <w:r w:rsidR="006F69D0" w:rsidRPr="00FE477E">
        <w:t xml:space="preserve"> dopad</w:t>
      </w:r>
      <w:r w:rsidR="00074FC9">
        <w:t xml:space="preserve">ech </w:t>
      </w:r>
      <w:r w:rsidR="00C5204D">
        <w:t xml:space="preserve">na státní ekonomiku, a to </w:t>
      </w:r>
      <w:r w:rsidR="00074FC9">
        <w:t xml:space="preserve">například z titulu </w:t>
      </w:r>
      <w:r w:rsidR="006F69D0" w:rsidRPr="00E55233">
        <w:t>špatné</w:t>
      </w:r>
      <w:r w:rsidR="00C5204D" w:rsidRPr="00E55233">
        <w:t>ho</w:t>
      </w:r>
      <w:r w:rsidR="000307CC" w:rsidRPr="00E55233">
        <w:t xml:space="preserve"> </w:t>
      </w:r>
      <w:r w:rsidR="00E91268">
        <w:br/>
      </w:r>
      <w:r w:rsidR="000307CC" w:rsidRPr="00E55233">
        <w:t>či chybného</w:t>
      </w:r>
      <w:r w:rsidR="0057601B" w:rsidRPr="00E55233">
        <w:t xml:space="preserve"> </w:t>
      </w:r>
      <w:r w:rsidR="0057601B">
        <w:t xml:space="preserve">ocenění. </w:t>
      </w:r>
    </w:p>
    <w:p w:rsidR="00761DC9" w:rsidRDefault="00756461" w:rsidP="006F69D0">
      <w:pPr>
        <w:ind w:firstLine="0"/>
      </w:pPr>
      <w:r>
        <w:lastRenderedPageBreak/>
        <w:t>V současném stavu má z</w:t>
      </w:r>
      <w:r w:rsidR="006F69D0" w:rsidRPr="00FE477E">
        <w:t>ákon</w:t>
      </w:r>
      <w:r w:rsidR="00761DC9" w:rsidRPr="00761DC9">
        <w:t xml:space="preserve"> </w:t>
      </w:r>
      <w:r w:rsidR="00761DC9">
        <w:t>o oceňování</w:t>
      </w:r>
      <w:r w:rsidR="00761DC9" w:rsidRPr="00F35D84">
        <w:t xml:space="preserve"> </w:t>
      </w:r>
      <w:r w:rsidR="00761DC9">
        <w:t>majetku</w:t>
      </w:r>
      <w:r>
        <w:t>,</w:t>
      </w:r>
      <w:r w:rsidR="00761DC9">
        <w:t xml:space="preserve"> </w:t>
      </w:r>
      <w:r w:rsidR="00EA23E7">
        <w:t>z výše popsaných důvodů</w:t>
      </w:r>
      <w:r>
        <w:t>,</w:t>
      </w:r>
      <w:r w:rsidR="00EA23E7">
        <w:t xml:space="preserve"> </w:t>
      </w:r>
      <w:r w:rsidR="00421697" w:rsidRPr="0083052A">
        <w:t xml:space="preserve">omezený rozsah </w:t>
      </w:r>
      <w:r w:rsidR="004B76F9" w:rsidRPr="0083052A">
        <w:t xml:space="preserve">využitelnosti a </w:t>
      </w:r>
      <w:r w:rsidR="00421697" w:rsidRPr="0083052A">
        <w:t>působnosti, který</w:t>
      </w:r>
      <w:r w:rsidR="00761DC9" w:rsidRPr="0083052A">
        <w:t> bez navrhovaného zásahu</w:t>
      </w:r>
      <w:r w:rsidR="00DC1966" w:rsidRPr="0083052A">
        <w:t xml:space="preserve">, tj. změn v dotčených </w:t>
      </w:r>
      <w:r w:rsidR="00DC1966">
        <w:t>ustanoveních,</w:t>
      </w:r>
      <w:r w:rsidR="00761DC9">
        <w:t xml:space="preserve"> </w:t>
      </w:r>
      <w:r w:rsidR="009D2AFC" w:rsidRPr="00FE477E">
        <w:t xml:space="preserve">nelze </w:t>
      </w:r>
      <w:r w:rsidR="00FF4200">
        <w:t>napravit</w:t>
      </w:r>
      <w:r w:rsidR="006F69D0" w:rsidRPr="00FE477E">
        <w:t xml:space="preserve">. </w:t>
      </w:r>
    </w:p>
    <w:p w:rsidR="000B6D49" w:rsidRDefault="000B6D49" w:rsidP="000B6D49">
      <w:pPr>
        <w:ind w:firstLine="0"/>
      </w:pPr>
      <w:r>
        <w:t>P</w:t>
      </w:r>
      <w:r w:rsidRPr="00FE477E">
        <w:t>ři ocenění</w:t>
      </w:r>
      <w:r>
        <w:t>, p</w:t>
      </w:r>
      <w:r w:rsidRPr="00FE477E">
        <w:t>ro účely převodů majetku</w:t>
      </w:r>
      <w:r>
        <w:t>,</w:t>
      </w:r>
      <w:r w:rsidRPr="00FE477E">
        <w:t xml:space="preserve"> </w:t>
      </w:r>
      <w:r w:rsidR="009D2AFC" w:rsidRPr="00FE477E">
        <w:t xml:space="preserve">tedy </w:t>
      </w:r>
      <w:r w:rsidR="009D2AFC" w:rsidRPr="0083052A">
        <w:t xml:space="preserve">není </w:t>
      </w:r>
      <w:r w:rsidR="0066316F" w:rsidRPr="0083052A">
        <w:t xml:space="preserve">vždy </w:t>
      </w:r>
      <w:r w:rsidR="009D2AFC">
        <w:t xml:space="preserve">možné </w:t>
      </w:r>
      <w:r w:rsidR="0083052A">
        <w:t>uplatnit</w:t>
      </w:r>
      <w:r w:rsidR="003061BC">
        <w:t xml:space="preserve"> </w:t>
      </w:r>
      <w:r w:rsidR="009D2AFC" w:rsidRPr="003061BC">
        <w:t>ta</w:t>
      </w:r>
      <w:r w:rsidR="009D2AFC">
        <w:t xml:space="preserve"> </w:t>
      </w:r>
      <w:r w:rsidRPr="00FE477E">
        <w:t xml:space="preserve">rizika trhu, která </w:t>
      </w:r>
      <w:r w:rsidR="009D2AFC">
        <w:t xml:space="preserve">sice </w:t>
      </w:r>
      <w:r w:rsidRPr="00FE477E">
        <w:t>mohou nastat</w:t>
      </w:r>
      <w:r w:rsidR="009D2AFC">
        <w:t>,</w:t>
      </w:r>
      <w:r w:rsidRPr="00FE477E">
        <w:t xml:space="preserve"> a</w:t>
      </w:r>
      <w:r w:rsidR="009D2AFC">
        <w:t>le</w:t>
      </w:r>
      <w:r w:rsidR="003061BC">
        <w:t> která lze zohlednit pouze při</w:t>
      </w:r>
      <w:r w:rsidRPr="00FE477E">
        <w:t xml:space="preserve"> jiném </w:t>
      </w:r>
      <w:r w:rsidR="00154390">
        <w:t>přístupu</w:t>
      </w:r>
      <w:r w:rsidR="003061BC">
        <w:t xml:space="preserve"> k</w:t>
      </w:r>
      <w:r>
        <w:t xml:space="preserve"> </w:t>
      </w:r>
      <w:r w:rsidRPr="00FE477E">
        <w:t xml:space="preserve">ocenění, než </w:t>
      </w:r>
      <w:r w:rsidR="003061BC" w:rsidRPr="0083052A">
        <w:t>takovém, jehož výsledkem je cena obvyklá či cena zjištěná</w:t>
      </w:r>
      <w:r w:rsidRPr="0083052A">
        <w:t xml:space="preserve">. Stávající zákon o oceňování </w:t>
      </w:r>
      <w:r w:rsidR="003061BC" w:rsidRPr="0083052A">
        <w:t xml:space="preserve">majetku </w:t>
      </w:r>
      <w:r w:rsidR="003061BC">
        <w:t xml:space="preserve">však </w:t>
      </w:r>
      <w:r w:rsidR="003061BC" w:rsidRPr="0083052A">
        <w:t>jiný přístup</w:t>
      </w:r>
      <w:r w:rsidRPr="0083052A">
        <w:t xml:space="preserve"> </w:t>
      </w:r>
      <w:r w:rsidRPr="00FE477E">
        <w:t xml:space="preserve">nepřipouští. </w:t>
      </w:r>
    </w:p>
    <w:p w:rsidR="00EC21AA" w:rsidRPr="0083052A" w:rsidRDefault="00EC21AA" w:rsidP="000B6D49">
      <w:pPr>
        <w:ind w:firstLine="0"/>
      </w:pPr>
      <w:r w:rsidRPr="0083052A">
        <w:t>Při odhadu tržní hodnoty lze například lépe uvážit rizika spojená s</w:t>
      </w:r>
      <w:r w:rsidR="009E199A" w:rsidRPr="0083052A">
        <w:t> </w:t>
      </w:r>
      <w:r w:rsidRPr="0083052A">
        <w:t>budoucím vývojem ekonomiky, vývojem poptávky a nabídky, vývojem nezaměstnanosti a</w:t>
      </w:r>
      <w:r w:rsidR="009E199A" w:rsidRPr="0083052A">
        <w:t> </w:t>
      </w:r>
      <w:r w:rsidRPr="0083052A">
        <w:t>pracovních příležitostí</w:t>
      </w:r>
      <w:r w:rsidR="009E199A" w:rsidRPr="0083052A">
        <w:t>,</w:t>
      </w:r>
      <w:r w:rsidR="009E199A" w:rsidRPr="0083052A">
        <w:rPr>
          <w:strike/>
        </w:rPr>
        <w:t xml:space="preserve"> </w:t>
      </w:r>
      <w:r w:rsidR="009E199A" w:rsidRPr="0083052A">
        <w:t>a tak podobně.</w:t>
      </w:r>
    </w:p>
    <w:p w:rsidR="00312DEB" w:rsidRDefault="00312DEB" w:rsidP="006F69D0">
      <w:pPr>
        <w:ind w:firstLine="0"/>
      </w:pPr>
      <w:r w:rsidRPr="00FE477E">
        <w:t>Tato rizika s vývojem trhu</w:t>
      </w:r>
      <w:r w:rsidRPr="00D4786B">
        <w:t xml:space="preserve"> </w:t>
      </w:r>
      <w:r w:rsidRPr="00FE477E">
        <w:t xml:space="preserve">souvisejí, nastavení </w:t>
      </w:r>
      <w:r>
        <w:t xml:space="preserve">stávajícího </w:t>
      </w:r>
      <w:r w:rsidRPr="00FE477E">
        <w:t>zákona</w:t>
      </w:r>
      <w:r w:rsidRPr="00BE6E8E">
        <w:t xml:space="preserve"> </w:t>
      </w:r>
      <w:r>
        <w:t>o oceňování</w:t>
      </w:r>
      <w:r w:rsidRPr="00F35D84">
        <w:t xml:space="preserve"> </w:t>
      </w:r>
      <w:r>
        <w:t xml:space="preserve">majetku </w:t>
      </w:r>
      <w:r w:rsidR="00510F9A" w:rsidRPr="0083052A">
        <w:t>neumožňuje pracovat s jejich vlivem</w:t>
      </w:r>
      <w:r w:rsidR="002D4D73" w:rsidRPr="0083052A">
        <w:t>,</w:t>
      </w:r>
      <w:r w:rsidR="0038051D" w:rsidRPr="0083052A">
        <w:t xml:space="preserve"> </w:t>
      </w:r>
      <w:r w:rsidRPr="002D4D73">
        <w:t>a</w:t>
      </w:r>
      <w:r w:rsidR="00881FA8" w:rsidRPr="002D4D73">
        <w:t>ni</w:t>
      </w:r>
      <w:r>
        <w:t xml:space="preserve"> kvantifikovat</w:t>
      </w:r>
      <w:r w:rsidR="00510F9A">
        <w:t xml:space="preserve"> jejich</w:t>
      </w:r>
      <w:r w:rsidR="00C520B3">
        <w:t xml:space="preserve"> rozsah</w:t>
      </w:r>
      <w:r>
        <w:t>.</w:t>
      </w:r>
    </w:p>
    <w:p w:rsidR="003B2934" w:rsidRDefault="003B2934" w:rsidP="006F69D0">
      <w:pPr>
        <w:ind w:firstLine="0"/>
      </w:pPr>
    </w:p>
    <w:p w:rsidR="000127B6" w:rsidRPr="002C66A1" w:rsidRDefault="000127B6" w:rsidP="006F69D0">
      <w:pPr>
        <w:pStyle w:val="Nadpis1"/>
        <w:numPr>
          <w:ilvl w:val="0"/>
          <w:numId w:val="7"/>
        </w:numPr>
        <w:rPr>
          <w:sz w:val="28"/>
        </w:rPr>
      </w:pPr>
      <w:bookmarkStart w:id="6" w:name="_Toc403043689"/>
      <w:bookmarkStart w:id="7" w:name="_Toc406589419"/>
      <w:r w:rsidRPr="002C66A1">
        <w:rPr>
          <w:sz w:val="28"/>
        </w:rPr>
        <w:t>Návrh variant řešení</w:t>
      </w:r>
      <w:bookmarkEnd w:id="6"/>
      <w:bookmarkEnd w:id="7"/>
      <w:r w:rsidRPr="002C66A1">
        <w:rPr>
          <w:sz w:val="28"/>
        </w:rPr>
        <w:t xml:space="preserve"> </w:t>
      </w:r>
    </w:p>
    <w:p w:rsidR="00B72AFD" w:rsidRPr="00FE477E" w:rsidRDefault="00FB3079" w:rsidP="00B72AFD">
      <w:r w:rsidRPr="00FB3079">
        <w:t>S ohledem na možná legislativní řešení jsou v souvislosti</w:t>
      </w:r>
      <w:r w:rsidR="00BC7116" w:rsidRPr="00BC7116">
        <w:t xml:space="preserve"> </w:t>
      </w:r>
      <w:r w:rsidR="00BC7116">
        <w:t xml:space="preserve">s </w:t>
      </w:r>
      <w:r w:rsidR="00BC7116" w:rsidRPr="00FE477E">
        <w:t>vývoje</w:t>
      </w:r>
      <w:r w:rsidR="00BC7116">
        <w:t>m</w:t>
      </w:r>
      <w:r w:rsidR="00BC7116" w:rsidRPr="00FE477E">
        <w:t xml:space="preserve"> nároků a potřeb v oblasti oceňování</w:t>
      </w:r>
      <w:r w:rsidR="00BC7116">
        <w:t xml:space="preserve"> navrhovány a posuzovány pouze dvě varianty, a sice </w:t>
      </w:r>
      <w:r w:rsidR="00BC7116" w:rsidRPr="00165390">
        <w:rPr>
          <w:b/>
          <w:i/>
        </w:rPr>
        <w:t>varianta I</w:t>
      </w:r>
      <w:r w:rsidR="00BC7116">
        <w:t xml:space="preserve"> </w:t>
      </w:r>
      <w:r w:rsidR="00165390" w:rsidRPr="00165390">
        <w:rPr>
          <w:b/>
        </w:rPr>
        <w:t>-</w:t>
      </w:r>
      <w:r w:rsidR="00165390">
        <w:t xml:space="preserve"> </w:t>
      </w:r>
      <w:r w:rsidR="00BC7116">
        <w:t xml:space="preserve">ponechání </w:t>
      </w:r>
      <w:r w:rsidR="00BC7116" w:rsidRPr="00FE477E">
        <w:t>zákon</w:t>
      </w:r>
      <w:r w:rsidR="00BC7116">
        <w:t>a o oceňování majetku</w:t>
      </w:r>
      <w:r w:rsidR="00BC7116" w:rsidRPr="00FE477E">
        <w:t xml:space="preserve"> </w:t>
      </w:r>
      <w:r w:rsidR="00BC7116">
        <w:t xml:space="preserve">ve stávajícím stavu, a </w:t>
      </w:r>
      <w:r w:rsidR="00BC7116" w:rsidRPr="00165390">
        <w:rPr>
          <w:b/>
          <w:i/>
        </w:rPr>
        <w:t>varianta II</w:t>
      </w:r>
      <w:r w:rsidR="00BC7116" w:rsidRPr="00BC7116">
        <w:rPr>
          <w:rFonts w:eastAsia="MS Mincho"/>
          <w:bCs/>
        </w:rPr>
        <w:t xml:space="preserve"> </w:t>
      </w:r>
      <w:r w:rsidR="00165390" w:rsidRPr="00165390">
        <w:rPr>
          <w:rFonts w:eastAsia="MS Mincho"/>
          <w:b/>
          <w:bCs/>
        </w:rPr>
        <w:t>-</w:t>
      </w:r>
      <w:r w:rsidR="00165390">
        <w:rPr>
          <w:rFonts w:eastAsia="MS Mincho"/>
          <w:bCs/>
        </w:rPr>
        <w:t xml:space="preserve"> </w:t>
      </w:r>
      <w:r w:rsidR="00BC7116" w:rsidRPr="00731C3E">
        <w:rPr>
          <w:rFonts w:eastAsia="MS Mincho"/>
          <w:bCs/>
        </w:rPr>
        <w:t xml:space="preserve">změna zákona </w:t>
      </w:r>
      <w:r w:rsidR="00165390">
        <w:rPr>
          <w:rFonts w:eastAsia="MS Mincho"/>
          <w:bCs/>
        </w:rPr>
        <w:t>o o</w:t>
      </w:r>
      <w:r w:rsidR="00BC7116" w:rsidRPr="00731C3E">
        <w:rPr>
          <w:rFonts w:eastAsia="MS Mincho"/>
          <w:bCs/>
        </w:rPr>
        <w:t xml:space="preserve">ceňování majetku </w:t>
      </w:r>
      <w:r w:rsidR="00B26748">
        <w:rPr>
          <w:rFonts w:eastAsia="MS Mincho"/>
          <w:bCs/>
        </w:rPr>
        <w:t>formou novely, vycházející</w:t>
      </w:r>
      <w:r w:rsidR="00BC7116">
        <w:rPr>
          <w:rFonts w:eastAsia="MS Mincho"/>
          <w:bCs/>
        </w:rPr>
        <w:t xml:space="preserve"> </w:t>
      </w:r>
      <w:r w:rsidR="00BC7116" w:rsidRPr="00731C3E">
        <w:rPr>
          <w:rFonts w:eastAsia="MS Mincho"/>
          <w:bCs/>
        </w:rPr>
        <w:t xml:space="preserve">zejména </w:t>
      </w:r>
      <w:r w:rsidR="00B26748">
        <w:rPr>
          <w:rFonts w:eastAsia="MS Mincho"/>
          <w:bCs/>
        </w:rPr>
        <w:t>z reakce</w:t>
      </w:r>
      <w:r w:rsidR="00BC7116" w:rsidRPr="00731C3E">
        <w:rPr>
          <w:rFonts w:eastAsia="MS Mincho"/>
          <w:bCs/>
        </w:rPr>
        <w:t xml:space="preserve"> na již platné právní </w:t>
      </w:r>
      <w:r w:rsidR="00BC7116" w:rsidRPr="00DA36F1">
        <w:rPr>
          <w:rFonts w:eastAsia="MS Mincho"/>
          <w:bCs/>
        </w:rPr>
        <w:t>předpisy</w:t>
      </w:r>
      <w:r w:rsidR="008E0048" w:rsidRPr="00DA36F1">
        <w:rPr>
          <w:rFonts w:eastAsia="MS Mincho"/>
          <w:bCs/>
        </w:rPr>
        <w:t xml:space="preserve">, </w:t>
      </w:r>
      <w:r w:rsidR="00B57622" w:rsidRPr="00DA36F1">
        <w:rPr>
          <w:rFonts w:eastAsia="MS Mincho"/>
          <w:bCs/>
        </w:rPr>
        <w:t xml:space="preserve">vznesených doporučení, </w:t>
      </w:r>
      <w:r w:rsidR="00E56C28" w:rsidRPr="00DA36F1">
        <w:rPr>
          <w:rFonts w:eastAsia="MS Mincho"/>
          <w:bCs/>
        </w:rPr>
        <w:t>zohledňující</w:t>
      </w:r>
      <w:r w:rsidR="00F672AC" w:rsidRPr="00DA36F1">
        <w:rPr>
          <w:rFonts w:eastAsia="MS Mincho"/>
          <w:bCs/>
        </w:rPr>
        <w:t>ch zejména</w:t>
      </w:r>
      <w:r w:rsidR="005D72F6" w:rsidRPr="00F672AC">
        <w:rPr>
          <w:rFonts w:eastAsia="MS Mincho"/>
          <w:bCs/>
          <w:color w:val="FF0000"/>
        </w:rPr>
        <w:t xml:space="preserve"> </w:t>
      </w:r>
      <w:r w:rsidR="009D1BF5" w:rsidRPr="00F672AC">
        <w:rPr>
          <w:rFonts w:eastAsia="MS Mincho"/>
          <w:bCs/>
        </w:rPr>
        <w:t xml:space="preserve">návrh </w:t>
      </w:r>
      <w:r w:rsidR="005D72F6" w:rsidRPr="00F672AC">
        <w:rPr>
          <w:rFonts w:eastAsia="MS Mincho"/>
          <w:bCs/>
        </w:rPr>
        <w:t>Ministerstva</w:t>
      </w:r>
      <w:r w:rsidR="005D72F6" w:rsidRPr="00FA25D1">
        <w:rPr>
          <w:rFonts w:eastAsia="MS Mincho"/>
          <w:bCs/>
        </w:rPr>
        <w:t xml:space="preserve"> zemědělství</w:t>
      </w:r>
      <w:r w:rsidR="00E56C28" w:rsidRPr="00FA25D1">
        <w:rPr>
          <w:rFonts w:eastAsia="MS Mincho"/>
          <w:bCs/>
        </w:rPr>
        <w:t>,</w:t>
      </w:r>
      <w:r w:rsidR="005D72F6" w:rsidRPr="00FA25D1">
        <w:rPr>
          <w:rFonts w:eastAsia="MS Mincho"/>
          <w:bCs/>
        </w:rPr>
        <w:t xml:space="preserve"> připomínky Legislativní rady vlády</w:t>
      </w:r>
      <w:r w:rsidR="00E56C28" w:rsidRPr="00FA25D1">
        <w:rPr>
          <w:rFonts w:eastAsia="MS Mincho"/>
          <w:bCs/>
        </w:rPr>
        <w:t xml:space="preserve"> a</w:t>
      </w:r>
      <w:r w:rsidR="005D72F6" w:rsidRPr="00FA25D1">
        <w:rPr>
          <w:rFonts w:eastAsia="MS Mincho"/>
          <w:bCs/>
        </w:rPr>
        <w:t xml:space="preserve"> </w:t>
      </w:r>
      <w:r w:rsidR="00E56C28" w:rsidRPr="00FA25D1">
        <w:rPr>
          <w:rFonts w:eastAsia="MS Mincho"/>
          <w:bCs/>
        </w:rPr>
        <w:t xml:space="preserve">dále </w:t>
      </w:r>
      <w:r w:rsidR="00487736" w:rsidRPr="00FA25D1">
        <w:rPr>
          <w:rFonts w:eastAsia="MS Mincho"/>
          <w:bCs/>
        </w:rPr>
        <w:t>požadavky</w:t>
      </w:r>
      <w:r w:rsidR="00B26748" w:rsidRPr="00FA25D1">
        <w:rPr>
          <w:rFonts w:eastAsia="MS Mincho"/>
          <w:bCs/>
        </w:rPr>
        <w:t xml:space="preserve"> </w:t>
      </w:r>
      <w:r w:rsidR="00B26748">
        <w:rPr>
          <w:rFonts w:eastAsia="MS Mincho"/>
          <w:bCs/>
        </w:rPr>
        <w:t xml:space="preserve">na </w:t>
      </w:r>
      <w:r w:rsidR="00BC7116" w:rsidRPr="00731C3E">
        <w:rPr>
          <w:rFonts w:eastAsia="MS Mincho"/>
          <w:bCs/>
        </w:rPr>
        <w:t>úpravu dílčích postupů</w:t>
      </w:r>
      <w:r w:rsidR="00B26748">
        <w:rPr>
          <w:rFonts w:eastAsia="MS Mincho"/>
          <w:bCs/>
        </w:rPr>
        <w:t xml:space="preserve"> vyplývajících z dotaz</w:t>
      </w:r>
      <w:r w:rsidR="00810716">
        <w:rPr>
          <w:rFonts w:eastAsia="MS Mincho"/>
          <w:bCs/>
        </w:rPr>
        <w:t>ů a reakcí odborné veřejnosti na znění</w:t>
      </w:r>
      <w:r w:rsidR="001577A6">
        <w:rPr>
          <w:rFonts w:eastAsia="MS Mincho"/>
          <w:bCs/>
        </w:rPr>
        <w:t> </w:t>
      </w:r>
      <w:r w:rsidR="00810716">
        <w:rPr>
          <w:rFonts w:eastAsia="MS Mincho"/>
          <w:bCs/>
        </w:rPr>
        <w:t>stávajícího právního</w:t>
      </w:r>
      <w:r w:rsidR="00B26748">
        <w:rPr>
          <w:rFonts w:eastAsia="MS Mincho"/>
          <w:bCs/>
        </w:rPr>
        <w:t xml:space="preserve"> předpisu.</w:t>
      </w:r>
      <w:r w:rsidR="00B72AFD" w:rsidRPr="00B72AFD">
        <w:t xml:space="preserve"> </w:t>
      </w:r>
    </w:p>
    <w:p w:rsidR="00EC6686" w:rsidRDefault="00E814EA" w:rsidP="00AF1F3C">
      <w:pPr>
        <w:tabs>
          <w:tab w:val="left" w:pos="6660"/>
        </w:tabs>
        <w:spacing w:line="240" w:lineRule="auto"/>
      </w:pPr>
      <w:r>
        <w:rPr>
          <w:rFonts w:eastAsia="MS Mincho"/>
          <w:bCs/>
        </w:rPr>
        <w:t>Cesta</w:t>
      </w:r>
      <w:r w:rsidRPr="00E814EA">
        <w:rPr>
          <w:rFonts w:eastAsia="MS Mincho"/>
          <w:bCs/>
        </w:rPr>
        <w:t xml:space="preserve"> </w:t>
      </w:r>
      <w:r>
        <w:rPr>
          <w:rFonts w:eastAsia="MS Mincho"/>
          <w:bCs/>
        </w:rPr>
        <w:t>novelizace</w:t>
      </w:r>
      <w:r w:rsidR="00CE078A">
        <w:rPr>
          <w:rFonts w:eastAsia="MS Mincho"/>
          <w:bCs/>
        </w:rPr>
        <w:t xml:space="preserve">, navrhovaná v rámci </w:t>
      </w:r>
      <w:r w:rsidR="00EC6686">
        <w:rPr>
          <w:rFonts w:eastAsia="MS Mincho"/>
          <w:bCs/>
        </w:rPr>
        <w:t>variant</w:t>
      </w:r>
      <w:r w:rsidR="00CE078A">
        <w:rPr>
          <w:rFonts w:eastAsia="MS Mincho"/>
          <w:bCs/>
        </w:rPr>
        <w:t>y II,</w:t>
      </w:r>
      <w:r w:rsidR="00EC6686">
        <w:rPr>
          <w:rFonts w:eastAsia="MS Mincho"/>
          <w:bCs/>
        </w:rPr>
        <w:t xml:space="preserve"> </w:t>
      </w:r>
      <w:r>
        <w:rPr>
          <w:rFonts w:eastAsia="MS Mincho"/>
          <w:bCs/>
        </w:rPr>
        <w:t>byla zvolena</w:t>
      </w:r>
      <w:r w:rsidRPr="00E814EA">
        <w:rPr>
          <w:rFonts w:eastAsia="MS Mincho"/>
          <w:bCs/>
        </w:rPr>
        <w:t xml:space="preserve"> </w:t>
      </w:r>
      <w:r>
        <w:rPr>
          <w:rFonts w:eastAsia="MS Mincho"/>
          <w:bCs/>
        </w:rPr>
        <w:t xml:space="preserve">z důvodu rychlé reakce na </w:t>
      </w:r>
      <w:r w:rsidR="00EC6686">
        <w:rPr>
          <w:rFonts w:eastAsia="MS Mincho"/>
          <w:bCs/>
        </w:rPr>
        <w:t xml:space="preserve">aktuální </w:t>
      </w:r>
      <w:r>
        <w:rPr>
          <w:rFonts w:eastAsia="MS Mincho"/>
          <w:bCs/>
        </w:rPr>
        <w:t xml:space="preserve">potřeby oceňovací praxe a </w:t>
      </w:r>
      <w:r w:rsidRPr="00FA25D1">
        <w:rPr>
          <w:rFonts w:eastAsia="MS Mincho"/>
          <w:bCs/>
        </w:rPr>
        <w:t>požadavky</w:t>
      </w:r>
      <w:r w:rsidR="0086549E" w:rsidRPr="00FA25D1">
        <w:rPr>
          <w:rFonts w:eastAsia="MS Mincho"/>
          <w:bCs/>
        </w:rPr>
        <w:t xml:space="preserve"> státních orgánů i</w:t>
      </w:r>
      <w:r w:rsidRPr="00FA25D1">
        <w:rPr>
          <w:rFonts w:eastAsia="MS Mincho"/>
          <w:bCs/>
        </w:rPr>
        <w:t xml:space="preserve"> odborné </w:t>
      </w:r>
      <w:r>
        <w:rPr>
          <w:rFonts w:eastAsia="MS Mincho"/>
          <w:bCs/>
        </w:rPr>
        <w:t>veřejnosti</w:t>
      </w:r>
      <w:r w:rsidR="00CE078A">
        <w:rPr>
          <w:rFonts w:eastAsia="MS Mincho"/>
          <w:bCs/>
        </w:rPr>
        <w:t>, protože</w:t>
      </w:r>
      <w:r w:rsidR="00EC6686">
        <w:rPr>
          <w:rFonts w:eastAsia="MS Mincho"/>
          <w:bCs/>
        </w:rPr>
        <w:t xml:space="preserve"> nevyžadují velký zásah do</w:t>
      </w:r>
      <w:r w:rsidR="00EC6686" w:rsidRPr="00EC6686">
        <w:rPr>
          <w:rFonts w:eastAsia="MS Mincho"/>
          <w:bCs/>
        </w:rPr>
        <w:t xml:space="preserve"> </w:t>
      </w:r>
      <w:r w:rsidR="00EC6686">
        <w:rPr>
          <w:rFonts w:eastAsia="MS Mincho"/>
          <w:bCs/>
        </w:rPr>
        <w:t>stávajícího</w:t>
      </w:r>
      <w:r w:rsidR="00EC6686">
        <w:t xml:space="preserve"> znění</w:t>
      </w:r>
      <w:r w:rsidR="00EC6686" w:rsidRPr="00AF1F3C">
        <w:t xml:space="preserve"> </w:t>
      </w:r>
      <w:r w:rsidR="00EC6686" w:rsidRPr="00FE477E">
        <w:t>zákon</w:t>
      </w:r>
      <w:r w:rsidR="00EC6686">
        <w:t>a o oceňování majetku.</w:t>
      </w:r>
    </w:p>
    <w:p w:rsidR="003B2934" w:rsidRDefault="003B2934" w:rsidP="000127B6">
      <w:pPr>
        <w:rPr>
          <w:b/>
          <w:i/>
        </w:rPr>
      </w:pPr>
    </w:p>
    <w:p w:rsidR="000127B6" w:rsidRPr="00FE477E" w:rsidRDefault="000127B6" w:rsidP="000127B6">
      <w:pPr>
        <w:rPr>
          <w:b/>
          <w:i/>
        </w:rPr>
      </w:pPr>
      <w:r w:rsidRPr="00FE477E">
        <w:rPr>
          <w:b/>
          <w:i/>
        </w:rPr>
        <w:t>Varianta I:</w:t>
      </w:r>
    </w:p>
    <w:p w:rsidR="00345197" w:rsidRDefault="00C52E2F" w:rsidP="00247028">
      <w:r>
        <w:t xml:space="preserve">První </w:t>
      </w:r>
      <w:r w:rsidR="000127B6" w:rsidRPr="00FE477E">
        <w:t xml:space="preserve">varianta spočívá v tom, že by zákon o oceňování majetku zůstal v nezměněné podobě. Tuto variantu nepovažujeme za vhodnou, neboť </w:t>
      </w:r>
      <w:r w:rsidR="00806623">
        <w:t>je potřebné</w:t>
      </w:r>
      <w:r>
        <w:t xml:space="preserve"> jednak reagovat </w:t>
      </w:r>
      <w:r w:rsidR="00E91268">
        <w:br/>
      </w:r>
      <w:r>
        <w:t>na</w:t>
      </w:r>
      <w:r w:rsidR="00806623">
        <w:t xml:space="preserve"> </w:t>
      </w:r>
      <w:r>
        <w:t>změny, které proběhly v oblasti</w:t>
      </w:r>
      <w:r w:rsidRPr="00731C3E">
        <w:rPr>
          <w:rFonts w:eastAsia="MS Mincho"/>
          <w:bCs/>
        </w:rPr>
        <w:t xml:space="preserve"> právní</w:t>
      </w:r>
      <w:r>
        <w:rPr>
          <w:rFonts w:eastAsia="MS Mincho"/>
          <w:bCs/>
        </w:rPr>
        <w:t>ch předpisů,</w:t>
      </w:r>
      <w:r w:rsidRPr="00731C3E">
        <w:rPr>
          <w:rFonts w:eastAsia="MS Mincho"/>
          <w:bCs/>
        </w:rPr>
        <w:t xml:space="preserve"> </w:t>
      </w:r>
      <w:r>
        <w:rPr>
          <w:rFonts w:eastAsia="MS Mincho"/>
          <w:bCs/>
        </w:rPr>
        <w:t xml:space="preserve">a dále je nutné provést </w:t>
      </w:r>
      <w:r w:rsidRPr="00731C3E">
        <w:rPr>
          <w:rFonts w:eastAsia="MS Mincho"/>
          <w:bCs/>
        </w:rPr>
        <w:t>úpravu dílčích postupů</w:t>
      </w:r>
      <w:r w:rsidRPr="00FB3079">
        <w:t xml:space="preserve"> </w:t>
      </w:r>
      <w:r w:rsidRPr="00FE477E">
        <w:t>v oceňovacích předpisech</w:t>
      </w:r>
      <w:r>
        <w:t>,</w:t>
      </w:r>
      <w:r w:rsidR="009C5133">
        <w:rPr>
          <w:rFonts w:eastAsia="MS Mincho"/>
          <w:bCs/>
        </w:rPr>
        <w:t xml:space="preserve"> </w:t>
      </w:r>
      <w:r w:rsidR="00AE5D5A">
        <w:rPr>
          <w:rFonts w:eastAsia="MS Mincho"/>
          <w:bCs/>
        </w:rPr>
        <w:t xml:space="preserve">s ohledem na </w:t>
      </w:r>
      <w:r w:rsidR="00AE5D5A" w:rsidRPr="00FA25D1">
        <w:rPr>
          <w:rFonts w:eastAsia="MS Mincho"/>
          <w:bCs/>
        </w:rPr>
        <w:t>požadavky</w:t>
      </w:r>
      <w:r w:rsidR="00073F81" w:rsidRPr="00FA25D1">
        <w:rPr>
          <w:rFonts w:eastAsia="MS Mincho"/>
          <w:bCs/>
        </w:rPr>
        <w:t xml:space="preserve"> státních orgánů i</w:t>
      </w:r>
      <w:r w:rsidR="00AE5D5A" w:rsidRPr="00FA25D1">
        <w:t xml:space="preserve"> odborné </w:t>
      </w:r>
      <w:r w:rsidR="00AE5D5A">
        <w:t>veřejnosti (zejména znalců, znaleckých komor a ústavů při vysokých školách)</w:t>
      </w:r>
      <w:r w:rsidR="000127B6" w:rsidRPr="00FE477E">
        <w:t xml:space="preserve">. </w:t>
      </w:r>
    </w:p>
    <w:p w:rsidR="00345197" w:rsidRPr="00FA25D1" w:rsidRDefault="00A84352" w:rsidP="005C384E">
      <w:pPr>
        <w:pStyle w:val="Odstavecseseznamem"/>
        <w:ind w:left="0" w:firstLine="0"/>
      </w:pPr>
      <w:r>
        <w:tab/>
        <w:t xml:space="preserve">Pokud by </w:t>
      </w:r>
      <w:r w:rsidR="00DE2671" w:rsidRPr="00FE477E">
        <w:t>zákon o oceňování majetku</w:t>
      </w:r>
      <w:r w:rsidR="00DE2671">
        <w:t xml:space="preserve"> byl ponechán beze změny, </w:t>
      </w:r>
      <w:r w:rsidR="00CD05F8">
        <w:t xml:space="preserve">v textu předpisu </w:t>
      </w:r>
      <w:r w:rsidR="00E91268">
        <w:br/>
      </w:r>
      <w:r w:rsidR="00032889">
        <w:t xml:space="preserve">by </w:t>
      </w:r>
      <w:r w:rsidR="00CD05F8">
        <w:t xml:space="preserve">některé </w:t>
      </w:r>
      <w:r w:rsidR="00CD05F8" w:rsidRPr="00163313">
        <w:t>pasáže (</w:t>
      </w:r>
      <w:r w:rsidR="00BF396A" w:rsidRPr="00163313">
        <w:t>ustanovení)</w:t>
      </w:r>
      <w:r w:rsidR="00032889">
        <w:t xml:space="preserve"> neměly</w:t>
      </w:r>
      <w:r w:rsidR="003A0841">
        <w:t xml:space="preserve"> věcného opodstatnění</w:t>
      </w:r>
      <w:r w:rsidR="00163313">
        <w:t>,</w:t>
      </w:r>
      <w:r w:rsidR="00032889">
        <w:t xml:space="preserve"> ani vazbu</w:t>
      </w:r>
      <w:r w:rsidR="003A0841">
        <w:t xml:space="preserve"> na st</w:t>
      </w:r>
      <w:r w:rsidR="002C5F79">
        <w:t xml:space="preserve">ávající platnou legislativu, </w:t>
      </w:r>
      <w:r w:rsidR="00032889">
        <w:t>nevyhovovaly by</w:t>
      </w:r>
      <w:r w:rsidR="003A0841">
        <w:t xml:space="preserve"> stávající si</w:t>
      </w:r>
      <w:r w:rsidR="00163313">
        <w:t>tuaci na trhu</w:t>
      </w:r>
      <w:r w:rsidR="00032889">
        <w:t xml:space="preserve">, </w:t>
      </w:r>
      <w:r w:rsidR="00B41437">
        <w:t xml:space="preserve">rovněž by </w:t>
      </w:r>
      <w:r w:rsidR="00032889">
        <w:t xml:space="preserve">nepostačovaly </w:t>
      </w:r>
      <w:r w:rsidR="003A0841">
        <w:t>z pohledu</w:t>
      </w:r>
      <w:r w:rsidR="007D284E" w:rsidRPr="007D284E">
        <w:rPr>
          <w:rFonts w:eastAsia="MS Mincho"/>
          <w:bCs/>
          <w:color w:val="FF0000"/>
        </w:rPr>
        <w:t xml:space="preserve"> </w:t>
      </w:r>
      <w:r w:rsidR="007D284E" w:rsidRPr="00FA25D1">
        <w:rPr>
          <w:rFonts w:eastAsia="MS Mincho"/>
          <w:bCs/>
        </w:rPr>
        <w:t>státních orgánů i</w:t>
      </w:r>
      <w:r w:rsidR="003A0841" w:rsidRPr="00FA25D1">
        <w:t xml:space="preserve"> </w:t>
      </w:r>
      <w:r w:rsidR="00163313" w:rsidRPr="00FA25D1">
        <w:t>oceňovací praxe</w:t>
      </w:r>
      <w:r w:rsidR="003A0841" w:rsidRPr="00FA25D1">
        <w:t>.</w:t>
      </w:r>
    </w:p>
    <w:p w:rsidR="00345197" w:rsidRDefault="00345197" w:rsidP="005C384E">
      <w:pPr>
        <w:pStyle w:val="Odstavecseseznamem"/>
        <w:ind w:left="0" w:firstLine="0"/>
      </w:pPr>
    </w:p>
    <w:p w:rsidR="0091600E" w:rsidRDefault="0091600E" w:rsidP="005C384E">
      <w:pPr>
        <w:pStyle w:val="Odstavecseseznamem"/>
        <w:ind w:left="0" w:firstLine="0"/>
      </w:pPr>
    </w:p>
    <w:p w:rsidR="006A2A0A" w:rsidRDefault="006A2A0A" w:rsidP="005C384E">
      <w:pPr>
        <w:pStyle w:val="Odstavecseseznamem"/>
        <w:ind w:left="0" w:firstLine="0"/>
      </w:pPr>
    </w:p>
    <w:p w:rsidR="00247028" w:rsidRDefault="00247028" w:rsidP="005C384E">
      <w:pPr>
        <w:pStyle w:val="Odstavecseseznamem"/>
        <w:ind w:left="0" w:firstLine="0"/>
      </w:pPr>
    </w:p>
    <w:p w:rsidR="000127B6" w:rsidRPr="00FE477E" w:rsidRDefault="000127B6" w:rsidP="000127B6">
      <w:pPr>
        <w:spacing w:after="0" w:line="240" w:lineRule="auto"/>
        <w:rPr>
          <w:b/>
          <w:i/>
        </w:rPr>
      </w:pPr>
      <w:r w:rsidRPr="00FE477E">
        <w:rPr>
          <w:b/>
          <w:i/>
        </w:rPr>
        <w:lastRenderedPageBreak/>
        <w:t>Varianta II:</w:t>
      </w:r>
    </w:p>
    <w:p w:rsidR="000127B6" w:rsidRPr="00FE477E" w:rsidRDefault="000127B6" w:rsidP="000127B6">
      <w:pPr>
        <w:spacing w:after="0" w:line="240" w:lineRule="auto"/>
      </w:pPr>
    </w:p>
    <w:p w:rsidR="000127B6" w:rsidRPr="00FE477E" w:rsidRDefault="000127B6" w:rsidP="000127B6">
      <w:r w:rsidRPr="00FE477E">
        <w:t>V druhé variantě se navrhují částečné úpravy a doplnění zákona o oceňování</w:t>
      </w:r>
      <w:r w:rsidR="00A742E4">
        <w:t xml:space="preserve"> majetku</w:t>
      </w:r>
      <w:r w:rsidRPr="00FE477E">
        <w:t>, spočívající v </w:t>
      </w:r>
    </w:p>
    <w:p w:rsidR="00BB522C" w:rsidRPr="00FE477E" w:rsidRDefault="00BB522C" w:rsidP="00BB522C">
      <w:pPr>
        <w:pStyle w:val="Odstavecseseznamem"/>
        <w:numPr>
          <w:ilvl w:val="0"/>
          <w:numId w:val="5"/>
        </w:numPr>
      </w:pPr>
      <w:r>
        <w:t>doplnění možnosti oceňovat majetek</w:t>
      </w:r>
      <w:r w:rsidRPr="00FE477E">
        <w:t xml:space="preserve"> </w:t>
      </w:r>
      <w:r>
        <w:t>ve stanovených případech tržní hodnotou</w:t>
      </w:r>
      <w:r w:rsidRPr="00FE477E">
        <w:t>,</w:t>
      </w:r>
      <w:r>
        <w:t xml:space="preserve"> včetně úprav textu stávajícího předpisu</w:t>
      </w:r>
      <w:r w:rsidR="000A0220" w:rsidRPr="000A0220">
        <w:t xml:space="preserve"> </w:t>
      </w:r>
      <w:r w:rsidR="000A0220">
        <w:t>s tím souvisejících</w:t>
      </w:r>
      <w:r>
        <w:t>,</w:t>
      </w:r>
    </w:p>
    <w:p w:rsidR="00386C3C" w:rsidRPr="00A32F92" w:rsidRDefault="00386C3C" w:rsidP="00386C3C">
      <w:pPr>
        <w:pStyle w:val="Odstavecseseznamem"/>
        <w:numPr>
          <w:ilvl w:val="0"/>
          <w:numId w:val="5"/>
        </w:numPr>
      </w:pPr>
      <w:r w:rsidRPr="00A32F92">
        <w:t>upřesnění textu, kter</w:t>
      </w:r>
      <w:r w:rsidR="00AF3422" w:rsidRPr="00A32F92">
        <w:t>ý</w:t>
      </w:r>
      <w:r w:rsidRPr="00A32F92">
        <w:t xml:space="preserve"> se týká zpracování cenových map stavebních pozemků, pro zlepšení srozumitelnosti a v případech, kdy nelze</w:t>
      </w:r>
      <w:r w:rsidR="004E01F2" w:rsidRPr="00A32F92">
        <w:t xml:space="preserve"> ocenění dle cenové mapy použít,</w:t>
      </w:r>
    </w:p>
    <w:p w:rsidR="00BB522C" w:rsidRPr="00FE477E" w:rsidRDefault="00BB522C" w:rsidP="00BB522C">
      <w:pPr>
        <w:pStyle w:val="Odstavecseseznamem"/>
        <w:numPr>
          <w:ilvl w:val="0"/>
          <w:numId w:val="5"/>
        </w:numPr>
      </w:pPr>
      <w:r>
        <w:rPr>
          <w:noProof/>
        </w:rPr>
        <w:t>zpřesnění textu týkajícího se práva stavby</w:t>
      </w:r>
      <w:r w:rsidRPr="00FE477E">
        <w:t>,</w:t>
      </w:r>
    </w:p>
    <w:p w:rsidR="00BB522C" w:rsidRPr="00FE477E" w:rsidRDefault="00BE2BD7" w:rsidP="00BB522C">
      <w:pPr>
        <w:pStyle w:val="Odstavecseseznamem"/>
        <w:numPr>
          <w:ilvl w:val="0"/>
          <w:numId w:val="5"/>
        </w:numPr>
      </w:pPr>
      <w:r>
        <w:rPr>
          <w:bCs/>
        </w:rPr>
        <w:t xml:space="preserve">zavedení pojmu </w:t>
      </w:r>
      <w:r>
        <w:t>rychle rostoucí dřeviny</w:t>
      </w:r>
      <w:r>
        <w:rPr>
          <w:bCs/>
        </w:rPr>
        <w:t xml:space="preserve"> a </w:t>
      </w:r>
      <w:r w:rsidR="00BB522C">
        <w:rPr>
          <w:bCs/>
        </w:rPr>
        <w:t xml:space="preserve">stanovení </w:t>
      </w:r>
      <w:r w:rsidR="00BB522C">
        <w:t xml:space="preserve">způsobu </w:t>
      </w:r>
      <w:r>
        <w:t xml:space="preserve">jejich </w:t>
      </w:r>
      <w:r w:rsidR="00BB522C">
        <w:t>oceňování</w:t>
      </w:r>
      <w:r w:rsidR="00BB522C" w:rsidRPr="00FE477E">
        <w:t>,</w:t>
      </w:r>
    </w:p>
    <w:p w:rsidR="00C57469" w:rsidRDefault="00535735" w:rsidP="000127B6">
      <w:pPr>
        <w:pStyle w:val="Odstavecseseznamem"/>
        <w:numPr>
          <w:ilvl w:val="0"/>
          <w:numId w:val="5"/>
        </w:numPr>
      </w:pPr>
      <w:r>
        <w:rPr>
          <w:noProof/>
        </w:rPr>
        <w:t xml:space="preserve">úprava a </w:t>
      </w:r>
      <w:r w:rsidR="00BB522C">
        <w:rPr>
          <w:noProof/>
        </w:rPr>
        <w:t xml:space="preserve">přesun </w:t>
      </w:r>
      <w:r>
        <w:rPr>
          <w:noProof/>
        </w:rPr>
        <w:t xml:space="preserve">podrobnějšího </w:t>
      </w:r>
      <w:r w:rsidR="007B0EEE">
        <w:rPr>
          <w:noProof/>
        </w:rPr>
        <w:t xml:space="preserve">postupu </w:t>
      </w:r>
      <w:r w:rsidR="00ED28A8">
        <w:rPr>
          <w:noProof/>
        </w:rPr>
        <w:t>oceňování věcných břemen do </w:t>
      </w:r>
      <w:r w:rsidR="00BB522C">
        <w:rPr>
          <w:noProof/>
        </w:rPr>
        <w:t xml:space="preserve">prováděcí vyhlášky </w:t>
      </w:r>
      <w:r w:rsidR="00BB522C" w:rsidRPr="00FE477E">
        <w:t>zákona o oceňování</w:t>
      </w:r>
      <w:r w:rsidR="00BB522C">
        <w:t xml:space="preserve"> majetku</w:t>
      </w:r>
      <w:r w:rsidR="003A7B39">
        <w:t>,</w:t>
      </w:r>
    </w:p>
    <w:p w:rsidR="003A7B39" w:rsidRDefault="003A7B39" w:rsidP="000127B6">
      <w:pPr>
        <w:pStyle w:val="Odstavecseseznamem"/>
        <w:numPr>
          <w:ilvl w:val="0"/>
          <w:numId w:val="5"/>
        </w:numPr>
      </w:pPr>
      <w:r>
        <w:t>zavedení o</w:t>
      </w:r>
      <w:r w:rsidRPr="00F25E1C">
        <w:t xml:space="preserve">ceňování </w:t>
      </w:r>
      <w:r>
        <w:t xml:space="preserve">újmy z titulu </w:t>
      </w:r>
      <w:r w:rsidRPr="00F25E1C">
        <w:t>věcných břemen nebo j</w:t>
      </w:r>
      <w:r>
        <w:t>iných věcných práv zřízených ze zákona jako závady</w:t>
      </w:r>
      <w:r w:rsidRPr="00F25E1C">
        <w:t xml:space="preserve"> na</w:t>
      </w:r>
      <w:r>
        <w:t> </w:t>
      </w:r>
      <w:r w:rsidRPr="00F25E1C">
        <w:t>nemovité věci</w:t>
      </w:r>
      <w:r w:rsidR="00ED28A8" w:rsidRPr="00ED28A8">
        <w:t xml:space="preserve"> </w:t>
      </w:r>
      <w:r w:rsidR="00ED28A8">
        <w:t>s</w:t>
      </w:r>
      <w:r w:rsidR="008C462C">
        <w:t xml:space="preserve"> předpokladem </w:t>
      </w:r>
      <w:r w:rsidR="00ED28A8">
        <w:t>podrobnější úprav</w:t>
      </w:r>
      <w:r w:rsidR="008C462C">
        <w:t>y</w:t>
      </w:r>
      <w:r w:rsidR="00ED28A8">
        <w:t xml:space="preserve"> v prováděcí vyhlášce</w:t>
      </w:r>
      <w:r w:rsidR="008C462C">
        <w:t xml:space="preserve"> </w:t>
      </w:r>
      <w:r w:rsidR="008C462C" w:rsidRPr="00FE477E">
        <w:t>zákon</w:t>
      </w:r>
      <w:r w:rsidR="00835389">
        <w:t>a</w:t>
      </w:r>
      <w:r w:rsidR="008C462C" w:rsidRPr="00FE477E">
        <w:t xml:space="preserve"> o oceňování</w:t>
      </w:r>
      <w:r w:rsidR="008C462C">
        <w:t xml:space="preserve"> majetku</w:t>
      </w:r>
      <w:r>
        <w:t>.</w:t>
      </w:r>
      <w:r w:rsidR="00ED28A8">
        <w:t xml:space="preserve"> </w:t>
      </w:r>
    </w:p>
    <w:p w:rsidR="009527CD" w:rsidRPr="00CD61F2" w:rsidRDefault="00E40389" w:rsidP="009527CD">
      <w:r w:rsidRPr="00CD61F2">
        <w:t xml:space="preserve">Tato varianta doplňuje a upravuje </w:t>
      </w:r>
      <w:r w:rsidR="0022777E" w:rsidRPr="00CD61F2">
        <w:t xml:space="preserve">některé </w:t>
      </w:r>
      <w:r w:rsidRPr="00CD61F2">
        <w:t>textové nejasnosti</w:t>
      </w:r>
      <w:r w:rsidR="002507B8" w:rsidRPr="00CD61F2">
        <w:t xml:space="preserve"> stávajícího zákona o oceňování</w:t>
      </w:r>
      <w:r w:rsidR="000C6692" w:rsidRPr="00CD61F2">
        <w:t xml:space="preserve"> majetku,</w:t>
      </w:r>
      <w:r w:rsidR="00AC0C41" w:rsidRPr="00CD61F2">
        <w:t xml:space="preserve"> </w:t>
      </w:r>
      <w:r w:rsidR="000C6692" w:rsidRPr="00CD61F2">
        <w:t xml:space="preserve">a to zejména </w:t>
      </w:r>
      <w:r w:rsidR="0022777E" w:rsidRPr="00CD61F2">
        <w:t xml:space="preserve">za účelem zlepšení srozumitelnosti </w:t>
      </w:r>
      <w:r w:rsidR="000C6692" w:rsidRPr="00CD61F2">
        <w:t xml:space="preserve">a usnadnění </w:t>
      </w:r>
      <w:r w:rsidR="009527CD" w:rsidRPr="00CD61F2">
        <w:t>orientace v </w:t>
      </w:r>
      <w:r w:rsidR="00AC0C41" w:rsidRPr="00CD61F2">
        <w:t>textu</w:t>
      </w:r>
      <w:r w:rsidR="00415050" w:rsidRPr="00CD61F2">
        <w:t xml:space="preserve">. </w:t>
      </w:r>
      <w:r w:rsidR="00757BBD" w:rsidRPr="00CD61F2">
        <w:t xml:space="preserve">V odezvě na </w:t>
      </w:r>
      <w:r w:rsidR="00FF1CFE" w:rsidRPr="00CD61F2">
        <w:t xml:space="preserve">narůstající </w:t>
      </w:r>
      <w:r w:rsidR="00757BBD" w:rsidRPr="00CD61F2">
        <w:t>písemná podání ze strany odborné veřejnosti</w:t>
      </w:r>
      <w:r w:rsidR="00FF1CFE" w:rsidRPr="00CD61F2">
        <w:t xml:space="preserve"> </w:t>
      </w:r>
      <w:r w:rsidR="00871AD4">
        <w:t xml:space="preserve">(viz Tabulka </w:t>
      </w:r>
      <w:r w:rsidR="00E91268">
        <w:br/>
      </w:r>
      <w:r w:rsidR="00871AD4">
        <w:t xml:space="preserve">a Diagram č. 1) </w:t>
      </w:r>
      <w:r w:rsidR="00FF1CFE" w:rsidRPr="00CD61F2">
        <w:t>reflekt</w:t>
      </w:r>
      <w:r w:rsidR="00AC0C41" w:rsidRPr="00CD61F2">
        <w:t>uje</w:t>
      </w:r>
      <w:r w:rsidR="00E8247E" w:rsidRPr="00CD61F2">
        <w:t xml:space="preserve"> zejména</w:t>
      </w:r>
      <w:r w:rsidR="00FF1CFE" w:rsidRPr="00CD61F2">
        <w:t xml:space="preserve"> změny, k nimž došlo </w:t>
      </w:r>
      <w:r w:rsidR="00E8247E" w:rsidRPr="00CD61F2">
        <w:t>na trhu s nemovitými věcmi</w:t>
      </w:r>
      <w:r w:rsidR="00B72AFD" w:rsidRPr="00CD61F2">
        <w:t>.</w:t>
      </w:r>
      <w:r w:rsidR="009527CD" w:rsidRPr="00CD61F2">
        <w:t xml:space="preserve"> </w:t>
      </w:r>
      <w:r w:rsidR="009527CD" w:rsidRPr="00CD61F2">
        <w:rPr>
          <w:rFonts w:eastAsia="MS Mincho"/>
          <w:bCs/>
        </w:rPr>
        <w:t xml:space="preserve">Reaguje na </w:t>
      </w:r>
      <w:r w:rsidR="009527CD" w:rsidRPr="00DA36F1">
        <w:rPr>
          <w:rFonts w:eastAsia="MS Mincho"/>
          <w:bCs/>
        </w:rPr>
        <w:t>požadavky</w:t>
      </w:r>
      <w:r w:rsidR="00FC003F" w:rsidRPr="00DA36F1">
        <w:rPr>
          <w:rFonts w:eastAsia="MS Mincho"/>
          <w:bCs/>
        </w:rPr>
        <w:t xml:space="preserve"> či doporučení</w:t>
      </w:r>
      <w:r w:rsidR="009527CD" w:rsidRPr="00DA36F1">
        <w:rPr>
          <w:rFonts w:eastAsia="MS Mincho"/>
          <w:bCs/>
        </w:rPr>
        <w:t xml:space="preserve"> státních </w:t>
      </w:r>
      <w:r w:rsidR="009527CD" w:rsidRPr="00CD61F2">
        <w:rPr>
          <w:rFonts w:eastAsia="MS Mincho"/>
          <w:bCs/>
        </w:rPr>
        <w:t xml:space="preserve">orgánů i odborné veřejnosti a úpravy textů dotčených ustanovení </w:t>
      </w:r>
      <w:r w:rsidR="009527CD" w:rsidRPr="00CD61F2">
        <w:t>provazuje na platné právní předpisy.</w:t>
      </w:r>
    </w:p>
    <w:p w:rsidR="00757BBD" w:rsidRDefault="00757BBD" w:rsidP="000127B6">
      <w:pPr>
        <w:spacing w:after="0" w:line="240" w:lineRule="auto"/>
        <w:ind w:firstLine="360"/>
      </w:pPr>
    </w:p>
    <w:p w:rsidR="0085342B" w:rsidRDefault="0085342B" w:rsidP="000127B6">
      <w:pPr>
        <w:spacing w:after="0" w:line="240" w:lineRule="auto"/>
        <w:ind w:firstLine="360"/>
      </w:pPr>
    </w:p>
    <w:p w:rsidR="009804E6" w:rsidRPr="0056750E" w:rsidRDefault="009804E6" w:rsidP="009804E6">
      <w:pPr>
        <w:spacing w:after="0" w:line="252" w:lineRule="auto"/>
        <w:ind w:left="1446" w:hanging="1446"/>
        <w:rPr>
          <w:szCs w:val="16"/>
        </w:rPr>
      </w:pPr>
      <w:r w:rsidRPr="0056750E">
        <w:rPr>
          <w:b/>
          <w:szCs w:val="16"/>
        </w:rPr>
        <w:t xml:space="preserve">Tabulka </w:t>
      </w:r>
      <w:r>
        <w:rPr>
          <w:b/>
          <w:szCs w:val="16"/>
        </w:rPr>
        <w:t>č. </w:t>
      </w:r>
      <w:r w:rsidRPr="0056750E">
        <w:rPr>
          <w:b/>
          <w:szCs w:val="16"/>
        </w:rPr>
        <w:t>1:</w:t>
      </w:r>
      <w:r w:rsidRPr="0056750E">
        <w:rPr>
          <w:szCs w:val="16"/>
        </w:rPr>
        <w:t xml:space="preserve"> Četnost dotazů </w:t>
      </w:r>
      <w:r>
        <w:rPr>
          <w:szCs w:val="16"/>
        </w:rPr>
        <w:t xml:space="preserve">a podnětů </w:t>
      </w:r>
      <w:r w:rsidRPr="0056750E">
        <w:rPr>
          <w:szCs w:val="16"/>
        </w:rPr>
        <w:t>z</w:t>
      </w:r>
      <w:r>
        <w:rPr>
          <w:szCs w:val="16"/>
        </w:rPr>
        <w:t> </w:t>
      </w:r>
      <w:r w:rsidRPr="0056750E">
        <w:rPr>
          <w:szCs w:val="16"/>
        </w:rPr>
        <w:t>oblasti oceňování dle</w:t>
      </w:r>
      <w:r>
        <w:rPr>
          <w:szCs w:val="16"/>
        </w:rPr>
        <w:t> </w:t>
      </w:r>
      <w:r w:rsidRPr="0056750E">
        <w:rPr>
          <w:szCs w:val="16"/>
        </w:rPr>
        <w:t>jejich významu v letech 2016 až 2018</w:t>
      </w:r>
    </w:p>
    <w:p w:rsidR="009804E6" w:rsidRPr="009050B9" w:rsidRDefault="009804E6" w:rsidP="009804E6">
      <w:pPr>
        <w:spacing w:before="0" w:after="0"/>
        <w:rPr>
          <w:sz w:val="18"/>
        </w:rPr>
      </w:pPr>
    </w:p>
    <w:p w:rsidR="009804E6" w:rsidRDefault="009804E6" w:rsidP="009804E6">
      <w:pPr>
        <w:spacing w:before="40" w:after="40"/>
        <w:ind w:firstLine="0"/>
      </w:pPr>
      <w:r>
        <w:rPr>
          <w:noProof/>
        </w:rPr>
        <w:drawing>
          <wp:inline distT="0" distB="0" distL="0" distR="0" wp14:anchorId="784A4C89" wp14:editId="55670B3F">
            <wp:extent cx="5940000" cy="755920"/>
            <wp:effectExtent l="0" t="0" r="381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65B" w:rsidRDefault="00B3365B" w:rsidP="009804E6">
      <w:pPr>
        <w:ind w:firstLine="0"/>
      </w:pPr>
    </w:p>
    <w:p w:rsidR="00B3365B" w:rsidRDefault="00B3365B" w:rsidP="009804E6">
      <w:pPr>
        <w:ind w:firstLine="0"/>
      </w:pPr>
    </w:p>
    <w:p w:rsidR="004515B4" w:rsidRDefault="004515B4" w:rsidP="009804E6">
      <w:pPr>
        <w:ind w:firstLine="0"/>
      </w:pPr>
    </w:p>
    <w:p w:rsidR="004515B4" w:rsidRDefault="004515B4" w:rsidP="009804E6">
      <w:pPr>
        <w:ind w:firstLine="0"/>
      </w:pPr>
    </w:p>
    <w:p w:rsidR="004515B4" w:rsidRDefault="004515B4" w:rsidP="009804E6">
      <w:pPr>
        <w:ind w:firstLine="0"/>
      </w:pPr>
    </w:p>
    <w:p w:rsidR="004515B4" w:rsidRDefault="004515B4" w:rsidP="009804E6">
      <w:pPr>
        <w:ind w:firstLine="0"/>
      </w:pPr>
    </w:p>
    <w:p w:rsidR="009804E6" w:rsidRDefault="009804E6" w:rsidP="009804E6">
      <w:pPr>
        <w:ind w:firstLine="0"/>
      </w:pPr>
    </w:p>
    <w:p w:rsidR="009804E6" w:rsidRPr="0056750E" w:rsidRDefault="009804E6" w:rsidP="009804E6">
      <w:pPr>
        <w:spacing w:after="0" w:line="252" w:lineRule="auto"/>
        <w:ind w:left="1446" w:hanging="1446"/>
        <w:rPr>
          <w:szCs w:val="16"/>
        </w:rPr>
      </w:pPr>
      <w:r>
        <w:rPr>
          <w:b/>
          <w:szCs w:val="16"/>
        </w:rPr>
        <w:lastRenderedPageBreak/>
        <w:t>Diagram</w:t>
      </w:r>
      <w:r w:rsidRPr="0056750E">
        <w:rPr>
          <w:b/>
          <w:szCs w:val="16"/>
        </w:rPr>
        <w:t xml:space="preserve"> č.</w:t>
      </w:r>
      <w:r>
        <w:rPr>
          <w:b/>
          <w:szCs w:val="16"/>
        </w:rPr>
        <w:t> </w:t>
      </w:r>
      <w:r w:rsidRPr="0056750E">
        <w:rPr>
          <w:b/>
          <w:szCs w:val="16"/>
        </w:rPr>
        <w:t>1:</w:t>
      </w:r>
      <w:r w:rsidRPr="0056750E">
        <w:rPr>
          <w:szCs w:val="16"/>
        </w:rPr>
        <w:t xml:space="preserve"> Četnost dotazů</w:t>
      </w:r>
      <w:r>
        <w:rPr>
          <w:szCs w:val="16"/>
        </w:rPr>
        <w:t xml:space="preserve"> a</w:t>
      </w:r>
      <w:r w:rsidRPr="0056750E">
        <w:rPr>
          <w:szCs w:val="16"/>
        </w:rPr>
        <w:t xml:space="preserve"> </w:t>
      </w:r>
      <w:r>
        <w:rPr>
          <w:szCs w:val="16"/>
        </w:rPr>
        <w:t xml:space="preserve">podnětů </w:t>
      </w:r>
      <w:r w:rsidRPr="0056750E">
        <w:rPr>
          <w:szCs w:val="16"/>
        </w:rPr>
        <w:t>z</w:t>
      </w:r>
      <w:r>
        <w:rPr>
          <w:szCs w:val="16"/>
        </w:rPr>
        <w:t> </w:t>
      </w:r>
      <w:r w:rsidRPr="0056750E">
        <w:rPr>
          <w:szCs w:val="16"/>
        </w:rPr>
        <w:t>oblasti oceňování dle</w:t>
      </w:r>
      <w:r>
        <w:rPr>
          <w:szCs w:val="16"/>
        </w:rPr>
        <w:t> </w:t>
      </w:r>
      <w:r w:rsidRPr="0056750E">
        <w:rPr>
          <w:szCs w:val="16"/>
        </w:rPr>
        <w:t>jejich významu v</w:t>
      </w:r>
      <w:r>
        <w:rPr>
          <w:szCs w:val="16"/>
        </w:rPr>
        <w:t> </w:t>
      </w:r>
      <w:r w:rsidRPr="0056750E">
        <w:rPr>
          <w:szCs w:val="16"/>
        </w:rPr>
        <w:t>letech 2016 až 2018</w:t>
      </w:r>
    </w:p>
    <w:p w:rsidR="009804E6" w:rsidRPr="00297B36" w:rsidRDefault="009804E6" w:rsidP="009804E6">
      <w:pPr>
        <w:spacing w:before="0" w:after="0"/>
        <w:rPr>
          <w:sz w:val="18"/>
        </w:rPr>
      </w:pPr>
    </w:p>
    <w:p w:rsidR="00B37BEE" w:rsidRPr="00297B36" w:rsidRDefault="00B37BEE" w:rsidP="00B37BEE">
      <w:pPr>
        <w:spacing w:before="0" w:after="0"/>
        <w:rPr>
          <w:sz w:val="18"/>
        </w:rPr>
      </w:pPr>
    </w:p>
    <w:p w:rsidR="00B37BEE" w:rsidRDefault="009804E6" w:rsidP="00B37BEE">
      <w:pPr>
        <w:ind w:firstLine="0"/>
      </w:pPr>
      <w:r>
        <w:rPr>
          <w:noProof/>
        </w:rPr>
        <w:drawing>
          <wp:inline distT="0" distB="0" distL="0" distR="0" wp14:anchorId="6D2743E1" wp14:editId="16640055">
            <wp:extent cx="5760720" cy="37617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EE" w:rsidRDefault="00B37BEE" w:rsidP="00B37BEE">
      <w:pPr>
        <w:ind w:firstLine="0"/>
      </w:pPr>
    </w:p>
    <w:p w:rsidR="009804E6" w:rsidRPr="0026625A" w:rsidRDefault="009804E6" w:rsidP="009804E6">
      <w:r w:rsidRPr="0026625A">
        <w:t>Tabulka i diagram č. 1 zachycují vývoj četnosti dotazů v letech 2016 až 2018. Ukazují, že mezi rokem 2016 a 2017 došlo v meziročním srovnání ke  zřetelnému nárůstu jak dotazů týkajících se oceňování obecně, tak zodpovězených specifických dotazů (tj. týkajících </w:t>
      </w:r>
      <w:r w:rsidR="00E91268">
        <w:br/>
      </w:r>
      <w:r w:rsidRPr="0026625A">
        <w:t xml:space="preserve">se </w:t>
      </w:r>
      <w:r w:rsidRPr="00915867">
        <w:t>jednak</w:t>
      </w:r>
      <w:r w:rsidRPr="0026625A">
        <w:t xml:space="preserve"> nestandardních situací a věcí, vyžadujících například součinnost více útvarů, </w:t>
      </w:r>
      <w:r w:rsidR="00E91268">
        <w:br/>
      </w:r>
      <w:r w:rsidRPr="0026625A">
        <w:t xml:space="preserve">či spolupráci s jinými resorty nebo orgány, </w:t>
      </w:r>
      <w:r w:rsidRPr="00915867">
        <w:t>jednak</w:t>
      </w:r>
      <w:r w:rsidRPr="0026625A">
        <w:t xml:space="preserve"> velkého rozsahu majetků a služeb</w:t>
      </w:r>
      <w:r w:rsidR="00915867">
        <w:t>,</w:t>
      </w:r>
      <w:r w:rsidRPr="0026625A">
        <w:t xml:space="preserve"> atp.), pokládaných převážně odbornou veřejností (tj. zejména znalci, znaleckými ústavy, právníky </w:t>
      </w:r>
      <w:r w:rsidR="0071257A">
        <w:br/>
      </w:r>
      <w:r w:rsidRPr="0026625A">
        <w:t xml:space="preserve">a právními kancelářemi, státními orgány a organizacemi). Tento trend potvrzuje i počet a zaměření zodpovězených dotazů za sledované období roku 2018. </w:t>
      </w:r>
    </w:p>
    <w:p w:rsidR="007F5DE6" w:rsidRDefault="009804E6" w:rsidP="004515B4">
      <w:r>
        <w:t>Z narůstající četnosti dotazů</w:t>
      </w:r>
      <w:r w:rsidRPr="00FE477E">
        <w:t xml:space="preserve"> </w:t>
      </w:r>
      <w:r>
        <w:t>od</w:t>
      </w:r>
      <w:r w:rsidRPr="00FE477E">
        <w:t xml:space="preserve"> odborné veřejnosti </w:t>
      </w:r>
      <w:r>
        <w:t>je zřejmé, že stávající</w:t>
      </w:r>
      <w:r w:rsidRPr="007F5DE6">
        <w:t xml:space="preserve"> </w:t>
      </w:r>
      <w:r w:rsidRPr="00FE477E">
        <w:t>legi</w:t>
      </w:r>
      <w:r>
        <w:t xml:space="preserve">slativa </w:t>
      </w:r>
      <w:r w:rsidR="00E91268">
        <w:br/>
      </w:r>
      <w:r>
        <w:t>již nevyhovuje změněné situaci na trhu</w:t>
      </w:r>
      <w:r w:rsidRPr="007F5DE6">
        <w:t xml:space="preserve"> </w:t>
      </w:r>
      <w:r>
        <w:t>a oceňovací praxi, a je potřeba ji přizpůsobit reálnému stavu a zkušenostem</w:t>
      </w:r>
      <w:r w:rsidRPr="007B676D">
        <w:t xml:space="preserve"> </w:t>
      </w:r>
      <w:r>
        <w:t xml:space="preserve">plynoucím </w:t>
      </w:r>
      <w:r w:rsidR="004515B4">
        <w:t>z jejího praktického používání.</w:t>
      </w:r>
    </w:p>
    <w:p w:rsidR="000127B6" w:rsidRDefault="00C6603A" w:rsidP="000127B6">
      <w:r>
        <w:t>Volba</w:t>
      </w:r>
      <w:r w:rsidR="00F7397D">
        <w:t xml:space="preserve"> </w:t>
      </w:r>
      <w:r w:rsidR="00F7397D" w:rsidRPr="00C6603A">
        <w:rPr>
          <w:b/>
          <w:i/>
        </w:rPr>
        <w:t>varianty</w:t>
      </w:r>
      <w:r w:rsidRPr="00C6603A">
        <w:rPr>
          <w:b/>
          <w:i/>
        </w:rPr>
        <w:t xml:space="preserve"> II</w:t>
      </w:r>
      <w:r>
        <w:t xml:space="preserve"> </w:t>
      </w:r>
      <w:r w:rsidR="00F7397D">
        <w:t xml:space="preserve">obsahující výše navrhované změny a úpravy tak </w:t>
      </w:r>
      <w:r w:rsidR="00C83BB4">
        <w:t>zajistí vazbu na </w:t>
      </w:r>
      <w:r w:rsidR="00CF3FEA">
        <w:t>stávající platnou legislativu</w:t>
      </w:r>
      <w:r w:rsidR="00C83BB4">
        <w:t>,</w:t>
      </w:r>
      <w:r w:rsidR="00C83BB4" w:rsidRPr="00C83BB4">
        <w:t xml:space="preserve"> </w:t>
      </w:r>
      <w:r w:rsidR="005F4F6A">
        <w:t>odborné veřejnosti</w:t>
      </w:r>
      <w:r w:rsidR="005F4F6A" w:rsidRPr="00FE477E">
        <w:t xml:space="preserve"> </w:t>
      </w:r>
      <w:r w:rsidR="005F4F6A">
        <w:t>usnadní orientaci v upraveném textu zákona o oceňování majetku a jeho využitelnost, dále</w:t>
      </w:r>
      <w:r w:rsidR="00425932">
        <w:t xml:space="preserve"> odstraní disproporci</w:t>
      </w:r>
      <w:r w:rsidR="00CF3FEA">
        <w:t>, která v průběhu času</w:t>
      </w:r>
      <w:r>
        <w:t>,</w:t>
      </w:r>
      <w:r w:rsidRPr="00C6603A">
        <w:t xml:space="preserve"> </w:t>
      </w:r>
      <w:r>
        <w:t>viděno z pohledu oceňovací praxe,</w:t>
      </w:r>
      <w:r w:rsidR="00CF3FEA">
        <w:t xml:space="preserve"> nastala mezi stávajícím zněním </w:t>
      </w:r>
      <w:r w:rsidR="00CF3FEA" w:rsidRPr="00FE477E">
        <w:t>zákona o oceňování</w:t>
      </w:r>
      <w:r w:rsidR="007323AB">
        <w:t xml:space="preserve"> majetku a tržním prostředím</w:t>
      </w:r>
      <w:r w:rsidR="007C066B">
        <w:t>.</w:t>
      </w:r>
    </w:p>
    <w:p w:rsidR="00C83BB4" w:rsidRDefault="00C83BB4" w:rsidP="00445CCC">
      <w:pPr>
        <w:pStyle w:val="Odstavecseseznamem"/>
        <w:ind w:left="0" w:firstLine="0"/>
      </w:pPr>
    </w:p>
    <w:p w:rsidR="007D4C32" w:rsidRPr="00FE477E" w:rsidRDefault="007D4C32" w:rsidP="007D4C32">
      <w:r>
        <w:lastRenderedPageBreak/>
        <w:t xml:space="preserve">Navrhovaná </w:t>
      </w:r>
      <w:r w:rsidRPr="00486D90">
        <w:t>novela</w:t>
      </w:r>
      <w:r w:rsidRPr="00FE477E">
        <w:t xml:space="preserve"> zákon</w:t>
      </w:r>
      <w:r>
        <w:t>a</w:t>
      </w:r>
      <w:r w:rsidRPr="00FE477E">
        <w:t xml:space="preserve"> o oceňování</w:t>
      </w:r>
      <w:r>
        <w:t xml:space="preserve"> majetku </w:t>
      </w:r>
      <w:r w:rsidRPr="00FE477E">
        <w:t>je technickou právní normou, nikomu neukládá žádné povinnosti, pouze nastavuje pravidla oceňování majetku tak, aby cena určená podle oceňovacích předpisů co nejlépe korespondovala s cenami dosažitelný</w:t>
      </w:r>
      <w:r>
        <w:t>mi na volném trhu. Proto tato</w:t>
      </w:r>
      <w:r w:rsidRPr="00FE477E">
        <w:t> variant</w:t>
      </w:r>
      <w:r>
        <w:t>a,</w:t>
      </w:r>
      <w:r w:rsidRPr="00FE477E">
        <w:t xml:space="preserve"> </w:t>
      </w:r>
      <w:r>
        <w:t xml:space="preserve">spočívající v úpravě </w:t>
      </w:r>
      <w:r w:rsidRPr="00FE477E">
        <w:t>zákon</w:t>
      </w:r>
      <w:r>
        <w:t>a</w:t>
      </w:r>
      <w:r w:rsidRPr="00FE477E">
        <w:t xml:space="preserve"> o oceňování</w:t>
      </w:r>
      <w:r>
        <w:t xml:space="preserve"> majetku</w:t>
      </w:r>
      <w:r w:rsidR="0026625A">
        <w:t>,</w:t>
      </w:r>
      <w:r w:rsidRPr="00FE477E">
        <w:t xml:space="preserve"> nemá dopad na</w:t>
      </w:r>
      <w:r>
        <w:t> </w:t>
      </w:r>
      <w:r w:rsidRPr="00FE477E">
        <w:t>žádnou skupinu obyvatel ani na</w:t>
      </w:r>
      <w:r>
        <w:t> </w:t>
      </w:r>
      <w:r w:rsidRPr="00FE477E">
        <w:t xml:space="preserve">veřejné rozpočty. </w:t>
      </w:r>
    </w:p>
    <w:p w:rsidR="000127B6" w:rsidRPr="00FE477E" w:rsidRDefault="000127B6" w:rsidP="000127B6"/>
    <w:p w:rsidR="000127B6" w:rsidRPr="00EF7F9E" w:rsidRDefault="000127B6" w:rsidP="006F69D0">
      <w:pPr>
        <w:pStyle w:val="Nadpis2"/>
        <w:numPr>
          <w:ilvl w:val="1"/>
          <w:numId w:val="7"/>
        </w:numPr>
        <w:ind w:left="860"/>
      </w:pPr>
      <w:bookmarkStart w:id="8" w:name="_Toc403043690"/>
      <w:bookmarkStart w:id="9" w:name="_Toc406589420"/>
      <w:r w:rsidRPr="0042434B">
        <w:t>Přizpůsobení variant regulaci a</w:t>
      </w:r>
      <w:r w:rsidRPr="00EF7F9E">
        <w:t> její vynucování</w:t>
      </w:r>
      <w:bookmarkEnd w:id="8"/>
      <w:bookmarkEnd w:id="9"/>
    </w:p>
    <w:p w:rsidR="00B45AA2" w:rsidRPr="00FE477E" w:rsidRDefault="00684D18" w:rsidP="00B45AA2">
      <w:r>
        <w:t xml:space="preserve">S realizací </w:t>
      </w:r>
      <w:r w:rsidR="000127B6" w:rsidRPr="00FE477E">
        <w:t xml:space="preserve">o oceňování majetku </w:t>
      </w:r>
      <w:r>
        <w:t>není spojena žádná regulace</w:t>
      </w:r>
      <w:r w:rsidR="00B45AA2" w:rsidRPr="00FE477E">
        <w:t xml:space="preserve">. </w:t>
      </w:r>
    </w:p>
    <w:p w:rsidR="00CE1B60" w:rsidRDefault="00AA0810" w:rsidP="000127B6">
      <w:r>
        <w:t>S</w:t>
      </w:r>
      <w:r w:rsidR="00CE1B60">
        <w:t>távající zákon</w:t>
      </w:r>
      <w:r w:rsidR="00CE1B60" w:rsidRPr="00CE1B60">
        <w:t xml:space="preserve"> o oceňování</w:t>
      </w:r>
      <w:r w:rsidRPr="00AA0810">
        <w:t xml:space="preserve"> </w:t>
      </w:r>
      <w:r w:rsidRPr="00CE1B60">
        <w:t>majetku</w:t>
      </w:r>
      <w:r w:rsidRPr="00AA0810">
        <w:t xml:space="preserve"> </w:t>
      </w:r>
      <w:r>
        <w:t>p</w:t>
      </w:r>
      <w:r w:rsidRPr="00FE477E">
        <w:t>ostih</w:t>
      </w:r>
      <w:r>
        <w:t>y</w:t>
      </w:r>
      <w:r w:rsidRPr="00FE477E">
        <w:t xml:space="preserve"> z neplnění povinností</w:t>
      </w:r>
      <w:r>
        <w:t xml:space="preserve"> neřeší,</w:t>
      </w:r>
      <w:r w:rsidR="00CE1B60" w:rsidRPr="00CE1B60">
        <w:t xml:space="preserve"> </w:t>
      </w:r>
      <w:r>
        <w:t xml:space="preserve">protože </w:t>
      </w:r>
      <w:r w:rsidR="00CE1B60" w:rsidRPr="00FE477E">
        <w:t>nikomu žádné povinnosti neukládá</w:t>
      </w:r>
      <w:r>
        <w:t>.</w:t>
      </w:r>
      <w:r w:rsidR="00CE1B60">
        <w:t xml:space="preserve"> Z tohoto důvodu ani novela</w:t>
      </w:r>
      <w:r w:rsidR="00CE1B60" w:rsidRPr="00CE1B60">
        <w:t xml:space="preserve"> zákona o oceňování majetku</w:t>
      </w:r>
      <w:r>
        <w:t xml:space="preserve"> žádné postihy</w:t>
      </w:r>
      <w:r w:rsidRPr="00AA0810">
        <w:t xml:space="preserve"> </w:t>
      </w:r>
      <w:r>
        <w:t>neobsahuje.</w:t>
      </w:r>
    </w:p>
    <w:p w:rsidR="000127B6" w:rsidRPr="00FE477E" w:rsidRDefault="000D1E78" w:rsidP="000127B6">
      <w:r w:rsidRPr="00486D90">
        <w:t>Návrhem</w:t>
      </w:r>
      <w:r w:rsidR="00997631" w:rsidRPr="00486D90">
        <w:t xml:space="preserve"> novely</w:t>
      </w:r>
      <w:r>
        <w:t xml:space="preserve"> zákona </w:t>
      </w:r>
      <w:r w:rsidR="000127B6" w:rsidRPr="00FE477E">
        <w:t>o oceňování majetku</w:t>
      </w:r>
      <w:r w:rsidR="00A7630D">
        <w:t xml:space="preserve"> administrativní zátěž nevzniká</w:t>
      </w:r>
      <w:r>
        <w:t>,</w:t>
      </w:r>
      <w:r w:rsidR="00A7630D">
        <w:t xml:space="preserve"> a tedy </w:t>
      </w:r>
      <w:r w:rsidR="00E91268">
        <w:br/>
      </w:r>
      <w:r w:rsidR="00A7630D">
        <w:t>se ani nezvyšuje</w:t>
      </w:r>
      <w:r w:rsidR="000127B6" w:rsidRPr="00FE477E">
        <w:t>.</w:t>
      </w:r>
    </w:p>
    <w:p w:rsidR="000127B6" w:rsidRPr="00FE477E" w:rsidRDefault="000D1E78" w:rsidP="000127B6">
      <w:r w:rsidRPr="00486D90">
        <w:t>Návrhem</w:t>
      </w:r>
      <w:r w:rsidR="00997631" w:rsidRPr="00486D90">
        <w:t xml:space="preserve"> novely</w:t>
      </w:r>
      <w:r w:rsidR="00855E01" w:rsidRPr="00FE477E">
        <w:t xml:space="preserve"> zákona o oceňování majetku</w:t>
      </w:r>
      <w:r w:rsidR="000127B6" w:rsidRPr="00FE477E">
        <w:t xml:space="preserve"> není </w:t>
      </w:r>
      <w:r w:rsidR="00F42024">
        <w:t xml:space="preserve">rovněž </w:t>
      </w:r>
      <w:r w:rsidR="000127B6" w:rsidRPr="00FE477E">
        <w:t>vytvářena nová kompetence.</w:t>
      </w:r>
    </w:p>
    <w:p w:rsidR="000127B6" w:rsidRPr="00FE477E" w:rsidRDefault="000D1E78" w:rsidP="000127B6">
      <w:r w:rsidRPr="00486D90">
        <w:t>Návrhem</w:t>
      </w:r>
      <w:r w:rsidR="00997631" w:rsidRPr="00486D90">
        <w:t xml:space="preserve"> novely</w:t>
      </w:r>
      <w:r w:rsidR="00602349" w:rsidRPr="00FE477E">
        <w:t xml:space="preserve"> zákona o oceňování majetku </w:t>
      </w:r>
      <w:r w:rsidR="000127B6" w:rsidRPr="00FE477E">
        <w:t xml:space="preserve">nevzniknou </w:t>
      </w:r>
      <w:r w:rsidR="00F42024">
        <w:t xml:space="preserve">ani </w:t>
      </w:r>
      <w:r w:rsidR="000127B6" w:rsidRPr="00FE477E">
        <w:t>žádn</w:t>
      </w:r>
      <w:r w:rsidR="00F42024">
        <w:t xml:space="preserve">é náklady, z toho důvodu není třeba řešit jejich </w:t>
      </w:r>
      <w:r w:rsidR="000127B6" w:rsidRPr="00FE477E">
        <w:t>kompenzace.</w:t>
      </w:r>
    </w:p>
    <w:p w:rsidR="000127B6" w:rsidRDefault="005B6BF5" w:rsidP="000127B6">
      <w:r>
        <w:t>Novela z</w:t>
      </w:r>
      <w:r w:rsidR="000127B6" w:rsidRPr="00FE477E">
        <w:t>ákon</w:t>
      </w:r>
      <w:r>
        <w:t>a</w:t>
      </w:r>
      <w:r w:rsidR="000127B6" w:rsidRPr="00FE477E">
        <w:t xml:space="preserve"> o oceňování majetku předpokládá s</w:t>
      </w:r>
      <w:r w:rsidR="00327E17">
        <w:t>nížení rizik špatného ocenění</w:t>
      </w:r>
      <w:r w:rsidR="00327E17">
        <w:br/>
      </w:r>
      <w:r>
        <w:t xml:space="preserve">s ohledem </w:t>
      </w:r>
      <w:r w:rsidR="00327E17">
        <w:t>k</w:t>
      </w:r>
      <w:r w:rsidR="000127B6" w:rsidRPr="00FE477E">
        <w:t> </w:t>
      </w:r>
      <w:r>
        <w:t>další</w:t>
      </w:r>
      <w:r w:rsidR="00327E17">
        <w:t>m</w:t>
      </w:r>
      <w:r w:rsidRPr="008F1690">
        <w:t xml:space="preserve"> </w:t>
      </w:r>
      <w:r w:rsidR="000127B6" w:rsidRPr="008F1690">
        <w:t xml:space="preserve">navrženým možnostem </w:t>
      </w:r>
      <w:r w:rsidR="00327E17">
        <w:t>i</w:t>
      </w:r>
      <w:r w:rsidR="00602349">
        <w:t xml:space="preserve"> úpravám některých </w:t>
      </w:r>
      <w:r w:rsidR="00F449CA">
        <w:t xml:space="preserve">jeho </w:t>
      </w:r>
      <w:r w:rsidR="00602349">
        <w:t>ustanovení</w:t>
      </w:r>
      <w:r w:rsidR="00327E17">
        <w:t>,</w:t>
      </w:r>
      <w:r w:rsidR="00F449CA">
        <w:t xml:space="preserve"> týkajících se oceňování</w:t>
      </w:r>
      <w:r w:rsidR="002A615A">
        <w:t>.</w:t>
      </w:r>
      <w:r w:rsidR="00602349">
        <w:t xml:space="preserve"> </w:t>
      </w:r>
    </w:p>
    <w:p w:rsidR="008F1690" w:rsidRDefault="008F1690" w:rsidP="000127B6"/>
    <w:p w:rsidR="000127B6" w:rsidRPr="008F1690" w:rsidRDefault="000127B6" w:rsidP="000127B6">
      <w:pPr>
        <w:rPr>
          <w:b/>
          <w:bCs/>
        </w:rPr>
      </w:pPr>
      <w:r w:rsidRPr="008F1690">
        <w:rPr>
          <w:b/>
          <w:bCs/>
        </w:rPr>
        <w:t xml:space="preserve">Ke stanovenému cíli </w:t>
      </w:r>
      <w:r w:rsidR="00BC4398" w:rsidRPr="008F1690">
        <w:rPr>
          <w:b/>
          <w:bCs/>
        </w:rPr>
        <w:t xml:space="preserve">vede varianta dvě, která </w:t>
      </w:r>
      <w:r w:rsidRPr="008F1690">
        <w:rPr>
          <w:b/>
          <w:bCs/>
        </w:rPr>
        <w:t>vycház</w:t>
      </w:r>
      <w:r w:rsidR="00BC4398" w:rsidRPr="008F1690">
        <w:rPr>
          <w:b/>
          <w:bCs/>
        </w:rPr>
        <w:t xml:space="preserve">í ze současné právní úpravy </w:t>
      </w:r>
      <w:r w:rsidR="00E91268">
        <w:rPr>
          <w:b/>
          <w:bCs/>
        </w:rPr>
        <w:br/>
      </w:r>
      <w:r w:rsidR="00BC4398" w:rsidRPr="008F1690">
        <w:rPr>
          <w:b/>
          <w:bCs/>
        </w:rPr>
        <w:t>a</w:t>
      </w:r>
      <w:r w:rsidRPr="008F1690">
        <w:rPr>
          <w:b/>
          <w:bCs/>
        </w:rPr>
        <w:t xml:space="preserve"> </w:t>
      </w:r>
      <w:r w:rsidR="00BC4398" w:rsidRPr="008F1690">
        <w:rPr>
          <w:b/>
          <w:bCs/>
        </w:rPr>
        <w:t xml:space="preserve">doplňuje </w:t>
      </w:r>
      <w:r w:rsidRPr="008F1690">
        <w:rPr>
          <w:b/>
          <w:bCs/>
        </w:rPr>
        <w:t>stávají</w:t>
      </w:r>
      <w:r w:rsidR="00BC4398" w:rsidRPr="008F1690">
        <w:rPr>
          <w:b/>
          <w:bCs/>
        </w:rPr>
        <w:t>cí předpis</w:t>
      </w:r>
      <w:r w:rsidR="00A3466C" w:rsidRPr="008F1690">
        <w:rPr>
          <w:b/>
          <w:bCs/>
        </w:rPr>
        <w:t>,</w:t>
      </w:r>
      <w:r w:rsidR="00BC4398" w:rsidRPr="008F1690">
        <w:rPr>
          <w:b/>
          <w:bCs/>
        </w:rPr>
        <w:t xml:space="preserve"> jak je výše </w:t>
      </w:r>
      <w:r w:rsidR="00B601EA" w:rsidRPr="008F1690">
        <w:rPr>
          <w:b/>
          <w:bCs/>
        </w:rPr>
        <w:t>(</w:t>
      </w:r>
      <w:r w:rsidR="00B601EA">
        <w:rPr>
          <w:b/>
          <w:bCs/>
        </w:rPr>
        <w:t xml:space="preserve">viz </w:t>
      </w:r>
      <w:r w:rsidR="00B601EA" w:rsidRPr="00B601EA">
        <w:rPr>
          <w:b/>
          <w:bCs/>
          <w:i/>
        </w:rPr>
        <w:t>varianta II</w:t>
      </w:r>
      <w:r w:rsidR="00B601EA" w:rsidRPr="008F1690">
        <w:rPr>
          <w:b/>
          <w:bCs/>
        </w:rPr>
        <w:t>)</w:t>
      </w:r>
      <w:r w:rsidR="00B601EA">
        <w:rPr>
          <w:b/>
          <w:bCs/>
        </w:rPr>
        <w:t xml:space="preserve"> </w:t>
      </w:r>
      <w:r w:rsidR="00BC4398" w:rsidRPr="008F1690">
        <w:rPr>
          <w:b/>
          <w:bCs/>
        </w:rPr>
        <w:t>uvedeno</w:t>
      </w:r>
      <w:r w:rsidRPr="008F1690">
        <w:rPr>
          <w:b/>
          <w:bCs/>
        </w:rPr>
        <w:t>.</w:t>
      </w:r>
    </w:p>
    <w:p w:rsidR="000127B6" w:rsidRPr="00FE477E" w:rsidRDefault="000127B6" w:rsidP="000127B6">
      <w:pPr>
        <w:rPr>
          <w:bCs/>
        </w:rPr>
      </w:pPr>
    </w:p>
    <w:p w:rsidR="000127B6" w:rsidRDefault="00F007AF" w:rsidP="000127B6">
      <w:pPr>
        <w:rPr>
          <w:bCs/>
        </w:rPr>
      </w:pPr>
      <w:r>
        <w:rPr>
          <w:bCs/>
        </w:rPr>
        <w:t xml:space="preserve">Cílem </w:t>
      </w:r>
      <w:r w:rsidR="000127B6" w:rsidRPr="001B4C52">
        <w:rPr>
          <w:b/>
          <w:bCs/>
          <w:i/>
        </w:rPr>
        <w:t>variant</w:t>
      </w:r>
      <w:r w:rsidRPr="001B4C52">
        <w:rPr>
          <w:b/>
          <w:bCs/>
          <w:i/>
        </w:rPr>
        <w:t>y II</w:t>
      </w:r>
      <w:r w:rsidR="006B4F6E">
        <w:rPr>
          <w:bCs/>
        </w:rPr>
        <w:t xml:space="preserve"> je rozšířit</w:t>
      </w:r>
      <w:r w:rsidR="00706306" w:rsidRPr="00706306">
        <w:rPr>
          <w:bCs/>
        </w:rPr>
        <w:t xml:space="preserve"> možnosti ocenění majetku</w:t>
      </w:r>
      <w:r w:rsidR="00706306">
        <w:rPr>
          <w:bCs/>
        </w:rPr>
        <w:t xml:space="preserve">, </w:t>
      </w:r>
      <w:r w:rsidR="006B4F6E">
        <w:t>doplnit a upravit</w:t>
      </w:r>
      <w:r w:rsidR="00706306">
        <w:t xml:space="preserve"> některé textové nejasnosti</w:t>
      </w:r>
      <w:r w:rsidR="00706306" w:rsidRPr="002507B8">
        <w:t xml:space="preserve"> </w:t>
      </w:r>
      <w:r w:rsidR="00706306" w:rsidRPr="00FE477E">
        <w:t>stávajícího zákona o oceňování</w:t>
      </w:r>
      <w:r w:rsidR="006B4F6E">
        <w:t xml:space="preserve"> majetku </w:t>
      </w:r>
      <w:r w:rsidR="006B4F6E" w:rsidRPr="00254CD0">
        <w:t>a</w:t>
      </w:r>
      <w:r w:rsidR="00706306" w:rsidRPr="00254CD0">
        <w:t xml:space="preserve"> </w:t>
      </w:r>
      <w:r w:rsidR="0042434B" w:rsidRPr="00254CD0">
        <w:rPr>
          <w:rFonts w:eastAsia="MS Mincho"/>
          <w:bCs/>
        </w:rPr>
        <w:t>zajistit soulad zákona o oceňování</w:t>
      </w:r>
      <w:r w:rsidR="00963E08" w:rsidRPr="00254CD0">
        <w:rPr>
          <w:rFonts w:eastAsia="MS Mincho"/>
          <w:bCs/>
        </w:rPr>
        <w:t xml:space="preserve"> majetku s aktuálním stavem</w:t>
      </w:r>
      <w:r w:rsidR="0042434B" w:rsidRPr="00254CD0">
        <w:rPr>
          <w:rFonts w:eastAsia="MS Mincho"/>
          <w:bCs/>
        </w:rPr>
        <w:t xml:space="preserve"> právního řádu</w:t>
      </w:r>
      <w:r w:rsidR="00D65480" w:rsidRPr="00254CD0">
        <w:rPr>
          <w:rFonts w:eastAsia="MS Mincho"/>
          <w:bCs/>
        </w:rPr>
        <w:t>,</w:t>
      </w:r>
      <w:r w:rsidR="0042434B" w:rsidRPr="00254CD0">
        <w:rPr>
          <w:rFonts w:eastAsia="MS Mincho"/>
          <w:bCs/>
        </w:rPr>
        <w:t xml:space="preserve"> </w:t>
      </w:r>
      <w:r w:rsidR="00963E08" w:rsidRPr="00254CD0">
        <w:rPr>
          <w:rFonts w:eastAsia="MS Mincho"/>
          <w:bCs/>
        </w:rPr>
        <w:t>týkající</w:t>
      </w:r>
      <w:r w:rsidR="002C780A" w:rsidRPr="00254CD0">
        <w:rPr>
          <w:rFonts w:eastAsia="MS Mincho"/>
          <w:bCs/>
        </w:rPr>
        <w:t>m</w:t>
      </w:r>
      <w:r w:rsidR="00963E08" w:rsidRPr="00254CD0">
        <w:rPr>
          <w:rFonts w:eastAsia="MS Mincho"/>
          <w:bCs/>
        </w:rPr>
        <w:t xml:space="preserve"> se</w:t>
      </w:r>
      <w:r w:rsidR="0042434B" w:rsidRPr="00254CD0">
        <w:rPr>
          <w:rFonts w:eastAsia="MS Mincho"/>
          <w:bCs/>
        </w:rPr>
        <w:t> oblasti oceňování</w:t>
      </w:r>
      <w:r w:rsidR="00963E08" w:rsidRPr="00254CD0">
        <w:rPr>
          <w:rFonts w:eastAsia="MS Mincho"/>
          <w:bCs/>
        </w:rPr>
        <w:t xml:space="preserve">, </w:t>
      </w:r>
      <w:r w:rsidR="006B4F6E">
        <w:t>a to</w:t>
      </w:r>
      <w:r w:rsidR="00706306">
        <w:t xml:space="preserve"> za účelem zlepšení srozumitelnosti a </w:t>
      </w:r>
      <w:r w:rsidR="00706306" w:rsidRPr="0022777E">
        <w:t xml:space="preserve">usnadnění </w:t>
      </w:r>
      <w:r w:rsidR="00706306">
        <w:t>orientace v</w:t>
      </w:r>
      <w:r w:rsidR="006B4F6E">
        <w:t> </w:t>
      </w:r>
      <w:r w:rsidR="00706306">
        <w:t>textu</w:t>
      </w:r>
      <w:r w:rsidR="006B4F6E">
        <w:t>.</w:t>
      </w:r>
      <w:r w:rsidR="00706306">
        <w:t xml:space="preserve"> </w:t>
      </w:r>
      <w:r w:rsidR="000127B6" w:rsidRPr="00FE477E">
        <w:rPr>
          <w:bCs/>
        </w:rPr>
        <w:t>Jiné prá</w:t>
      </w:r>
      <w:r w:rsidR="000D1E78">
        <w:rPr>
          <w:bCs/>
        </w:rPr>
        <w:t>vní předpisy, které na</w:t>
      </w:r>
      <w:r w:rsidR="000127B6" w:rsidRPr="00FE477E">
        <w:rPr>
          <w:bCs/>
        </w:rPr>
        <w:t xml:space="preserve"> zákon</w:t>
      </w:r>
      <w:r w:rsidR="00A67A82">
        <w:rPr>
          <w:bCs/>
        </w:rPr>
        <w:t xml:space="preserve"> o </w:t>
      </w:r>
      <w:r w:rsidR="000D1E78">
        <w:rPr>
          <w:bCs/>
        </w:rPr>
        <w:t>oceňování majetku</w:t>
      </w:r>
      <w:r w:rsidR="000127B6" w:rsidRPr="00FE477E">
        <w:rPr>
          <w:bCs/>
        </w:rPr>
        <w:t xml:space="preserve"> odkazují, </w:t>
      </w:r>
      <w:r w:rsidR="000127B6" w:rsidRPr="00F002FB">
        <w:rPr>
          <w:bCs/>
        </w:rPr>
        <w:t xml:space="preserve">popřípadě </w:t>
      </w:r>
      <w:r w:rsidR="00F46CC9" w:rsidRPr="00F002FB">
        <w:rPr>
          <w:bCs/>
        </w:rPr>
        <w:t xml:space="preserve">jej </w:t>
      </w:r>
      <w:r w:rsidR="000127B6" w:rsidRPr="00F002FB">
        <w:rPr>
          <w:bCs/>
        </w:rPr>
        <w:t>používaj</w:t>
      </w:r>
      <w:r w:rsidRPr="00F002FB">
        <w:rPr>
          <w:bCs/>
        </w:rPr>
        <w:t xml:space="preserve">í </w:t>
      </w:r>
      <w:r>
        <w:rPr>
          <w:bCs/>
        </w:rPr>
        <w:t>pro své potřeby ocenění, budou mít</w:t>
      </w:r>
      <w:r w:rsidR="00A67A82">
        <w:rPr>
          <w:bCs/>
        </w:rPr>
        <w:t xml:space="preserve"> na </w:t>
      </w:r>
      <w:r w:rsidR="000127B6" w:rsidRPr="00FE477E">
        <w:rPr>
          <w:bCs/>
        </w:rPr>
        <w:t>výběr</w:t>
      </w:r>
      <w:r w:rsidRPr="00F007AF">
        <w:rPr>
          <w:bCs/>
        </w:rPr>
        <w:t xml:space="preserve"> </w:t>
      </w:r>
      <w:r>
        <w:rPr>
          <w:bCs/>
        </w:rPr>
        <w:t>další možnost</w:t>
      </w:r>
      <w:r w:rsidR="000127B6" w:rsidRPr="00FE477E">
        <w:rPr>
          <w:bCs/>
        </w:rPr>
        <w:t xml:space="preserve"> </w:t>
      </w:r>
      <w:r w:rsidR="00F002FB">
        <w:rPr>
          <w:bCs/>
        </w:rPr>
        <w:t>volby odpovídajícího</w:t>
      </w:r>
      <w:r w:rsidR="00F002FB" w:rsidRPr="00F002FB">
        <w:rPr>
          <w:bCs/>
        </w:rPr>
        <w:t xml:space="preserve"> </w:t>
      </w:r>
      <w:r w:rsidR="00F002FB">
        <w:rPr>
          <w:bCs/>
        </w:rPr>
        <w:t>určení</w:t>
      </w:r>
      <w:r w:rsidR="00F002FB" w:rsidRPr="00FE477E">
        <w:rPr>
          <w:bCs/>
        </w:rPr>
        <w:t xml:space="preserve"> ceny</w:t>
      </w:r>
      <w:r w:rsidR="00F002FB">
        <w:rPr>
          <w:bCs/>
        </w:rPr>
        <w:t xml:space="preserve"> </w:t>
      </w:r>
      <w:r>
        <w:rPr>
          <w:bCs/>
        </w:rPr>
        <w:t>pro</w:t>
      </w:r>
      <w:r w:rsidR="000127B6" w:rsidRPr="00FE477E">
        <w:rPr>
          <w:bCs/>
        </w:rPr>
        <w:t xml:space="preserve"> </w:t>
      </w:r>
      <w:r w:rsidR="00F002FB">
        <w:rPr>
          <w:bCs/>
        </w:rPr>
        <w:t xml:space="preserve">transakce </w:t>
      </w:r>
      <w:r w:rsidR="00F002FB" w:rsidRPr="00FE477E">
        <w:rPr>
          <w:bCs/>
        </w:rPr>
        <w:t>na volném trhu</w:t>
      </w:r>
      <w:r w:rsidR="00F002FB">
        <w:rPr>
          <w:bCs/>
        </w:rPr>
        <w:t>.</w:t>
      </w:r>
      <w:r w:rsidR="00F002FB" w:rsidRPr="00FE477E">
        <w:rPr>
          <w:bCs/>
        </w:rPr>
        <w:t xml:space="preserve"> </w:t>
      </w:r>
    </w:p>
    <w:p w:rsidR="00F441D0" w:rsidRDefault="00F441D0" w:rsidP="000127B6">
      <w:pPr>
        <w:rPr>
          <w:bCs/>
        </w:rPr>
      </w:pPr>
    </w:p>
    <w:p w:rsidR="000127B6" w:rsidRPr="00A65C7A" w:rsidRDefault="000127B6" w:rsidP="006F69D0">
      <w:pPr>
        <w:pStyle w:val="Nadpis1"/>
        <w:numPr>
          <w:ilvl w:val="0"/>
          <w:numId w:val="7"/>
        </w:numPr>
      </w:pPr>
      <w:bookmarkStart w:id="10" w:name="_Toc403043691"/>
      <w:bookmarkStart w:id="11" w:name="_Toc406589421"/>
      <w:r w:rsidRPr="00A65C7A">
        <w:t>Vyhodnocení nákladů a přínosů</w:t>
      </w:r>
      <w:bookmarkEnd w:id="10"/>
      <w:bookmarkEnd w:id="11"/>
      <w:r w:rsidRPr="00A65C7A">
        <w:t xml:space="preserve"> </w:t>
      </w:r>
    </w:p>
    <w:p w:rsidR="00923C05" w:rsidRDefault="00923C05" w:rsidP="00923C05">
      <w:pPr>
        <w:pStyle w:val="Nadpis2"/>
        <w:numPr>
          <w:ilvl w:val="1"/>
          <w:numId w:val="7"/>
        </w:numPr>
        <w:ind w:left="860"/>
      </w:pPr>
      <w:r>
        <w:t xml:space="preserve">Identifikace nákladů a přínosů </w:t>
      </w:r>
    </w:p>
    <w:p w:rsidR="00923C05" w:rsidRDefault="00923C05" w:rsidP="00923C05">
      <w:r>
        <w:t>S existencí a samotným používáním této právní normy nejsou spojeny žádné náklady ani</w:t>
      </w:r>
      <w:r w:rsidRPr="00227B7C">
        <w:t xml:space="preserve"> </w:t>
      </w:r>
      <w:r>
        <w:t xml:space="preserve">výnosy. Jedná se o technickou normu, která pouze stanoví postupy oceňování majetku </w:t>
      </w:r>
      <w:r>
        <w:lastRenderedPageBreak/>
        <w:t>a služeb ve vazbě na stav trhu.</w:t>
      </w:r>
      <w:r w:rsidRPr="001C6AB6">
        <w:t xml:space="preserve"> </w:t>
      </w:r>
      <w:r>
        <w:t>Náklady a výnosy proto nelze identifikovat,</w:t>
      </w:r>
      <w:r w:rsidRPr="00967212">
        <w:t xml:space="preserve"> </w:t>
      </w:r>
      <w:r>
        <w:t xml:space="preserve">ani vyčíslit, a ze stejného důvodu nelze hodnotit nákladovou a výnosovou stránku variant. </w:t>
      </w:r>
    </w:p>
    <w:p w:rsidR="007D4C32" w:rsidRPr="00BF41BF" w:rsidRDefault="007D4C32" w:rsidP="007D4C32">
      <w:r w:rsidRPr="00BF41BF">
        <w:t>Stanovit a hodnotit přínosy navrhované novely zákona o oceňování majetku lze pouze na základě jejího posouzení z hlediska využitelnosti, pracovní a časové náročnosti, případ</w:t>
      </w:r>
      <w:r w:rsidR="009B1FAA">
        <w:t>ně výhod, nevýhod, či rizik s novelou</w:t>
      </w:r>
      <w:r w:rsidR="009B1FAA" w:rsidRPr="00BF41BF">
        <w:t xml:space="preserve"> zákona o oceňování majetku</w:t>
      </w:r>
      <w:r w:rsidRPr="00BF41BF">
        <w:t xml:space="preserve"> spojených, v porovnání se stávající platnou a účinnou verzí zákona o oceňování majetku. </w:t>
      </w:r>
    </w:p>
    <w:p w:rsidR="007D4C32" w:rsidRPr="00BF41BF" w:rsidRDefault="007D4C32" w:rsidP="007D4C32">
      <w:r w:rsidRPr="00BF41BF">
        <w:t xml:space="preserve">Z výše uvedených důvodů a vzhledem k tomu, že k hodnocení jsou nabízeny pouze </w:t>
      </w:r>
      <w:r w:rsidR="00E91268">
        <w:br/>
      </w:r>
      <w:r w:rsidRPr="00BF41BF">
        <w:t xml:space="preserve">dvě varianty je možno, pro účely stanovení přínosů navrhované novely zákona o oceňování, využít především slovní hodnocení zvolených kritérií, snadno převoditelné na hodnocení bodové, po přidělení odlišného (rostoucího či klesajícího) počtu bodů každé stanovené kvalitativní úrovni. </w:t>
      </w:r>
    </w:p>
    <w:p w:rsidR="007D4C32" w:rsidRPr="00BF41BF" w:rsidRDefault="005D5824" w:rsidP="007D4C32">
      <w:r>
        <w:t>Byla proto zvolena m</w:t>
      </w:r>
      <w:r w:rsidR="007D4C32" w:rsidRPr="00BF41BF">
        <w:t>ultikriteriální analýza, která se svým pojetím subjektivního hodnocení blíží sl</w:t>
      </w:r>
      <w:r w:rsidR="00ED6951">
        <w:t>ovnímu hodnocení. V daném případě je využita</w:t>
      </w:r>
      <w:r w:rsidR="000F51C8">
        <w:t xml:space="preserve"> kombinace</w:t>
      </w:r>
      <w:r w:rsidR="007D4C32" w:rsidRPr="00BF41BF">
        <w:t xml:space="preserve"> slovně a číselně (bodově) vyjádřeného hodnocení. Pro vyhodnocení přínosů jednotlivých variant byly stanoveny 2 skupiny základních hodnotících kritérií, na jejichž základě pak probíhalo vlastní subjektivní ohodnocení a výběr nejvhodnější varianty. </w:t>
      </w:r>
    </w:p>
    <w:p w:rsidR="009F51A8" w:rsidRPr="00BF41BF" w:rsidRDefault="007D4C32" w:rsidP="0071257A">
      <w:r w:rsidRPr="00BF41BF">
        <w:t xml:space="preserve">Vlastní ohodnocení bylo, za každou skupinu hodnocených kritérií pro dané varianty </w:t>
      </w:r>
      <w:r w:rsidR="00E91268">
        <w:br/>
      </w:r>
      <w:r w:rsidRPr="00BF41BF">
        <w:t xml:space="preserve">či prvky vybrané k posouzení, zaneseno do samostatné tabulky. Údaje z tabulek pak byly následně graficky zobrazeny v příslušných diagramech. </w:t>
      </w:r>
    </w:p>
    <w:p w:rsidR="009F51A8" w:rsidRPr="004E7163" w:rsidRDefault="009F51A8" w:rsidP="009F51A8">
      <w:r w:rsidRPr="004E7163">
        <w:t>V případě „Hodnocení aplikovatel</w:t>
      </w:r>
      <w:r>
        <w:t>nosti předpisu“ (viz Tabulka a D</w:t>
      </w:r>
      <w:r w:rsidRPr="004E7163">
        <w:t xml:space="preserve">iagram č. 2) bylo, k subjektivnímu posouzení variant, za účelem vyjádření kvalitativní úrovně hodnoty tohoto kritéria v konkrétních případech, využito pěti kvalitativně odlišných slovních popisů, jimž pro následné grafické vyjádření byly přiřazeny body od 0 do 4. Kvalitativní stupně byly obodovány dle dosažené kvalitativní úrovně. Nejnižší kvalitativní úrovni, vyjadřující, </w:t>
      </w:r>
      <w:r w:rsidR="00E91268">
        <w:br/>
      </w:r>
      <w:r w:rsidRPr="004E7163">
        <w:t>že předpis nebo jeho část nelze hodnotit či použít k ocenění, je přiřazena bodová hodnota 0, a nejvyšší kvalitativní úrovni, poskytu</w:t>
      </w:r>
      <w:r>
        <w:t>jící vynikající možnost využití</w:t>
      </w:r>
      <w:r w:rsidRPr="004E7163">
        <w:t xml:space="preserve"> předpisu nebo jeho části k ocenění, pak hodnota 4 bodů. </w:t>
      </w:r>
    </w:p>
    <w:p w:rsidR="009F51A8" w:rsidRPr="00BF41BF" w:rsidRDefault="007D4C32" w:rsidP="0071257A">
      <w:r w:rsidRPr="00BF41BF">
        <w:t>Varianta s n</w:t>
      </w:r>
      <w:r w:rsidR="00672092">
        <w:t>ejnižší</w:t>
      </w:r>
      <w:r w:rsidR="00D73473">
        <w:t>m celkovým počtem</w:t>
      </w:r>
      <w:r w:rsidR="004E7163">
        <w:t xml:space="preserve"> bodů</w:t>
      </w:r>
      <w:r w:rsidRPr="00BF41BF">
        <w:t xml:space="preserve"> pak je hodnocena jako nejméně vyhovující.</w:t>
      </w:r>
    </w:p>
    <w:p w:rsidR="009F51A8" w:rsidRPr="00BF41BF" w:rsidRDefault="009F51A8" w:rsidP="009F51A8">
      <w:r w:rsidRPr="00BF41BF">
        <w:t>K subjektivnímu posouzení variant u kritéria „</w:t>
      </w:r>
      <w:r w:rsidRPr="004533FC">
        <w:t>přehlednost a orientace v předpise“</w:t>
      </w:r>
      <w:r w:rsidRPr="00BF41BF">
        <w:t xml:space="preserve"> </w:t>
      </w:r>
      <w:r w:rsidR="00E91268">
        <w:br/>
      </w:r>
      <w:r>
        <w:t xml:space="preserve">(viz Tabulka a Diagram č. 3) </w:t>
      </w:r>
      <w:r w:rsidRPr="00BF41BF">
        <w:t>bylo využito pětistupňové kva</w:t>
      </w:r>
      <w:r>
        <w:t xml:space="preserve">litativní slovní hodnocení, </w:t>
      </w:r>
      <w:r w:rsidR="00E91268">
        <w:br/>
      </w:r>
      <w:r>
        <w:t>ale</w:t>
      </w:r>
      <w:r w:rsidRPr="00BF41BF">
        <w:t xml:space="preserve"> pro následné grafické vyjádření byly jednotlivým stupňům přiřazeny body. Obodování kvalitativních stupňů vychází z dosažené kvalitativní úrovně, počínaje nejnižší úrovní, </w:t>
      </w:r>
      <w:r w:rsidR="00E91268">
        <w:br/>
      </w:r>
      <w:r w:rsidRPr="00BF41BF">
        <w:t xml:space="preserve">kdy nelze přehlednost a orientaci v předpise či jeho části hodnotit, té je přiřazena bodová hodnota 0, a konče nejvyšší kvalitativní úrovní, danou výbornou přehledností a snadnou orientací v předpise či jeho části, jíž je přiřazena bodová hodnota 4.  </w:t>
      </w:r>
    </w:p>
    <w:p w:rsidR="007D4C32" w:rsidRPr="004E7163" w:rsidRDefault="007D4C32" w:rsidP="007D4C32">
      <w:r w:rsidRPr="004E7163">
        <w:t>Stejně jako v předchozím případě je jako nejméně vyhovujíc</w:t>
      </w:r>
      <w:r w:rsidR="007A52FB">
        <w:t>í hodnocena varianta s nejnižší</w:t>
      </w:r>
      <w:r w:rsidRPr="004E7163">
        <w:t xml:space="preserve"> celkovou hodnotou bodů. </w:t>
      </w:r>
    </w:p>
    <w:p w:rsidR="00923C05" w:rsidRDefault="00923C05" w:rsidP="00923C05">
      <w:pPr>
        <w:rPr>
          <w:highlight w:val="yellow"/>
        </w:rPr>
      </w:pPr>
    </w:p>
    <w:p w:rsidR="00267B8F" w:rsidRPr="004E7163" w:rsidRDefault="00267B8F" w:rsidP="0071257A">
      <w:pPr>
        <w:ind w:firstLine="0"/>
        <w:rPr>
          <w:highlight w:val="yellow"/>
        </w:rPr>
      </w:pPr>
    </w:p>
    <w:p w:rsidR="00923C05" w:rsidRPr="000E2855" w:rsidRDefault="00923C05" w:rsidP="00923C05">
      <w:pPr>
        <w:spacing w:after="0" w:line="240" w:lineRule="auto"/>
        <w:rPr>
          <w:rFonts w:ascii="Calibri" w:hAnsi="Calibri"/>
          <w:b/>
          <w:bCs/>
          <w:color w:val="000000"/>
          <w:sz w:val="40"/>
          <w:szCs w:val="32"/>
        </w:rPr>
      </w:pPr>
      <w:r w:rsidRPr="000E2855">
        <w:rPr>
          <w:rFonts w:ascii="Calibri" w:hAnsi="Calibri"/>
          <w:b/>
          <w:bCs/>
          <w:color w:val="000000"/>
          <w:sz w:val="40"/>
          <w:szCs w:val="32"/>
        </w:rPr>
        <w:lastRenderedPageBreak/>
        <w:t xml:space="preserve">Tabulky a </w:t>
      </w:r>
      <w:r w:rsidR="001C288B">
        <w:rPr>
          <w:rFonts w:ascii="Calibri" w:hAnsi="Calibri"/>
          <w:b/>
          <w:bCs/>
          <w:color w:val="000000"/>
          <w:sz w:val="40"/>
          <w:szCs w:val="32"/>
        </w:rPr>
        <w:t>diagram</w:t>
      </w:r>
      <w:r w:rsidRPr="000E2855">
        <w:rPr>
          <w:rFonts w:ascii="Calibri" w:hAnsi="Calibri"/>
          <w:b/>
          <w:bCs/>
          <w:color w:val="000000"/>
          <w:sz w:val="40"/>
          <w:szCs w:val="32"/>
        </w:rPr>
        <w:t>y</w:t>
      </w:r>
    </w:p>
    <w:p w:rsidR="00923C05" w:rsidRDefault="00923C05" w:rsidP="00923C05">
      <w:pPr>
        <w:spacing w:after="0" w:line="252" w:lineRule="auto"/>
        <w:rPr>
          <w:sz w:val="16"/>
          <w:szCs w:val="16"/>
        </w:rPr>
      </w:pPr>
    </w:p>
    <w:p w:rsidR="00BA1429" w:rsidRDefault="00BA1429" w:rsidP="00923C05">
      <w:pPr>
        <w:spacing w:after="0" w:line="252" w:lineRule="auto"/>
        <w:rPr>
          <w:sz w:val="16"/>
          <w:szCs w:val="16"/>
        </w:rPr>
      </w:pPr>
    </w:p>
    <w:p w:rsidR="00BA1429" w:rsidRPr="00920E47" w:rsidRDefault="00BA1429" w:rsidP="00BA1429">
      <w:pPr>
        <w:spacing w:after="0" w:line="252" w:lineRule="auto"/>
        <w:ind w:left="1446" w:hanging="1446"/>
      </w:pPr>
      <w:r w:rsidRPr="00920E47">
        <w:rPr>
          <w:b/>
        </w:rPr>
        <w:t>Tabulka č. </w:t>
      </w:r>
      <w:r>
        <w:rPr>
          <w:b/>
        </w:rPr>
        <w:t>2</w:t>
      </w:r>
      <w:r w:rsidRPr="00920E47">
        <w:rPr>
          <w:b/>
        </w:rPr>
        <w:t>:</w:t>
      </w:r>
      <w:r w:rsidRPr="00920E47">
        <w:t xml:space="preserve"> Hodnocení aplikovatelnosti </w:t>
      </w:r>
      <w:r w:rsidRPr="0079447B">
        <w:t>vybraných částí posuzovaných předpisů</w:t>
      </w:r>
    </w:p>
    <w:p w:rsidR="00BA1429" w:rsidRDefault="00BA1429" w:rsidP="00BA1429">
      <w:pPr>
        <w:spacing w:after="0" w:line="252" w:lineRule="auto"/>
        <w:ind w:firstLine="0"/>
        <w:rPr>
          <w:sz w:val="16"/>
          <w:szCs w:val="16"/>
        </w:rPr>
      </w:pPr>
      <w:r>
        <w:rPr>
          <w:noProof/>
        </w:rPr>
        <w:drawing>
          <wp:inline distT="0" distB="0" distL="0" distR="0" wp14:anchorId="156D7E72" wp14:editId="24988C6B">
            <wp:extent cx="5760720" cy="86539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1B" w:rsidRDefault="00F5261B" w:rsidP="00F5261B">
      <w:pPr>
        <w:spacing w:before="0" w:after="0" w:line="252" w:lineRule="auto"/>
        <w:ind w:left="142" w:firstLine="0"/>
        <w:rPr>
          <w:sz w:val="16"/>
          <w:szCs w:val="16"/>
        </w:rPr>
      </w:pPr>
    </w:p>
    <w:p w:rsidR="00BA1429" w:rsidRPr="000843BF" w:rsidRDefault="00F5261B" w:rsidP="00C96621">
      <w:pPr>
        <w:spacing w:before="0" w:after="0" w:line="252" w:lineRule="auto"/>
        <w:ind w:left="708" w:firstLine="0"/>
        <w:rPr>
          <w:sz w:val="20"/>
          <w:szCs w:val="20"/>
        </w:rPr>
      </w:pPr>
      <w:r w:rsidRPr="000843BF">
        <w:rPr>
          <w:sz w:val="20"/>
          <w:szCs w:val="20"/>
        </w:rPr>
        <w:t>0</w:t>
      </w:r>
      <w:r w:rsidR="00AF6C6F" w:rsidRPr="000843BF">
        <w:rPr>
          <w:sz w:val="20"/>
          <w:szCs w:val="20"/>
        </w:rPr>
        <w:t xml:space="preserve"> bodů - nelze použít (ocenit)</w:t>
      </w:r>
    </w:p>
    <w:p w:rsidR="00F5261B" w:rsidRPr="000843BF" w:rsidRDefault="00F5261B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0843BF">
        <w:rPr>
          <w:sz w:val="20"/>
          <w:szCs w:val="20"/>
        </w:rPr>
        <w:t xml:space="preserve">1 bod </w:t>
      </w:r>
      <w:r w:rsidR="0082476F" w:rsidRPr="000843BF">
        <w:rPr>
          <w:sz w:val="20"/>
          <w:szCs w:val="20"/>
        </w:rPr>
        <w:t xml:space="preserve">  </w:t>
      </w:r>
      <w:r w:rsidR="00096FCC" w:rsidRPr="000843BF">
        <w:rPr>
          <w:sz w:val="20"/>
          <w:szCs w:val="20"/>
        </w:rPr>
        <w:t>-</w:t>
      </w:r>
      <w:r w:rsidRPr="000843BF">
        <w:rPr>
          <w:sz w:val="20"/>
          <w:szCs w:val="20"/>
        </w:rPr>
        <w:t xml:space="preserve"> </w:t>
      </w:r>
      <w:r w:rsidR="001C28F6" w:rsidRPr="000843BF">
        <w:rPr>
          <w:sz w:val="20"/>
          <w:szCs w:val="20"/>
        </w:rPr>
        <w:t>obtížně (málo) použitelné</w:t>
      </w:r>
      <w:r w:rsidR="00AF6C6F" w:rsidRPr="000843BF">
        <w:rPr>
          <w:sz w:val="20"/>
          <w:szCs w:val="20"/>
        </w:rPr>
        <w:t xml:space="preserve"> a málo využitelné</w:t>
      </w:r>
    </w:p>
    <w:p w:rsidR="00F5261B" w:rsidRPr="000843BF" w:rsidRDefault="00AF6C6F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0843BF">
        <w:rPr>
          <w:sz w:val="20"/>
          <w:szCs w:val="20"/>
        </w:rPr>
        <w:t xml:space="preserve">2 body - dobrá použitelnost (aplikovatelnost </w:t>
      </w:r>
      <w:r w:rsidR="00226DA7" w:rsidRPr="000843BF">
        <w:rPr>
          <w:sz w:val="20"/>
          <w:szCs w:val="20"/>
        </w:rPr>
        <w:t xml:space="preserve">na </w:t>
      </w:r>
      <w:r w:rsidRPr="000843BF">
        <w:rPr>
          <w:sz w:val="20"/>
          <w:szCs w:val="20"/>
        </w:rPr>
        <w:t>ocenění)</w:t>
      </w:r>
    </w:p>
    <w:p w:rsidR="00F5261B" w:rsidRPr="000843BF" w:rsidRDefault="00F5261B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0843BF">
        <w:rPr>
          <w:sz w:val="20"/>
          <w:szCs w:val="20"/>
        </w:rPr>
        <w:t xml:space="preserve">3 body </w:t>
      </w:r>
      <w:r w:rsidR="009A48E1" w:rsidRPr="000843BF">
        <w:rPr>
          <w:sz w:val="20"/>
          <w:szCs w:val="20"/>
        </w:rPr>
        <w:t>-</w:t>
      </w:r>
      <w:r w:rsidRPr="000843BF">
        <w:rPr>
          <w:sz w:val="20"/>
          <w:szCs w:val="20"/>
        </w:rPr>
        <w:t xml:space="preserve"> vel</w:t>
      </w:r>
      <w:r w:rsidR="00AF6C6F" w:rsidRPr="000843BF">
        <w:rPr>
          <w:sz w:val="20"/>
          <w:szCs w:val="20"/>
        </w:rPr>
        <w:t xml:space="preserve">mi dobrá použitelnost (proveditelnost ocenění) </w:t>
      </w:r>
    </w:p>
    <w:p w:rsidR="00F5261B" w:rsidRPr="000843BF" w:rsidRDefault="009A48E1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0843BF">
        <w:rPr>
          <w:sz w:val="20"/>
          <w:szCs w:val="20"/>
        </w:rPr>
        <w:t>4 body -</w:t>
      </w:r>
      <w:r w:rsidR="00F5261B" w:rsidRPr="000843BF">
        <w:rPr>
          <w:sz w:val="20"/>
          <w:szCs w:val="20"/>
        </w:rPr>
        <w:t xml:space="preserve"> výborná </w:t>
      </w:r>
      <w:r w:rsidR="00AF6C6F" w:rsidRPr="000843BF">
        <w:rPr>
          <w:sz w:val="20"/>
          <w:szCs w:val="20"/>
        </w:rPr>
        <w:t>použitelnost (proveditelnost ocenění)</w:t>
      </w:r>
    </w:p>
    <w:p w:rsidR="00F5261B" w:rsidRPr="000843BF" w:rsidRDefault="00F5261B" w:rsidP="00F5261B">
      <w:pPr>
        <w:spacing w:after="0" w:line="240" w:lineRule="auto"/>
        <w:ind w:firstLine="0"/>
        <w:rPr>
          <w:sz w:val="20"/>
          <w:szCs w:val="20"/>
        </w:rPr>
      </w:pPr>
    </w:p>
    <w:p w:rsidR="00F5261B" w:rsidRDefault="00F5261B" w:rsidP="00F5261B">
      <w:pPr>
        <w:spacing w:after="0" w:line="240" w:lineRule="auto"/>
        <w:ind w:firstLine="0"/>
        <w:rPr>
          <w:sz w:val="16"/>
          <w:szCs w:val="16"/>
        </w:rPr>
      </w:pPr>
    </w:p>
    <w:p w:rsidR="00F5261B" w:rsidRDefault="00F5261B" w:rsidP="00F5261B">
      <w:pPr>
        <w:spacing w:after="0" w:line="240" w:lineRule="auto"/>
        <w:ind w:firstLine="0"/>
        <w:rPr>
          <w:sz w:val="16"/>
          <w:szCs w:val="16"/>
        </w:rPr>
      </w:pPr>
    </w:p>
    <w:p w:rsidR="00BA1429" w:rsidRPr="0056750E" w:rsidRDefault="00BA1429" w:rsidP="00BA1429">
      <w:pPr>
        <w:spacing w:after="0" w:line="252" w:lineRule="auto"/>
        <w:ind w:left="1446" w:hanging="1446"/>
        <w:rPr>
          <w:szCs w:val="16"/>
        </w:rPr>
      </w:pPr>
      <w:r>
        <w:rPr>
          <w:b/>
          <w:szCs w:val="16"/>
        </w:rPr>
        <w:t>Diagram</w:t>
      </w:r>
      <w:r w:rsidRPr="0056750E">
        <w:rPr>
          <w:b/>
          <w:szCs w:val="16"/>
        </w:rPr>
        <w:t xml:space="preserve"> č.</w:t>
      </w:r>
      <w:r>
        <w:rPr>
          <w:b/>
          <w:szCs w:val="16"/>
        </w:rPr>
        <w:t> 2</w:t>
      </w:r>
      <w:r w:rsidRPr="0056750E">
        <w:rPr>
          <w:b/>
          <w:szCs w:val="16"/>
        </w:rPr>
        <w:t>:</w:t>
      </w:r>
      <w:r w:rsidRPr="0056750E">
        <w:rPr>
          <w:szCs w:val="16"/>
        </w:rPr>
        <w:t xml:space="preserve"> </w:t>
      </w:r>
      <w:r w:rsidRPr="00920E47">
        <w:t xml:space="preserve">Hodnocení aplikovatelnosti </w:t>
      </w:r>
      <w:r w:rsidRPr="0079447B">
        <w:t>vybraných částí posuzovaných předpisů</w:t>
      </w:r>
    </w:p>
    <w:p w:rsidR="00BA1429" w:rsidRDefault="00BA1429" w:rsidP="00BA1429">
      <w:pPr>
        <w:spacing w:after="0" w:line="252" w:lineRule="auto"/>
        <w:ind w:firstLine="0"/>
        <w:rPr>
          <w:sz w:val="16"/>
          <w:szCs w:val="16"/>
        </w:rPr>
      </w:pPr>
      <w:r>
        <w:rPr>
          <w:noProof/>
        </w:rPr>
        <w:drawing>
          <wp:inline distT="0" distB="0" distL="0" distR="0" wp14:anchorId="0B4FB6C5" wp14:editId="0C236B80">
            <wp:extent cx="5760720" cy="3900092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29" w:rsidRDefault="00BA1429" w:rsidP="00BA1429">
      <w:pPr>
        <w:spacing w:after="0" w:line="252" w:lineRule="auto"/>
        <w:ind w:firstLine="0"/>
        <w:rPr>
          <w:sz w:val="16"/>
          <w:szCs w:val="16"/>
        </w:rPr>
      </w:pPr>
    </w:p>
    <w:p w:rsidR="00BA1429" w:rsidRDefault="00BA1429" w:rsidP="00BA1429">
      <w:pPr>
        <w:spacing w:after="0" w:line="252" w:lineRule="auto"/>
        <w:ind w:left="1446" w:hanging="1446"/>
      </w:pPr>
    </w:p>
    <w:p w:rsidR="00F5261B" w:rsidRDefault="00F5261B" w:rsidP="00BA1429">
      <w:pPr>
        <w:spacing w:after="0" w:line="252" w:lineRule="auto"/>
        <w:ind w:left="1446" w:hanging="1446"/>
      </w:pPr>
    </w:p>
    <w:p w:rsidR="00F5261B" w:rsidRDefault="00F5261B" w:rsidP="00BA1429">
      <w:pPr>
        <w:spacing w:after="0" w:line="252" w:lineRule="auto"/>
        <w:ind w:left="1446" w:hanging="1446"/>
      </w:pPr>
    </w:p>
    <w:p w:rsidR="00F5261B" w:rsidRPr="00EB5893" w:rsidRDefault="00F5261B" w:rsidP="00BA1429">
      <w:pPr>
        <w:spacing w:after="0" w:line="252" w:lineRule="auto"/>
        <w:ind w:left="1446" w:hanging="1446"/>
      </w:pPr>
    </w:p>
    <w:p w:rsidR="00BA1429" w:rsidRDefault="00BA1429" w:rsidP="00BA1429">
      <w:pPr>
        <w:spacing w:after="0" w:line="252" w:lineRule="auto"/>
        <w:ind w:left="1446" w:hanging="1446"/>
      </w:pPr>
      <w:r w:rsidRPr="00920E47">
        <w:rPr>
          <w:b/>
        </w:rPr>
        <w:lastRenderedPageBreak/>
        <w:t>Tabulka č. </w:t>
      </w:r>
      <w:r>
        <w:rPr>
          <w:b/>
        </w:rPr>
        <w:t>3</w:t>
      </w:r>
      <w:r w:rsidRPr="00920E47">
        <w:rPr>
          <w:b/>
        </w:rPr>
        <w:t>:</w:t>
      </w:r>
      <w:r>
        <w:t xml:space="preserve"> H</w:t>
      </w:r>
      <w:r w:rsidRPr="00EB5893">
        <w:t>odnocení přehlednosti a orientace u</w:t>
      </w:r>
      <w:r>
        <w:t> </w:t>
      </w:r>
      <w:r w:rsidRPr="00EB5893">
        <w:t>vybraných částí posuzovaných předpisů</w:t>
      </w:r>
    </w:p>
    <w:p w:rsidR="00BA1429" w:rsidRPr="00920E47" w:rsidRDefault="00BA1429" w:rsidP="00BA1429">
      <w:pPr>
        <w:spacing w:after="0" w:line="252" w:lineRule="auto"/>
        <w:ind w:left="1446" w:hanging="1446"/>
      </w:pPr>
      <w:r>
        <w:rPr>
          <w:noProof/>
        </w:rPr>
        <w:drawing>
          <wp:inline distT="0" distB="0" distL="0" distR="0" wp14:anchorId="45DFCF5D" wp14:editId="3622EFAA">
            <wp:extent cx="5760720" cy="84640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604" w:rsidRDefault="000F0604" w:rsidP="00F5261B">
      <w:pPr>
        <w:spacing w:before="0" w:after="0" w:line="252" w:lineRule="auto"/>
        <w:ind w:left="142" w:firstLine="0"/>
        <w:rPr>
          <w:sz w:val="16"/>
          <w:szCs w:val="16"/>
        </w:rPr>
      </w:pPr>
    </w:p>
    <w:p w:rsidR="00F5261B" w:rsidRPr="003605CD" w:rsidRDefault="00F5261B" w:rsidP="00C96621">
      <w:pPr>
        <w:spacing w:before="0" w:after="0" w:line="252" w:lineRule="auto"/>
        <w:ind w:left="708" w:firstLine="0"/>
        <w:rPr>
          <w:sz w:val="20"/>
          <w:szCs w:val="20"/>
        </w:rPr>
      </w:pPr>
      <w:r w:rsidRPr="003605CD">
        <w:rPr>
          <w:sz w:val="20"/>
          <w:szCs w:val="20"/>
        </w:rPr>
        <w:t>0 bodů - přehlednost a orientaci nelze hodnotit</w:t>
      </w:r>
    </w:p>
    <w:p w:rsidR="00F5261B" w:rsidRPr="003605CD" w:rsidRDefault="00F5261B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3605CD">
        <w:rPr>
          <w:sz w:val="20"/>
          <w:szCs w:val="20"/>
        </w:rPr>
        <w:t>1 bod</w:t>
      </w:r>
      <w:r w:rsidR="005E069A" w:rsidRPr="003605CD">
        <w:rPr>
          <w:sz w:val="20"/>
          <w:szCs w:val="20"/>
        </w:rPr>
        <w:t xml:space="preserve"> </w:t>
      </w:r>
      <w:r w:rsidR="003B178E" w:rsidRPr="003605CD">
        <w:rPr>
          <w:sz w:val="20"/>
          <w:szCs w:val="20"/>
        </w:rPr>
        <w:t xml:space="preserve"> </w:t>
      </w:r>
      <w:r w:rsidRPr="003605CD">
        <w:rPr>
          <w:sz w:val="20"/>
          <w:szCs w:val="20"/>
        </w:rPr>
        <w:t xml:space="preserve"> - malá přehlednost a obtížná orientace</w:t>
      </w:r>
    </w:p>
    <w:p w:rsidR="00F5261B" w:rsidRPr="003605CD" w:rsidRDefault="00F5261B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3605CD">
        <w:rPr>
          <w:sz w:val="20"/>
          <w:szCs w:val="20"/>
        </w:rPr>
        <w:t>2 body - dobrá přehlednost a orientace</w:t>
      </w:r>
    </w:p>
    <w:p w:rsidR="00F5261B" w:rsidRPr="003605CD" w:rsidRDefault="009A48E1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3605CD">
        <w:rPr>
          <w:sz w:val="20"/>
          <w:szCs w:val="20"/>
        </w:rPr>
        <w:t>3 body -</w:t>
      </w:r>
      <w:r w:rsidR="00F5261B" w:rsidRPr="003605CD">
        <w:rPr>
          <w:sz w:val="20"/>
          <w:szCs w:val="20"/>
        </w:rPr>
        <w:t xml:space="preserve"> velmi dobrá přehlednost a orientace</w:t>
      </w:r>
    </w:p>
    <w:p w:rsidR="00F5261B" w:rsidRPr="003605CD" w:rsidRDefault="009A48E1" w:rsidP="00C96621">
      <w:pPr>
        <w:spacing w:before="0" w:after="0" w:line="240" w:lineRule="auto"/>
        <w:ind w:left="708" w:firstLine="0"/>
        <w:rPr>
          <w:sz w:val="20"/>
          <w:szCs w:val="20"/>
        </w:rPr>
      </w:pPr>
      <w:r w:rsidRPr="003605CD">
        <w:rPr>
          <w:sz w:val="20"/>
          <w:szCs w:val="20"/>
        </w:rPr>
        <w:t>4 body -</w:t>
      </w:r>
      <w:r w:rsidR="00F5261B" w:rsidRPr="003605CD">
        <w:rPr>
          <w:sz w:val="20"/>
          <w:szCs w:val="20"/>
        </w:rPr>
        <w:t xml:space="preserve"> výborná přehlednost a</w:t>
      </w:r>
      <w:r w:rsidR="00B75646" w:rsidRPr="003605CD">
        <w:rPr>
          <w:sz w:val="20"/>
          <w:szCs w:val="20"/>
        </w:rPr>
        <w:t xml:space="preserve"> snadná</w:t>
      </w:r>
      <w:r w:rsidR="00F5261B" w:rsidRPr="003605CD">
        <w:rPr>
          <w:sz w:val="20"/>
          <w:szCs w:val="20"/>
        </w:rPr>
        <w:t xml:space="preserve"> orientace</w:t>
      </w:r>
    </w:p>
    <w:p w:rsidR="00BA1429" w:rsidRDefault="00BA1429" w:rsidP="00BA1429">
      <w:pPr>
        <w:spacing w:after="0" w:line="252" w:lineRule="auto"/>
        <w:ind w:firstLine="0"/>
        <w:rPr>
          <w:sz w:val="16"/>
          <w:szCs w:val="16"/>
        </w:rPr>
      </w:pPr>
    </w:p>
    <w:p w:rsidR="004E7163" w:rsidRDefault="004E7163" w:rsidP="00BA1429">
      <w:pPr>
        <w:spacing w:after="0" w:line="252" w:lineRule="auto"/>
        <w:ind w:firstLine="0"/>
        <w:rPr>
          <w:sz w:val="16"/>
          <w:szCs w:val="16"/>
        </w:rPr>
      </w:pPr>
    </w:p>
    <w:p w:rsidR="00BA1429" w:rsidRPr="0056750E" w:rsidRDefault="00BA1429" w:rsidP="00BA1429">
      <w:pPr>
        <w:spacing w:after="0" w:line="252" w:lineRule="auto"/>
        <w:ind w:left="1446" w:hanging="1446"/>
        <w:rPr>
          <w:szCs w:val="16"/>
        </w:rPr>
      </w:pPr>
      <w:r>
        <w:rPr>
          <w:b/>
          <w:szCs w:val="16"/>
        </w:rPr>
        <w:t>Diagram</w:t>
      </w:r>
      <w:r w:rsidRPr="0056750E">
        <w:rPr>
          <w:b/>
          <w:szCs w:val="16"/>
        </w:rPr>
        <w:t xml:space="preserve"> č.</w:t>
      </w:r>
      <w:r>
        <w:rPr>
          <w:b/>
          <w:szCs w:val="16"/>
        </w:rPr>
        <w:t> 3</w:t>
      </w:r>
      <w:r w:rsidRPr="0056750E">
        <w:rPr>
          <w:b/>
          <w:szCs w:val="16"/>
        </w:rPr>
        <w:t>:</w:t>
      </w:r>
      <w:r w:rsidRPr="0056750E">
        <w:rPr>
          <w:szCs w:val="16"/>
        </w:rPr>
        <w:t xml:space="preserve"> </w:t>
      </w:r>
      <w:r>
        <w:t>H</w:t>
      </w:r>
      <w:r w:rsidRPr="00EB5893">
        <w:t>odnocení přehlednosti a orientace u</w:t>
      </w:r>
      <w:r>
        <w:t> </w:t>
      </w:r>
      <w:r w:rsidRPr="00EB5893">
        <w:t>vybraných částí posuzovaných předpisů</w:t>
      </w:r>
    </w:p>
    <w:p w:rsidR="00BA1429" w:rsidRDefault="00BA1429" w:rsidP="00BA1429">
      <w:pPr>
        <w:spacing w:after="0" w:line="252" w:lineRule="auto"/>
        <w:ind w:left="1446" w:hanging="1446"/>
      </w:pPr>
      <w:r>
        <w:rPr>
          <w:noProof/>
        </w:rPr>
        <w:drawing>
          <wp:inline distT="0" distB="0" distL="0" distR="0" wp14:anchorId="75510E2B" wp14:editId="4199776A">
            <wp:extent cx="5760720" cy="3481175"/>
            <wp:effectExtent l="0" t="0" r="0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29" w:rsidRDefault="00BA1429" w:rsidP="00BA1429">
      <w:pPr>
        <w:spacing w:after="0" w:line="252" w:lineRule="auto"/>
        <w:rPr>
          <w:sz w:val="16"/>
          <w:szCs w:val="16"/>
        </w:rPr>
      </w:pPr>
    </w:p>
    <w:p w:rsidR="00BA1429" w:rsidRPr="001D54D7" w:rsidRDefault="00455656" w:rsidP="00BA1429">
      <w:pPr>
        <w:rPr>
          <w:b/>
        </w:rPr>
      </w:pPr>
      <w:r>
        <w:t>Na základě vyhodnocení</w:t>
      </w:r>
      <w:r w:rsidR="00BA1429" w:rsidRPr="00850977">
        <w:t xml:space="preserve"> v</w:t>
      </w:r>
      <w:r w:rsidR="008E2BDC">
        <w:t>ýše uvedených kritérií obsažených</w:t>
      </w:r>
      <w:r w:rsidR="00BA1429" w:rsidRPr="00850977">
        <w:t xml:space="preserve"> </w:t>
      </w:r>
      <w:r w:rsidR="00BA1429" w:rsidRPr="00455656">
        <w:t>jak</w:t>
      </w:r>
      <w:r w:rsidR="008E2BDC">
        <w:t xml:space="preserve"> </w:t>
      </w:r>
      <w:r w:rsidR="00BA1429" w:rsidRPr="00850977">
        <w:t xml:space="preserve">v tabulce a diagramu č. 2, tak v tabulce a diagramu č. 3 </w:t>
      </w:r>
      <w:r w:rsidR="008E2BDC">
        <w:t xml:space="preserve">je </w:t>
      </w:r>
      <w:r w:rsidR="00BA1429" w:rsidRPr="00850977">
        <w:t xml:space="preserve">zřejmé, </w:t>
      </w:r>
      <w:r w:rsidR="008E2BDC">
        <w:t xml:space="preserve">že </w:t>
      </w:r>
      <w:r w:rsidR="00BA1429" w:rsidRPr="00850977">
        <w:t>výsledek vyhodnocení obou sk</w:t>
      </w:r>
      <w:r w:rsidR="008E2BDC">
        <w:t>upin kritérií ukazuje</w:t>
      </w:r>
      <w:r w:rsidR="00BA1429" w:rsidRPr="00850977">
        <w:t xml:space="preserve"> zejména na nutnost a důležitost zavedení a</w:t>
      </w:r>
      <w:r>
        <w:t> přesné definice tržní hodnoty</w:t>
      </w:r>
      <w:r w:rsidR="00BA1429" w:rsidRPr="00850977">
        <w:rPr>
          <w:b/>
        </w:rPr>
        <w:t>.</w:t>
      </w:r>
      <w:r w:rsidR="00BA1429" w:rsidRPr="00850977">
        <w:t xml:space="preserve"> </w:t>
      </w:r>
      <w:r w:rsidR="001D54D7" w:rsidRPr="001D54D7">
        <w:rPr>
          <w:b/>
        </w:rPr>
        <w:t xml:space="preserve">Vyhodnocení tedy podporuje </w:t>
      </w:r>
      <w:r w:rsidR="001D54D7" w:rsidRPr="001D54D7">
        <w:rPr>
          <w:b/>
          <w:i/>
        </w:rPr>
        <w:t>variantu II</w:t>
      </w:r>
      <w:r w:rsidR="001D54D7" w:rsidRPr="001D54D7">
        <w:rPr>
          <w:b/>
        </w:rPr>
        <w:t>, tj. provedení změny zákona o oceňování majetku formou novely.</w:t>
      </w:r>
    </w:p>
    <w:p w:rsidR="001D54D7" w:rsidRDefault="001D54D7" w:rsidP="00BA1429"/>
    <w:p w:rsidR="001D54D7" w:rsidRDefault="001D54D7" w:rsidP="00BA1429"/>
    <w:p w:rsidR="00267B8F" w:rsidRDefault="00267B8F" w:rsidP="00BA1429"/>
    <w:p w:rsidR="001D54D7" w:rsidRPr="001D54D7" w:rsidRDefault="001D54D7" w:rsidP="00BA1429">
      <w:pPr>
        <w:rPr>
          <w:b/>
        </w:rPr>
      </w:pPr>
    </w:p>
    <w:p w:rsidR="008C1C80" w:rsidRDefault="008C1C80" w:rsidP="008C1C80">
      <w:pPr>
        <w:pStyle w:val="Nadpis2"/>
        <w:numPr>
          <w:ilvl w:val="1"/>
          <w:numId w:val="7"/>
        </w:numPr>
        <w:ind w:left="860"/>
      </w:pPr>
      <w:r>
        <w:lastRenderedPageBreak/>
        <w:t>Náklady</w:t>
      </w:r>
    </w:p>
    <w:p w:rsidR="00A1725A" w:rsidRDefault="00A130D6" w:rsidP="00A130D6">
      <w:pPr>
        <w:ind w:firstLine="0"/>
      </w:pPr>
      <w:r>
        <w:tab/>
      </w:r>
      <w:r w:rsidR="00675011">
        <w:t>Z</w:t>
      </w:r>
      <w:r w:rsidR="00A1725A" w:rsidRPr="00A130D6">
        <w:t> existence č</w:t>
      </w:r>
      <w:r w:rsidR="00A1725A">
        <w:t>i samotného použití tohoto právního předpisu, který má ryze technický charakter</w:t>
      </w:r>
      <w:r w:rsidR="00675011">
        <w:t>,</w:t>
      </w:r>
      <w:r w:rsidR="00A1725A" w:rsidRPr="00A1725A">
        <w:t xml:space="preserve"> </w:t>
      </w:r>
      <w:r w:rsidR="00A1725A" w:rsidRPr="00A130D6">
        <w:t xml:space="preserve">neplynou </w:t>
      </w:r>
      <w:r w:rsidR="00675011">
        <w:t>v</w:t>
      </w:r>
      <w:r w:rsidR="00A1725A" w:rsidRPr="00A130D6">
        <w:t>ýnosy ani náklady</w:t>
      </w:r>
      <w:r w:rsidR="00E1218C">
        <w:t xml:space="preserve"> (jak je uvedeno již v bodě 3.1)</w:t>
      </w:r>
      <w:r w:rsidR="00A1725A" w:rsidRPr="00A130D6">
        <w:t>.</w:t>
      </w:r>
      <w:r w:rsidR="00675011" w:rsidRPr="00675011">
        <w:t xml:space="preserve"> </w:t>
      </w:r>
      <w:r w:rsidR="00675011">
        <w:t xml:space="preserve">Protože náklady </w:t>
      </w:r>
      <w:r w:rsidR="00675011" w:rsidRPr="00A130D6">
        <w:t>nelze identifikovat</w:t>
      </w:r>
      <w:r w:rsidR="00C3179A">
        <w:t>,</w:t>
      </w:r>
      <w:r w:rsidR="00675011">
        <w:t xml:space="preserve"> </w:t>
      </w:r>
      <w:r w:rsidR="00C3179A">
        <w:t xml:space="preserve">tedy </w:t>
      </w:r>
      <w:r w:rsidR="00675011">
        <w:t>ani peněžně vyjádřit,</w:t>
      </w:r>
      <w:r w:rsidR="00675011" w:rsidRPr="00675011">
        <w:t xml:space="preserve"> </w:t>
      </w:r>
      <w:r w:rsidR="00C3179A">
        <w:t>nejsou</w:t>
      </w:r>
      <w:r w:rsidR="00675011">
        <w:t xml:space="preserve"> hodnoceny.</w:t>
      </w:r>
    </w:p>
    <w:p w:rsidR="008C1C80" w:rsidRDefault="008C1C80" w:rsidP="008C1C80">
      <w:pPr>
        <w:pStyle w:val="Nadpis2"/>
        <w:numPr>
          <w:ilvl w:val="1"/>
          <w:numId w:val="7"/>
        </w:numPr>
        <w:ind w:left="860"/>
      </w:pPr>
      <w:r>
        <w:t>Přínosy</w:t>
      </w:r>
    </w:p>
    <w:p w:rsidR="005E6DA6" w:rsidRPr="00813B38" w:rsidRDefault="00225F38" w:rsidP="005E6DA6">
      <w:r>
        <w:tab/>
      </w:r>
      <w:r w:rsidR="0002029F">
        <w:t>Protože jde o právní norm</w:t>
      </w:r>
      <w:r w:rsidR="0042359B" w:rsidRPr="0042359B">
        <w:t>u čistě</w:t>
      </w:r>
      <w:r w:rsidR="0042359B">
        <w:t xml:space="preserve"> technickou</w:t>
      </w:r>
      <w:r>
        <w:t>,</w:t>
      </w:r>
      <w:r w:rsidR="0042359B" w:rsidRPr="0042359B">
        <w:t xml:space="preserve"> </w:t>
      </w:r>
      <w:r>
        <w:t>s jejímž užíváním nejsou spojeny žádné v</w:t>
      </w:r>
      <w:r w:rsidR="0042359B" w:rsidRPr="00A130D6">
        <w:t>ýnosy ani náklady</w:t>
      </w:r>
      <w:r>
        <w:t xml:space="preserve">, jsou </w:t>
      </w:r>
      <w:r w:rsidR="005E6DA6">
        <w:t xml:space="preserve">přínosy </w:t>
      </w:r>
      <w:r>
        <w:t>stanoveny</w:t>
      </w:r>
      <w:r w:rsidR="005E6DA6">
        <w:t xml:space="preserve"> pouze na</w:t>
      </w:r>
      <w:r w:rsidR="00FD1235">
        <w:t> </w:t>
      </w:r>
      <w:r w:rsidR="005E6DA6">
        <w:t>základě porovnávacích kritérií</w:t>
      </w:r>
      <w:r w:rsidR="0042359B" w:rsidRPr="00A130D6">
        <w:t xml:space="preserve"> </w:t>
      </w:r>
      <w:r w:rsidR="005E6DA6">
        <w:t xml:space="preserve">hodnotících </w:t>
      </w:r>
      <w:r w:rsidR="0002029F">
        <w:t xml:space="preserve">zejména </w:t>
      </w:r>
      <w:r w:rsidR="005E6DA6">
        <w:t>časové nároky,</w:t>
      </w:r>
      <w:r w:rsidR="005E6DA6" w:rsidRPr="005E6DA6">
        <w:t xml:space="preserve"> </w:t>
      </w:r>
      <w:r w:rsidR="005E6DA6">
        <w:t xml:space="preserve">výhody a nevýhody, či rizika spojená s jednotlivými navrhovanými a posuzovanými variantami. </w:t>
      </w:r>
    </w:p>
    <w:p w:rsidR="0042359B" w:rsidRPr="0042359B" w:rsidRDefault="005E6DA6" w:rsidP="00392998">
      <w:pPr>
        <w:ind w:firstLine="0"/>
      </w:pPr>
      <w:r w:rsidRPr="00A130D6">
        <w:t xml:space="preserve"> </w:t>
      </w:r>
    </w:p>
    <w:p w:rsidR="008C1C80" w:rsidRPr="00D86B62" w:rsidRDefault="008C1C80" w:rsidP="008C1C80">
      <w:pPr>
        <w:pStyle w:val="Nadpis2"/>
        <w:numPr>
          <w:ilvl w:val="1"/>
          <w:numId w:val="7"/>
        </w:numPr>
        <w:ind w:left="860"/>
      </w:pPr>
      <w:r w:rsidRPr="00D86B62">
        <w:t>Vyhodnocení variant</w:t>
      </w:r>
    </w:p>
    <w:p w:rsidR="000127B6" w:rsidRPr="00F91542" w:rsidRDefault="00F91542" w:rsidP="000127B6">
      <w:r w:rsidRPr="00F91542">
        <w:t xml:space="preserve">Z výsledných </w:t>
      </w:r>
      <w:r w:rsidR="007A4063">
        <w:t xml:space="preserve">tabulek a </w:t>
      </w:r>
      <w:r w:rsidRPr="00F91542">
        <w:t>diagramů</w:t>
      </w:r>
      <w:r w:rsidR="000127B6" w:rsidRPr="00F91542">
        <w:t xml:space="preserve"> </w:t>
      </w:r>
      <w:r w:rsidR="008C58E9" w:rsidRPr="00F91542">
        <w:t xml:space="preserve">navržených a posuzovaných VARIANT </w:t>
      </w:r>
      <w:r w:rsidR="007643C9" w:rsidRPr="00F91542">
        <w:t xml:space="preserve">jsou </w:t>
      </w:r>
      <w:r w:rsidRPr="00F91542">
        <w:t xml:space="preserve">dobře </w:t>
      </w:r>
      <w:r w:rsidRPr="006A1877">
        <w:t>patrné</w:t>
      </w:r>
      <w:r w:rsidR="000127B6" w:rsidRPr="006A1877">
        <w:t xml:space="preserve"> </w:t>
      </w:r>
      <w:r w:rsidR="006A1877" w:rsidRPr="006A1877">
        <w:t xml:space="preserve">i některé z </w:t>
      </w:r>
      <w:r w:rsidR="00CA2E2E" w:rsidRPr="006A1877">
        <w:t>následující</w:t>
      </w:r>
      <w:r w:rsidR="006A1877" w:rsidRPr="006A1877">
        <w:t>ch</w:t>
      </w:r>
      <w:r w:rsidR="00CA2E2E" w:rsidRPr="006A1877">
        <w:t xml:space="preserve"> </w:t>
      </w:r>
      <w:r w:rsidR="001329BC">
        <w:t xml:space="preserve">podstatných </w:t>
      </w:r>
      <w:r w:rsidR="006A1877">
        <w:t>nedostatků</w:t>
      </w:r>
      <w:r w:rsidR="008C58E9">
        <w:t xml:space="preserve"> stávajícího</w:t>
      </w:r>
      <w:r w:rsidR="008C58E9" w:rsidRPr="008C58E9">
        <w:t xml:space="preserve"> </w:t>
      </w:r>
      <w:r w:rsidR="008C58E9" w:rsidRPr="006A1877">
        <w:t>zákona o oceňování majetku</w:t>
      </w:r>
      <w:r w:rsidR="00992DEA">
        <w:t>, které je potřebné řešit</w:t>
      </w:r>
      <w:r w:rsidR="000127B6" w:rsidRPr="00F91542">
        <w:t xml:space="preserve">. </w:t>
      </w:r>
    </w:p>
    <w:p w:rsidR="003C42A9" w:rsidRPr="001C6F4A" w:rsidRDefault="003C42A9" w:rsidP="000127B6">
      <w:pPr>
        <w:rPr>
          <w:highlight w:val="yellow"/>
        </w:rPr>
      </w:pPr>
    </w:p>
    <w:p w:rsidR="003133B6" w:rsidRPr="006A1877" w:rsidRDefault="00355B3F" w:rsidP="002C065B">
      <w:pPr>
        <w:rPr>
          <w:rFonts w:eastAsia="MS Mincho"/>
          <w:bCs/>
        </w:rPr>
      </w:pPr>
      <w:r w:rsidRPr="006A1877">
        <w:t xml:space="preserve">VARIANTA I </w:t>
      </w:r>
      <w:r w:rsidRPr="006A1877">
        <w:rPr>
          <w:b/>
        </w:rPr>
        <w:t>-</w:t>
      </w:r>
      <w:r w:rsidRPr="006A1877">
        <w:t xml:space="preserve"> </w:t>
      </w:r>
      <w:r w:rsidR="000127B6" w:rsidRPr="006A1877">
        <w:t>ztrácí nejvíce svojí zastaralostí</w:t>
      </w:r>
      <w:r w:rsidR="00ED2D02" w:rsidRPr="006A1877">
        <w:t xml:space="preserve"> </w:t>
      </w:r>
      <w:r w:rsidR="00F91542" w:rsidRPr="006A1877">
        <w:t>a bez úpravy nemůže reagovat na </w:t>
      </w:r>
      <w:r w:rsidR="00ED2D02" w:rsidRPr="006A1877">
        <w:t>změny v právních předpisech</w:t>
      </w:r>
      <w:r w:rsidR="000127B6" w:rsidRPr="006A1877">
        <w:t>. Současný stav není</w:t>
      </w:r>
      <w:r w:rsidR="008730DA" w:rsidRPr="006A1877">
        <w:t xml:space="preserve"> dlouhodobě udržitelný, protože neumožňuje</w:t>
      </w:r>
      <w:r w:rsidR="000127B6" w:rsidRPr="006A1877">
        <w:t xml:space="preserve"> </w:t>
      </w:r>
      <w:r w:rsidR="00877960" w:rsidRPr="006A1877">
        <w:t>využití</w:t>
      </w:r>
      <w:r w:rsidR="002C065B" w:rsidRPr="006A1877">
        <w:t xml:space="preserve"> tržní hodnot</w:t>
      </w:r>
      <w:r w:rsidR="00877960" w:rsidRPr="006A1877">
        <w:t>y</w:t>
      </w:r>
      <w:r w:rsidR="008730DA" w:rsidRPr="006A1877">
        <w:t>, zejména</w:t>
      </w:r>
      <w:r w:rsidR="002C065B" w:rsidRPr="006A1877">
        <w:t xml:space="preserve"> v těch případech, kdy nelze určit obvyklou cenu</w:t>
      </w:r>
      <w:r w:rsidR="00877960" w:rsidRPr="006A1877">
        <w:t xml:space="preserve"> </w:t>
      </w:r>
      <w:r w:rsidR="002C065B" w:rsidRPr="006A1877">
        <w:t>s ohledem na nedostatek údajů</w:t>
      </w:r>
      <w:r w:rsidR="002D60B8" w:rsidRPr="006A1877">
        <w:t>, dále neposkytuje možnost</w:t>
      </w:r>
      <w:r w:rsidR="00A67406" w:rsidRPr="006A1877">
        <w:rPr>
          <w:rFonts w:eastAsia="MS Mincho"/>
          <w:bCs/>
        </w:rPr>
        <w:t xml:space="preserve"> úpravy náležitosti oceněn</w:t>
      </w:r>
      <w:r w:rsidR="002D60B8" w:rsidRPr="006A1877">
        <w:rPr>
          <w:rFonts w:eastAsia="MS Mincho"/>
          <w:bCs/>
        </w:rPr>
        <w:t>í práva stavby a věcných břemen. Kromě toho</w:t>
      </w:r>
      <w:r w:rsidR="00A67406" w:rsidRPr="006A1877">
        <w:rPr>
          <w:rFonts w:eastAsia="MS Mincho"/>
          <w:bCs/>
        </w:rPr>
        <w:t xml:space="preserve"> </w:t>
      </w:r>
      <w:r w:rsidR="002D60B8" w:rsidRPr="006A1877">
        <w:rPr>
          <w:rFonts w:eastAsia="MS Mincho"/>
          <w:bCs/>
        </w:rPr>
        <w:t>neobsahuje pojem</w:t>
      </w:r>
      <w:r w:rsidR="00A67406" w:rsidRPr="006A1877">
        <w:rPr>
          <w:rFonts w:eastAsia="MS Mincho"/>
          <w:bCs/>
        </w:rPr>
        <w:t xml:space="preserve"> rych</w:t>
      </w:r>
      <w:r w:rsidR="002D60B8" w:rsidRPr="006A1877">
        <w:rPr>
          <w:rFonts w:eastAsia="MS Mincho"/>
          <w:bCs/>
        </w:rPr>
        <w:t>le rostoucí</w:t>
      </w:r>
      <w:r w:rsidR="00A67406" w:rsidRPr="006A1877">
        <w:rPr>
          <w:rFonts w:eastAsia="MS Mincho"/>
          <w:bCs/>
        </w:rPr>
        <w:t xml:space="preserve"> dřevin</w:t>
      </w:r>
      <w:r w:rsidR="00FD1235">
        <w:rPr>
          <w:rFonts w:eastAsia="MS Mincho"/>
          <w:bCs/>
        </w:rPr>
        <w:t>y a </w:t>
      </w:r>
      <w:r w:rsidR="002D60B8" w:rsidRPr="006A1877">
        <w:rPr>
          <w:rFonts w:eastAsia="MS Mincho"/>
          <w:bCs/>
        </w:rPr>
        <w:t>neupravuje</w:t>
      </w:r>
      <w:r w:rsidR="00A67406" w:rsidRPr="006A1877">
        <w:rPr>
          <w:rFonts w:eastAsia="MS Mincho"/>
          <w:bCs/>
        </w:rPr>
        <w:t xml:space="preserve"> jejich ocenění</w:t>
      </w:r>
      <w:r w:rsidR="00C447D8" w:rsidRPr="006A1877">
        <w:rPr>
          <w:rFonts w:eastAsia="MS Mincho"/>
          <w:bCs/>
        </w:rPr>
        <w:t xml:space="preserve">. </w:t>
      </w:r>
      <w:r w:rsidR="003133B6" w:rsidRPr="006A1877">
        <w:t>Bez úpravy stávajícího zákona o oceňování majetku rovněž nelze upřesnit text i postup týkající se zpracování cenových map stavebních pozemků</w:t>
      </w:r>
      <w:r w:rsidR="00CB70A2">
        <w:t xml:space="preserve">, ani ocenit újmu z titulu </w:t>
      </w:r>
      <w:r w:rsidR="00CB70A2" w:rsidRPr="00F25E1C">
        <w:t>věcných břemen nebo j</w:t>
      </w:r>
      <w:r w:rsidR="00CB70A2">
        <w:t>iných věcných práv zřízených ze zákona jako závady</w:t>
      </w:r>
      <w:r w:rsidR="00CB70A2" w:rsidRPr="00F25E1C">
        <w:t xml:space="preserve"> na</w:t>
      </w:r>
      <w:r w:rsidR="00CB70A2">
        <w:t> </w:t>
      </w:r>
      <w:r w:rsidR="00CB70A2" w:rsidRPr="00F25E1C">
        <w:t>nemovité věci</w:t>
      </w:r>
      <w:r w:rsidR="003133B6" w:rsidRPr="006A1877">
        <w:t>.</w:t>
      </w:r>
    </w:p>
    <w:p w:rsidR="009A48E1" w:rsidRPr="001C6F4A" w:rsidRDefault="009A48E1" w:rsidP="000127B6">
      <w:pPr>
        <w:rPr>
          <w:strike/>
          <w:highlight w:val="yellow"/>
        </w:rPr>
      </w:pPr>
    </w:p>
    <w:p w:rsidR="002D6F40" w:rsidRPr="002D07F1" w:rsidRDefault="000127B6" w:rsidP="000127B6">
      <w:r w:rsidRPr="007643C9">
        <w:t>VARIANTA II</w:t>
      </w:r>
      <w:r w:rsidR="003C42A9" w:rsidRPr="007643C9">
        <w:t xml:space="preserve"> </w:t>
      </w:r>
      <w:r w:rsidR="003C42A9" w:rsidRPr="007643C9">
        <w:rPr>
          <w:b/>
        </w:rPr>
        <w:t>-</w:t>
      </w:r>
      <w:r w:rsidRPr="007643C9">
        <w:t xml:space="preserve"> je </w:t>
      </w:r>
      <w:r w:rsidRPr="001329BC">
        <w:t>novelizace</w:t>
      </w:r>
      <w:r w:rsidR="002D6F40" w:rsidRPr="001329BC">
        <w:t xml:space="preserve"> zákona o oceňování majetku</w:t>
      </w:r>
      <w:r w:rsidRPr="001329BC">
        <w:t xml:space="preserve"> schopná </w:t>
      </w:r>
      <w:r w:rsidR="002D07F1">
        <w:t>vyřešit</w:t>
      </w:r>
      <w:r w:rsidRPr="007643C9">
        <w:t xml:space="preserve"> do určité míry nebo zcela nedostatky současného stavu. </w:t>
      </w:r>
      <w:r w:rsidR="002D6F40" w:rsidRPr="002D07F1">
        <w:t>Upravuje některé podstatné (významné) textové nejasnosti stávajícího zákona o oceňování majetku, reflektuje změny, k nimž došlo</w:t>
      </w:r>
      <w:r w:rsidR="00FD1235">
        <w:t xml:space="preserve"> </w:t>
      </w:r>
      <w:r w:rsidR="002D6F40" w:rsidRPr="002D07F1">
        <w:t>v</w:t>
      </w:r>
      <w:r w:rsidR="00FD1235">
        <w:t> </w:t>
      </w:r>
      <w:r w:rsidR="002D6F40" w:rsidRPr="002D07F1">
        <w:t xml:space="preserve">právních předpisech </w:t>
      </w:r>
      <w:r w:rsidR="003C4A3F" w:rsidRPr="002D07F1">
        <w:t xml:space="preserve">a změny na trhu </w:t>
      </w:r>
      <w:r w:rsidR="006F40C5">
        <w:t xml:space="preserve">zejména </w:t>
      </w:r>
      <w:r w:rsidR="003C4A3F" w:rsidRPr="002D07F1">
        <w:t>s nemovitými věcmi</w:t>
      </w:r>
      <w:r w:rsidR="00A67406" w:rsidRPr="002D07F1">
        <w:t>.</w:t>
      </w:r>
    </w:p>
    <w:p w:rsidR="00E83C0D" w:rsidRDefault="00E83C0D" w:rsidP="000127B6"/>
    <w:p w:rsidR="000127B6" w:rsidRPr="00FE477E" w:rsidRDefault="004A4922" w:rsidP="002477F2">
      <w:pPr>
        <w:pStyle w:val="Nadpis1"/>
        <w:numPr>
          <w:ilvl w:val="0"/>
          <w:numId w:val="7"/>
        </w:numPr>
      </w:pPr>
      <w:r>
        <w:t>Stanovení pořadí variant a výběr nejvhodnějšího řešení</w:t>
      </w:r>
      <w:r w:rsidR="000127B6" w:rsidRPr="00FE477E">
        <w:t xml:space="preserve"> </w:t>
      </w:r>
    </w:p>
    <w:p w:rsidR="000127B6" w:rsidRPr="00D948BA" w:rsidRDefault="00B2686C" w:rsidP="000127B6">
      <w:pPr>
        <w:rPr>
          <w:b/>
        </w:rPr>
      </w:pPr>
      <w:r>
        <w:rPr>
          <w:b/>
        </w:rPr>
        <w:t>Varianta II</w:t>
      </w:r>
      <w:r w:rsidR="00B12B9D">
        <w:t xml:space="preserve"> </w:t>
      </w:r>
      <w:r w:rsidR="00B12B9D" w:rsidRPr="00D948BA">
        <w:rPr>
          <w:b/>
        </w:rPr>
        <w:t>– zpracovaný návrh</w:t>
      </w:r>
      <w:r w:rsidR="000127B6" w:rsidRPr="00D948BA">
        <w:rPr>
          <w:b/>
        </w:rPr>
        <w:t xml:space="preserve"> no</w:t>
      </w:r>
      <w:r w:rsidRPr="00D948BA">
        <w:rPr>
          <w:b/>
        </w:rPr>
        <w:t>vely</w:t>
      </w:r>
      <w:r w:rsidR="000127B6" w:rsidRPr="00D948BA">
        <w:rPr>
          <w:b/>
        </w:rPr>
        <w:t xml:space="preserve"> zákona </w:t>
      </w:r>
      <w:r w:rsidRPr="00D948BA">
        <w:rPr>
          <w:b/>
        </w:rPr>
        <w:t xml:space="preserve">o oceňování majetku </w:t>
      </w:r>
      <w:r w:rsidR="00E91268">
        <w:rPr>
          <w:b/>
        </w:rPr>
        <w:br/>
      </w:r>
      <w:r w:rsidR="00B12B9D" w:rsidRPr="00D948BA">
        <w:rPr>
          <w:b/>
        </w:rPr>
        <w:t xml:space="preserve">byl vyhodnocen </w:t>
      </w:r>
      <w:r w:rsidR="000127B6" w:rsidRPr="00D948BA">
        <w:rPr>
          <w:b/>
        </w:rPr>
        <w:t xml:space="preserve">jako nejlepší možné řešení. </w:t>
      </w:r>
    </w:p>
    <w:p w:rsidR="000127B6" w:rsidRPr="00FE477E" w:rsidRDefault="00B12B9D" w:rsidP="000127B6">
      <w:r w:rsidRPr="00B12B9D">
        <w:lastRenderedPageBreak/>
        <w:t>Tato varianta</w:t>
      </w:r>
      <w:r w:rsidR="009809A1">
        <w:t xml:space="preserve"> </w:t>
      </w:r>
      <w:r w:rsidR="009809A1" w:rsidRPr="008E600D">
        <w:t xml:space="preserve">zohledňuje </w:t>
      </w:r>
      <w:r w:rsidR="009809A1" w:rsidRPr="006F40C5">
        <w:t>požadavky</w:t>
      </w:r>
      <w:r w:rsidR="007C7FCA" w:rsidRPr="006F40C5">
        <w:t xml:space="preserve"> či doporučení</w:t>
      </w:r>
      <w:r w:rsidR="009809A1" w:rsidRPr="006F40C5">
        <w:t xml:space="preserve"> </w:t>
      </w:r>
      <w:r w:rsidR="001D6BF8" w:rsidRPr="008E600D">
        <w:t>s</w:t>
      </w:r>
      <w:r w:rsidR="009809A1" w:rsidRPr="008E600D">
        <w:rPr>
          <w:rFonts w:eastAsia="MS Mincho"/>
          <w:bCs/>
        </w:rPr>
        <w:t>tátní</w:t>
      </w:r>
      <w:r w:rsidR="001D6BF8" w:rsidRPr="008E600D">
        <w:rPr>
          <w:rFonts w:eastAsia="MS Mincho"/>
          <w:bCs/>
        </w:rPr>
        <w:t>ch orgánů, organizací a</w:t>
      </w:r>
      <w:r w:rsidR="002760FD">
        <w:rPr>
          <w:rFonts w:eastAsia="MS Mincho"/>
          <w:bCs/>
        </w:rPr>
        <w:t> </w:t>
      </w:r>
      <w:r w:rsidR="009809A1" w:rsidRPr="005B4E7A">
        <w:t>odborné veřejnosti</w:t>
      </w:r>
      <w:r w:rsidR="00A3526E">
        <w:t>,</w:t>
      </w:r>
      <w:r w:rsidR="00FD1235">
        <w:t xml:space="preserve"> </w:t>
      </w:r>
      <w:r w:rsidR="00BC3DA7" w:rsidRPr="008E600D">
        <w:t>poskytuje</w:t>
      </w:r>
      <w:r w:rsidR="00670158" w:rsidRPr="008E600D">
        <w:t xml:space="preserve"> možnost </w:t>
      </w:r>
      <w:r w:rsidRPr="00B12B9D">
        <w:t>pružně reagovat na</w:t>
      </w:r>
      <w:r w:rsidR="002760FD">
        <w:t> </w:t>
      </w:r>
      <w:r w:rsidRPr="00B12B9D">
        <w:t>vývoj trhu v oblasti</w:t>
      </w:r>
      <w:r w:rsidR="000F0CB2">
        <w:t xml:space="preserve"> oceňování </w:t>
      </w:r>
      <w:r w:rsidR="006F40C5">
        <w:t xml:space="preserve">zejména </w:t>
      </w:r>
      <w:r w:rsidR="000F0CB2">
        <w:t>nemovitého majetku</w:t>
      </w:r>
      <w:r w:rsidR="002760FD">
        <w:t>,</w:t>
      </w:r>
      <w:r w:rsidR="000F0CB2">
        <w:t xml:space="preserve"> a </w:t>
      </w:r>
      <w:r w:rsidRPr="00B12B9D">
        <w:t>obsahuje</w:t>
      </w:r>
      <w:r w:rsidR="002760FD">
        <w:t>,</w:t>
      </w:r>
      <w:r>
        <w:t xml:space="preserve"> </w:t>
      </w:r>
      <w:r w:rsidR="002760FD">
        <w:t xml:space="preserve">za tím účelem </w:t>
      </w:r>
      <w:r w:rsidR="00752DF4" w:rsidRPr="00B12B9D">
        <w:t>navržené</w:t>
      </w:r>
      <w:r w:rsidR="002760FD">
        <w:t>,</w:t>
      </w:r>
      <w:r w:rsidR="00752DF4" w:rsidRPr="00B12B9D">
        <w:t xml:space="preserve"> </w:t>
      </w:r>
      <w:r w:rsidR="00670158" w:rsidRPr="008E600D">
        <w:t xml:space="preserve">potřebné </w:t>
      </w:r>
      <w:r w:rsidR="000127B6" w:rsidRPr="008E600D">
        <w:t>z</w:t>
      </w:r>
      <w:r w:rsidR="000127B6" w:rsidRPr="00B12B9D">
        <w:t>měny</w:t>
      </w:r>
      <w:r w:rsidR="00B2686C" w:rsidRPr="00B12B9D">
        <w:t>.</w:t>
      </w:r>
      <w:r w:rsidR="000127B6" w:rsidRPr="00B12B9D">
        <w:t xml:space="preserve"> </w:t>
      </w:r>
    </w:p>
    <w:p w:rsidR="00B12B9D" w:rsidRDefault="00B12B9D" w:rsidP="000127B6">
      <w:pPr>
        <w:rPr>
          <w:b/>
        </w:rPr>
      </w:pPr>
    </w:p>
    <w:p w:rsidR="002D4CC7" w:rsidRPr="00D948BA" w:rsidRDefault="000127B6" w:rsidP="000127B6">
      <w:pPr>
        <w:rPr>
          <w:b/>
        </w:rPr>
      </w:pPr>
      <w:r w:rsidRPr="00F20D90">
        <w:rPr>
          <w:b/>
        </w:rPr>
        <w:t>Varianta I</w:t>
      </w:r>
      <w:r w:rsidR="00AB1C6A">
        <w:rPr>
          <w:b/>
          <w:color w:val="FF0000"/>
        </w:rPr>
        <w:t xml:space="preserve"> </w:t>
      </w:r>
      <w:r w:rsidR="00EF7F9E">
        <w:t>– ponechání zákona</w:t>
      </w:r>
      <w:r w:rsidR="00EF7F9E" w:rsidRPr="00EF7F9E">
        <w:t xml:space="preserve"> </w:t>
      </w:r>
      <w:r w:rsidR="00EF7F9E" w:rsidRPr="00B12B9D">
        <w:t>o oceňování majetku</w:t>
      </w:r>
      <w:r w:rsidR="00EF7F9E">
        <w:t xml:space="preserve"> beze změny</w:t>
      </w:r>
      <w:r w:rsidR="00AB1C6A">
        <w:t>. V</w:t>
      </w:r>
      <w:r w:rsidR="002D4CC7">
        <w:t>e</w:t>
      </w:r>
      <w:r w:rsidR="000F0CB2">
        <w:t> </w:t>
      </w:r>
      <w:r w:rsidR="002D4CC7">
        <w:t>vazbě na</w:t>
      </w:r>
      <w:r w:rsidR="000F0CB2">
        <w:t> </w:t>
      </w:r>
      <w:r w:rsidR="003D6232">
        <w:t>stávající</w:t>
      </w:r>
      <w:r w:rsidR="002D4CC7">
        <w:t> </w:t>
      </w:r>
      <w:r w:rsidR="003D6232">
        <w:t>stav</w:t>
      </w:r>
      <w:r w:rsidR="002D4CC7" w:rsidRPr="003D6232">
        <w:t xml:space="preserve"> trhu,</w:t>
      </w:r>
      <w:r w:rsidR="002D4CC7">
        <w:t xml:space="preserve"> je tato varianta</w:t>
      </w:r>
      <w:r w:rsidR="003D6232">
        <w:t xml:space="preserve"> </w:t>
      </w:r>
      <w:r w:rsidR="003D6232" w:rsidRPr="00C755DE">
        <w:t>již</w:t>
      </w:r>
      <w:r w:rsidR="002D4CC7" w:rsidRPr="00C755DE">
        <w:t xml:space="preserve"> </w:t>
      </w:r>
      <w:r w:rsidR="002D4CC7" w:rsidRPr="008E600D">
        <w:t>nevyhovující</w:t>
      </w:r>
      <w:r w:rsidR="00C70596" w:rsidRPr="008E600D">
        <w:t>.</w:t>
      </w:r>
      <w:r w:rsidR="002D4CC7" w:rsidRPr="008E600D">
        <w:t xml:space="preserve"> </w:t>
      </w:r>
      <w:r w:rsidR="00C70596" w:rsidRPr="008E600D">
        <w:t>S</w:t>
      </w:r>
      <w:r w:rsidR="003D6232" w:rsidRPr="008E600D">
        <w:t xml:space="preserve">távající </w:t>
      </w:r>
      <w:r w:rsidR="003D6232" w:rsidRPr="00C755DE">
        <w:t xml:space="preserve">zákon o oceňování majetku </w:t>
      </w:r>
      <w:r w:rsidR="002D4CC7" w:rsidRPr="00C755DE">
        <w:t xml:space="preserve">umožňuje oceňovat majetek </w:t>
      </w:r>
      <w:r w:rsidR="00F20D90">
        <w:t xml:space="preserve">pouze </w:t>
      </w:r>
      <w:r w:rsidR="003D6232" w:rsidRPr="00C755DE">
        <w:t>způsoby poplatnými</w:t>
      </w:r>
      <w:r w:rsidR="002D4CC7" w:rsidRPr="00C755DE">
        <w:t xml:space="preserve"> </w:t>
      </w:r>
      <w:r w:rsidR="003D6232">
        <w:t>době, ve</w:t>
      </w:r>
      <w:r w:rsidR="00C70596">
        <w:t> </w:t>
      </w:r>
      <w:r w:rsidR="003D6232">
        <w:t xml:space="preserve">které vznikal, </w:t>
      </w:r>
      <w:r w:rsidR="00E91268">
        <w:br/>
      </w:r>
      <w:r w:rsidR="003D6232">
        <w:t>a kdy</w:t>
      </w:r>
      <w:r w:rsidR="002D4CC7" w:rsidRPr="00FE477E">
        <w:t xml:space="preserve"> z důvodu neexistence trhu nebylo možné volit jiné řešení.</w:t>
      </w:r>
      <w:r w:rsidR="00A033C6">
        <w:t xml:space="preserve"> N</w:t>
      </w:r>
      <w:r w:rsidR="002D4CC7">
        <w:t>eobsahuje nutné změny</w:t>
      </w:r>
      <w:r w:rsidR="002D4CC7" w:rsidRPr="002D4CC7">
        <w:t xml:space="preserve"> </w:t>
      </w:r>
      <w:r w:rsidR="002D4CC7">
        <w:t xml:space="preserve">reflektující </w:t>
      </w:r>
      <w:r w:rsidR="003D6232">
        <w:t>vývoj, který mezitím v oblasti</w:t>
      </w:r>
      <w:r w:rsidR="003D6232" w:rsidRPr="00FE477E">
        <w:t xml:space="preserve"> volného t</w:t>
      </w:r>
      <w:r w:rsidR="003D6232">
        <w:t>rhu</w:t>
      </w:r>
      <w:r w:rsidR="00A033C6">
        <w:t xml:space="preserve"> nasta</w:t>
      </w:r>
      <w:r w:rsidR="003D6232">
        <w:t>l</w:t>
      </w:r>
      <w:r w:rsidR="00972CAA">
        <w:t>,</w:t>
      </w:r>
      <w:r w:rsidR="00C70596">
        <w:t xml:space="preserve"> </w:t>
      </w:r>
      <w:r w:rsidR="00C70596" w:rsidRPr="008E600D">
        <w:t>neumožňuje</w:t>
      </w:r>
      <w:r w:rsidR="000F0CB2" w:rsidRPr="008E600D">
        <w:t xml:space="preserve"> pružně reagovat na vývoj trhu</w:t>
      </w:r>
      <w:r w:rsidR="003D6232" w:rsidRPr="008E600D">
        <w:t>.</w:t>
      </w:r>
      <w:r w:rsidR="00D948BA">
        <w:t xml:space="preserve"> </w:t>
      </w:r>
      <w:r w:rsidR="00D948BA" w:rsidRPr="00D948BA">
        <w:rPr>
          <w:b/>
        </w:rPr>
        <w:t>S ohledem na výše uvedené tuto variantu nedoporučujeme jako vhodné řešení.</w:t>
      </w:r>
    </w:p>
    <w:p w:rsidR="002D4CC7" w:rsidRPr="00D948BA" w:rsidRDefault="002D4CC7" w:rsidP="000127B6">
      <w:pPr>
        <w:rPr>
          <w:b/>
        </w:rPr>
      </w:pPr>
    </w:p>
    <w:p w:rsidR="000127B6" w:rsidRPr="006B5B33" w:rsidRDefault="000127B6" w:rsidP="002477F2">
      <w:pPr>
        <w:pStyle w:val="Nadpis1"/>
        <w:numPr>
          <w:ilvl w:val="0"/>
          <w:numId w:val="7"/>
        </w:numPr>
      </w:pPr>
      <w:bookmarkStart w:id="12" w:name="_Toc403043693"/>
      <w:bookmarkStart w:id="13" w:name="_Toc406589423"/>
      <w:r w:rsidRPr="006B5B33">
        <w:t>Implementace doporučené varianty a vynucování</w:t>
      </w:r>
      <w:bookmarkEnd w:id="12"/>
      <w:bookmarkEnd w:id="13"/>
      <w:r w:rsidRPr="006B5B33">
        <w:t xml:space="preserve"> </w:t>
      </w:r>
    </w:p>
    <w:p w:rsidR="00455852" w:rsidRPr="003C794C" w:rsidRDefault="0008144D" w:rsidP="000127B6">
      <w:r w:rsidRPr="0012787F">
        <w:t xml:space="preserve">Oceňování majetku v </w:t>
      </w:r>
      <w:r w:rsidR="00455852" w:rsidRPr="0012787F">
        <w:t>Evropské unii</w:t>
      </w:r>
      <w:r w:rsidRPr="0012787F">
        <w:t xml:space="preserve"> </w:t>
      </w:r>
      <w:r w:rsidR="00455852" w:rsidRPr="0012787F">
        <w:t>není řešeno</w:t>
      </w:r>
      <w:r w:rsidRPr="0012787F">
        <w:t xml:space="preserve"> právně závazným</w:t>
      </w:r>
      <w:r w:rsidR="00455852" w:rsidRPr="0012787F">
        <w:t xml:space="preserve">i předpisy, používají se sice oceňovací standardy, které však nejsou právním předpisem a </w:t>
      </w:r>
      <w:r w:rsidR="006B5B33" w:rsidRPr="0012787F">
        <w:t>proto</w:t>
      </w:r>
      <w:r w:rsidR="00455852" w:rsidRPr="0012787F">
        <w:t xml:space="preserve"> jsou právně nezávazné. Oceňování majetku</w:t>
      </w:r>
      <w:r w:rsidR="006B5B33" w:rsidRPr="0012787F">
        <w:t xml:space="preserve"> v České republice z uvedeného</w:t>
      </w:r>
      <w:r w:rsidR="00455852" w:rsidRPr="0012787F">
        <w:t xml:space="preserve"> důvodu právu Evropské unie </w:t>
      </w:r>
      <w:r w:rsidR="00455852" w:rsidRPr="006F40C5">
        <w:t>nepo</w:t>
      </w:r>
      <w:r w:rsidR="00363463" w:rsidRPr="006F40C5">
        <w:t>d</w:t>
      </w:r>
      <w:r w:rsidR="00455852" w:rsidRPr="006F40C5">
        <w:t>léhá.</w:t>
      </w:r>
    </w:p>
    <w:p w:rsidR="001B7229" w:rsidRPr="003C794C" w:rsidRDefault="000127B6" w:rsidP="000127B6">
      <w:r w:rsidRPr="003C794C">
        <w:t>V České republice je nastavením pravidel pro oceňování majetku pověřeno Mi</w:t>
      </w:r>
      <w:r w:rsidR="008B0AB3" w:rsidRPr="003C794C">
        <w:t xml:space="preserve">nisterstvo financí. </w:t>
      </w:r>
      <w:r w:rsidR="001B7229" w:rsidRPr="003C794C">
        <w:t>Zákon</w:t>
      </w:r>
      <w:r w:rsidR="004C75C2" w:rsidRPr="003C794C">
        <w:t xml:space="preserve"> o oceňování</w:t>
      </w:r>
      <w:r w:rsidR="001B7229" w:rsidRPr="003C794C">
        <w:t xml:space="preserve"> majetku</w:t>
      </w:r>
      <w:r w:rsidR="004C75C2" w:rsidRPr="003C794C">
        <w:t xml:space="preserve"> je zákonem „obslužným“</w:t>
      </w:r>
      <w:r w:rsidR="00F509B7">
        <w:t>, neukládá žádné povinnosti pro </w:t>
      </w:r>
      <w:r w:rsidR="004C75C2" w:rsidRPr="003C794C">
        <w:t>jednotlivé subjekty, žádné řešení si nevynucuje. Veškeré p</w:t>
      </w:r>
      <w:r w:rsidR="00D101A3">
        <w:t>ovinnosti a sankce vyplývají ze </w:t>
      </w:r>
      <w:r w:rsidR="004C75C2" w:rsidRPr="003C794C">
        <w:t>zák</w:t>
      </w:r>
      <w:r w:rsidR="00D101A3">
        <w:t xml:space="preserve">onů, které </w:t>
      </w:r>
      <w:r w:rsidR="00D101A3" w:rsidRPr="003C794C">
        <w:t xml:space="preserve">na zákon </w:t>
      </w:r>
      <w:r w:rsidR="005F6A48" w:rsidRPr="003C794C">
        <w:t xml:space="preserve">o oceňování majetku </w:t>
      </w:r>
      <w:r w:rsidR="00D101A3" w:rsidRPr="003C794C">
        <w:t>odkazují</w:t>
      </w:r>
      <w:r w:rsidR="00D101A3">
        <w:t xml:space="preserve"> za účelem ocenění majet</w:t>
      </w:r>
      <w:r w:rsidR="00D101A3" w:rsidRPr="003C794C">
        <w:t>k</w:t>
      </w:r>
      <w:r w:rsidR="00D101A3">
        <w:t>u</w:t>
      </w:r>
      <w:r w:rsidR="00D101A3" w:rsidRPr="003C794C">
        <w:t xml:space="preserve"> </w:t>
      </w:r>
      <w:r w:rsidR="00D101A3">
        <w:t>pro své potřeby</w:t>
      </w:r>
      <w:r w:rsidR="00524CF1" w:rsidRPr="003C794C">
        <w:t>. Z</w:t>
      </w:r>
      <w:r w:rsidR="004C75C2" w:rsidRPr="003C794C">
        <w:t xml:space="preserve">ákon </w:t>
      </w:r>
      <w:r w:rsidR="00524CF1" w:rsidRPr="003C794C">
        <w:t>o oceňování majetku</w:t>
      </w:r>
      <w:r w:rsidR="005F6A48">
        <w:t>,</w:t>
      </w:r>
      <w:r w:rsidR="00524CF1" w:rsidRPr="003C794C">
        <w:t xml:space="preserve"> </w:t>
      </w:r>
      <w:r w:rsidR="006B5B33" w:rsidRPr="003C794C">
        <w:t xml:space="preserve">proto </w:t>
      </w:r>
      <w:r w:rsidR="00940D7F" w:rsidRPr="003C794C">
        <w:t xml:space="preserve">ve svých ustanoveních žádné implementace </w:t>
      </w:r>
      <w:r w:rsidR="006B5B33" w:rsidRPr="003C794C">
        <w:t>nevyžaduje</w:t>
      </w:r>
      <w:r w:rsidR="005F6A48">
        <w:t>,</w:t>
      </w:r>
      <w:r w:rsidR="006B5B33" w:rsidRPr="003C794C">
        <w:t xml:space="preserve"> </w:t>
      </w:r>
      <w:r w:rsidR="00940D7F" w:rsidRPr="003C794C">
        <w:t>ani</w:t>
      </w:r>
      <w:r w:rsidR="00524CF1" w:rsidRPr="003C794C">
        <w:t xml:space="preserve"> </w:t>
      </w:r>
      <w:r w:rsidR="006B5B33" w:rsidRPr="003C794C">
        <w:t xml:space="preserve">nenařizuje </w:t>
      </w:r>
      <w:r w:rsidR="004C75C2" w:rsidRPr="003C794C">
        <w:t xml:space="preserve">žádné sankce. </w:t>
      </w:r>
    </w:p>
    <w:p w:rsidR="004E5D37" w:rsidRPr="004E5D37" w:rsidRDefault="002F13ED" w:rsidP="000127B6">
      <w:r w:rsidRPr="004E5D37">
        <w:t xml:space="preserve">Návrh novely zákona o oceňování majetku </w:t>
      </w:r>
      <w:r w:rsidR="00712428" w:rsidRPr="004E5D37">
        <w:t>j</w:t>
      </w:r>
      <w:r w:rsidR="004E5D37" w:rsidRPr="004E5D37">
        <w:t>e technickým předpisem (normou)</w:t>
      </w:r>
      <w:r w:rsidR="00712428" w:rsidRPr="004E5D37">
        <w:t xml:space="preserve"> </w:t>
      </w:r>
      <w:r w:rsidR="00A07B95" w:rsidRPr="004E5D37">
        <w:t xml:space="preserve">vnášející úpravy do </w:t>
      </w:r>
      <w:r w:rsidR="00712428" w:rsidRPr="004E5D37">
        <w:t>oblast</w:t>
      </w:r>
      <w:r w:rsidR="00A07B95" w:rsidRPr="004E5D37">
        <w:t>i</w:t>
      </w:r>
      <w:r w:rsidR="00712428" w:rsidRPr="004E5D37">
        <w:t xml:space="preserve"> oceňování</w:t>
      </w:r>
      <w:r w:rsidR="000127B6" w:rsidRPr="004E5D37">
        <w:t xml:space="preserve"> </w:t>
      </w:r>
      <w:r w:rsidR="00712428" w:rsidRPr="004E5D37">
        <w:t>majetku</w:t>
      </w:r>
      <w:r w:rsidR="00184388" w:rsidRPr="004E5D37">
        <w:t>,</w:t>
      </w:r>
      <w:r w:rsidR="00712428" w:rsidRPr="004E5D37">
        <w:t xml:space="preserve"> </w:t>
      </w:r>
      <w:r w:rsidR="000127B6" w:rsidRPr="004E5D37">
        <w:t>nezvyšuje administrati</w:t>
      </w:r>
      <w:r w:rsidR="00F509B7">
        <w:t>vní náročnost, ani nemá vliv na </w:t>
      </w:r>
      <w:r w:rsidR="000127B6" w:rsidRPr="004E5D37">
        <w:t xml:space="preserve">státní či jiné rozpočty. Jeho </w:t>
      </w:r>
      <w:r w:rsidR="004E5D37">
        <w:t>úkolem</w:t>
      </w:r>
      <w:r w:rsidR="000127B6" w:rsidRPr="004E5D37">
        <w:t xml:space="preserve"> je</w:t>
      </w:r>
      <w:r w:rsidR="004E5D37">
        <w:t>,</w:t>
      </w:r>
      <w:r w:rsidR="000127B6" w:rsidRPr="004E5D37">
        <w:t xml:space="preserve"> </w:t>
      </w:r>
      <w:r w:rsidR="004E5D37">
        <w:t xml:space="preserve">ve vazbě na vývoj trhu a legislativního prostředí, </w:t>
      </w:r>
      <w:r w:rsidR="000127B6" w:rsidRPr="004E5D37">
        <w:t xml:space="preserve">nastavit </w:t>
      </w:r>
      <w:r w:rsidR="00072BEA" w:rsidRPr="004E5D37">
        <w:t xml:space="preserve">nově některá </w:t>
      </w:r>
      <w:r w:rsidR="000127B6" w:rsidRPr="004E5D37">
        <w:t>pravidla</w:t>
      </w:r>
      <w:r w:rsidR="007070D6" w:rsidRPr="004E5D37">
        <w:t>,</w:t>
      </w:r>
      <w:r w:rsidR="00341466">
        <w:t xml:space="preserve"> </w:t>
      </w:r>
      <w:r w:rsidR="0001476B">
        <w:t>doplnit ocenění o tržní hodnotu a</w:t>
      </w:r>
      <w:r w:rsidR="0001476B" w:rsidRPr="004E5D37">
        <w:t xml:space="preserve"> </w:t>
      </w:r>
      <w:r w:rsidR="007070D6" w:rsidRPr="004E5D37">
        <w:t xml:space="preserve">upravit stávající </w:t>
      </w:r>
      <w:r w:rsidR="00072BEA" w:rsidRPr="004E5D37">
        <w:t>text</w:t>
      </w:r>
      <w:r w:rsidR="0001476B">
        <w:t>y vybraných ustanovení</w:t>
      </w:r>
      <w:r w:rsidR="007070D6" w:rsidRPr="004E5D37">
        <w:t>.</w:t>
      </w:r>
      <w:r w:rsidR="000127B6" w:rsidRPr="004E5D37">
        <w:t xml:space="preserve"> </w:t>
      </w:r>
    </w:p>
    <w:p w:rsidR="0042656E" w:rsidRPr="002F13ED" w:rsidRDefault="0042656E" w:rsidP="000127B6">
      <w:pPr>
        <w:rPr>
          <w:strike/>
        </w:rPr>
      </w:pPr>
    </w:p>
    <w:p w:rsidR="000127B6" w:rsidRPr="002F74FD" w:rsidRDefault="000127B6" w:rsidP="002477F2">
      <w:pPr>
        <w:pStyle w:val="Nadpis1"/>
        <w:numPr>
          <w:ilvl w:val="0"/>
          <w:numId w:val="7"/>
        </w:numPr>
      </w:pPr>
      <w:bookmarkStart w:id="14" w:name="_Toc403043695"/>
      <w:bookmarkStart w:id="15" w:name="_Toc406589425"/>
      <w:r w:rsidRPr="002F74FD">
        <w:t>Přezkum účinnosti regulace</w:t>
      </w:r>
      <w:bookmarkEnd w:id="14"/>
      <w:bookmarkEnd w:id="15"/>
      <w:r w:rsidRPr="002F74FD">
        <w:t xml:space="preserve"> </w:t>
      </w:r>
    </w:p>
    <w:p w:rsidR="000127B6" w:rsidRPr="00FE477E" w:rsidRDefault="000127B6" w:rsidP="00A877A7">
      <w:r w:rsidRPr="00FE477E">
        <w:t>Předkladatel prov</w:t>
      </w:r>
      <w:r w:rsidR="00A877A7" w:rsidRPr="00FE477E">
        <w:t>edl</w:t>
      </w:r>
      <w:r w:rsidRPr="00FE477E">
        <w:t xml:space="preserve"> přezkum účinnosti </w:t>
      </w:r>
      <w:r w:rsidR="00C70097" w:rsidRPr="00FE477E">
        <w:t>stávajícího zákona o</w:t>
      </w:r>
      <w:r w:rsidR="00FD1235">
        <w:t> </w:t>
      </w:r>
      <w:r w:rsidR="00C70097" w:rsidRPr="00FE477E">
        <w:t xml:space="preserve">oceňování majetku </w:t>
      </w:r>
      <w:r w:rsidRPr="00FE477E">
        <w:t>v souladu s §</w:t>
      </w:r>
      <w:r w:rsidR="00FD1235">
        <w:t> </w:t>
      </w:r>
      <w:r w:rsidRPr="00FE477E">
        <w:t xml:space="preserve">22 kompetenčního </w:t>
      </w:r>
      <w:r w:rsidR="00AF3527">
        <w:t xml:space="preserve">zákona, </w:t>
      </w:r>
      <w:r w:rsidR="00AF3527" w:rsidRPr="009A58E1">
        <w:t>a to s tímto výsledkem (vyhodnocením):</w:t>
      </w:r>
      <w:r w:rsidR="00C70097" w:rsidRPr="009A58E1">
        <w:t xml:space="preserve"> </w:t>
      </w:r>
    </w:p>
    <w:p w:rsidR="000127B6" w:rsidRPr="00FB70F0" w:rsidRDefault="000127B6" w:rsidP="000127B6">
      <w:r w:rsidRPr="00FE477E">
        <w:t xml:space="preserve">a) </w:t>
      </w:r>
      <w:r w:rsidR="00A877A7" w:rsidRPr="00FB70F0">
        <w:t>stávající zákon o</w:t>
      </w:r>
      <w:r w:rsidR="00FD1235">
        <w:t> </w:t>
      </w:r>
      <w:r w:rsidR="00A877A7" w:rsidRPr="00FB70F0">
        <w:t xml:space="preserve">oceňování majetku </w:t>
      </w:r>
      <w:r w:rsidR="00EC40C9" w:rsidRPr="00FB70F0">
        <w:t>umožňuj</w:t>
      </w:r>
      <w:r w:rsidR="009A58E1" w:rsidRPr="00FB70F0">
        <w:t>e oceňování majetku omezeně</w:t>
      </w:r>
      <w:r w:rsidR="006A773C">
        <w:t>,</w:t>
      </w:r>
      <w:r w:rsidR="006A773C" w:rsidRPr="006A773C">
        <w:rPr>
          <w:color w:val="FF0000"/>
        </w:rPr>
        <w:t xml:space="preserve"> </w:t>
      </w:r>
      <w:r w:rsidR="006A773C" w:rsidRPr="00ED2D02">
        <w:t>například při nedostatku údajů</w:t>
      </w:r>
      <w:r w:rsidR="009A58E1" w:rsidRPr="00ED2D02">
        <w:t xml:space="preserve">, </w:t>
      </w:r>
      <w:r w:rsidR="009A58E1" w:rsidRPr="00FB70F0">
        <w:t>protože</w:t>
      </w:r>
      <w:r w:rsidR="00AF3527" w:rsidRPr="00FB70F0">
        <w:t xml:space="preserve"> byl</w:t>
      </w:r>
      <w:r w:rsidR="00EC40C9" w:rsidRPr="00FB70F0">
        <w:t xml:space="preserve"> </w:t>
      </w:r>
      <w:r w:rsidR="009A58E1" w:rsidRPr="00FB70F0">
        <w:t>přizpůsoben době,</w:t>
      </w:r>
      <w:r w:rsidR="00EC40C9" w:rsidRPr="00FB70F0">
        <w:t xml:space="preserve"> ve</w:t>
      </w:r>
      <w:r w:rsidR="00FD1235">
        <w:t> </w:t>
      </w:r>
      <w:r w:rsidR="00EC40C9" w:rsidRPr="00FB70F0">
        <w:t>které vznikl</w:t>
      </w:r>
      <w:r w:rsidR="009A58E1" w:rsidRPr="00FB70F0">
        <w:t>,</w:t>
      </w:r>
      <w:r w:rsidR="00EC40C9" w:rsidRPr="00FB70F0">
        <w:t xml:space="preserve"> a</w:t>
      </w:r>
      <w:r w:rsidR="00FD1235">
        <w:t> kdy z </w:t>
      </w:r>
      <w:r w:rsidR="00EC40C9" w:rsidRPr="00FB70F0">
        <w:t xml:space="preserve">důvodu neexistence </w:t>
      </w:r>
      <w:r w:rsidR="00C04876" w:rsidRPr="00FB70F0">
        <w:t xml:space="preserve">volného </w:t>
      </w:r>
      <w:r w:rsidR="00EC40C9" w:rsidRPr="00FB70F0">
        <w:t xml:space="preserve">trhu nebylo možné volit jiné </w:t>
      </w:r>
      <w:r w:rsidR="009A58E1" w:rsidRPr="00FB70F0">
        <w:t>řešení. Ve</w:t>
      </w:r>
      <w:r w:rsidR="00FD1235">
        <w:t> </w:t>
      </w:r>
      <w:r w:rsidR="009A58E1" w:rsidRPr="00FB70F0">
        <w:t>vztahu k</w:t>
      </w:r>
      <w:r w:rsidR="00FD1235">
        <w:t> </w:t>
      </w:r>
      <w:r w:rsidR="009A58E1" w:rsidRPr="00FB70F0">
        <w:t>vývoji volného trhu</w:t>
      </w:r>
      <w:r w:rsidR="00C04876" w:rsidRPr="00FB70F0">
        <w:t>, který mezitím proběhl,</w:t>
      </w:r>
      <w:r w:rsidR="009A58E1" w:rsidRPr="00FB70F0">
        <w:t xml:space="preserve"> </w:t>
      </w:r>
      <w:r w:rsidR="00C04876" w:rsidRPr="00FB70F0">
        <w:t>j</w:t>
      </w:r>
      <w:r w:rsidR="00EC40C9" w:rsidRPr="00FB70F0">
        <w:t>e potřebné</w:t>
      </w:r>
      <w:r w:rsidR="00C04876" w:rsidRPr="00FB70F0">
        <w:t xml:space="preserve"> </w:t>
      </w:r>
      <w:r w:rsidR="00BB230A">
        <w:t xml:space="preserve">jeho </w:t>
      </w:r>
      <w:r w:rsidR="00C04876" w:rsidRPr="00FB70F0">
        <w:t>znění</w:t>
      </w:r>
      <w:r w:rsidR="00EC40C9" w:rsidRPr="00FB70F0">
        <w:t xml:space="preserve"> upravit</w:t>
      </w:r>
      <w:r w:rsidR="00C04876" w:rsidRPr="00FB70F0">
        <w:t xml:space="preserve"> tak</w:t>
      </w:r>
      <w:r w:rsidR="00616BD8">
        <w:t>,</w:t>
      </w:r>
      <w:r w:rsidR="00C04876" w:rsidRPr="00FB70F0">
        <w:t xml:space="preserve"> aby reflektoval</w:t>
      </w:r>
      <w:r w:rsidR="00AF3527" w:rsidRPr="00FB70F0">
        <w:t xml:space="preserve"> </w:t>
      </w:r>
      <w:r w:rsidR="00EC40C9" w:rsidRPr="00FB70F0">
        <w:t>změny na</w:t>
      </w:r>
      <w:r w:rsidR="00FD1235">
        <w:t> </w:t>
      </w:r>
      <w:r w:rsidR="00EC40C9" w:rsidRPr="00FB70F0">
        <w:t>trhu s nemovitými věcmi</w:t>
      </w:r>
      <w:r w:rsidR="00A877A7" w:rsidRPr="00FB70F0">
        <w:t xml:space="preserve">, </w:t>
      </w:r>
    </w:p>
    <w:p w:rsidR="005044BF" w:rsidRPr="00C95E96" w:rsidRDefault="000127B6" w:rsidP="005044BF">
      <w:pPr>
        <w:rPr>
          <w:strike/>
        </w:rPr>
      </w:pPr>
      <w:r w:rsidRPr="00FE477E">
        <w:lastRenderedPageBreak/>
        <w:t>b)</w:t>
      </w:r>
      <w:r w:rsidR="00616BD8" w:rsidRPr="00616BD8">
        <w:t xml:space="preserve"> </w:t>
      </w:r>
      <w:r w:rsidR="00616BD8" w:rsidRPr="00FB70F0">
        <w:t>je potřebné</w:t>
      </w:r>
      <w:r w:rsidR="00616BD8">
        <w:t xml:space="preserve"> </w:t>
      </w:r>
      <w:r w:rsidR="00616BD8" w:rsidRPr="00FB70F0">
        <w:t>znění stávající</w:t>
      </w:r>
      <w:r w:rsidR="00616BD8">
        <w:t>ho</w:t>
      </w:r>
      <w:r w:rsidR="00616BD8" w:rsidRPr="00FB70F0">
        <w:t xml:space="preserve"> zákon</w:t>
      </w:r>
      <w:r w:rsidR="00616BD8">
        <w:t>a</w:t>
      </w:r>
      <w:r w:rsidR="00616BD8" w:rsidRPr="00FB70F0">
        <w:t xml:space="preserve"> o</w:t>
      </w:r>
      <w:r w:rsidR="00FD1235">
        <w:t> </w:t>
      </w:r>
      <w:r w:rsidR="00616BD8" w:rsidRPr="00FB70F0">
        <w:t>oceňování majetku upravit tak</w:t>
      </w:r>
      <w:r w:rsidR="00616BD8">
        <w:t>,</w:t>
      </w:r>
      <w:r w:rsidR="00616BD8" w:rsidRPr="00FB70F0">
        <w:t xml:space="preserve"> aby</w:t>
      </w:r>
      <w:r w:rsidRPr="00FE477E">
        <w:t xml:space="preserve"> </w:t>
      </w:r>
      <w:r w:rsidR="003A3E8F">
        <w:t>reag</w:t>
      </w:r>
      <w:r w:rsidR="00616BD8">
        <w:t>oval</w:t>
      </w:r>
      <w:r w:rsidR="003A3E8F" w:rsidRPr="00FB70F0">
        <w:t xml:space="preserve"> na</w:t>
      </w:r>
      <w:r w:rsidR="0040497A" w:rsidRPr="003A3E8F">
        <w:t xml:space="preserve"> </w:t>
      </w:r>
      <w:r w:rsidR="005044BF" w:rsidRPr="00FE477E">
        <w:t>změny</w:t>
      </w:r>
      <w:r w:rsidR="00C70097" w:rsidRPr="00FE477E">
        <w:t xml:space="preserve"> </w:t>
      </w:r>
      <w:r w:rsidR="003A3E8F" w:rsidRPr="00FB70F0">
        <w:t>v právních předpisech</w:t>
      </w:r>
      <w:r w:rsidR="005044BF" w:rsidRPr="00FE477E">
        <w:t xml:space="preserve">, </w:t>
      </w:r>
    </w:p>
    <w:p w:rsidR="000127B6" w:rsidRPr="00FE477E" w:rsidRDefault="000127B6" w:rsidP="000127B6">
      <w:r w:rsidRPr="00FE477E">
        <w:t xml:space="preserve">c) </w:t>
      </w:r>
      <w:r w:rsidR="00E70A2C" w:rsidRPr="00FB70F0">
        <w:t>je potřebné</w:t>
      </w:r>
      <w:r w:rsidR="00E70A2C">
        <w:t xml:space="preserve"> </w:t>
      </w:r>
      <w:r w:rsidR="00E70A2C" w:rsidRPr="00FB70F0">
        <w:t>znění stávající</w:t>
      </w:r>
      <w:r w:rsidR="00E70A2C">
        <w:t>ho</w:t>
      </w:r>
      <w:r w:rsidR="00E70A2C" w:rsidRPr="00FB70F0">
        <w:t xml:space="preserve"> zákon</w:t>
      </w:r>
      <w:r w:rsidR="00E70A2C">
        <w:t>a</w:t>
      </w:r>
      <w:r w:rsidR="00E70A2C" w:rsidRPr="00FB70F0">
        <w:t xml:space="preserve"> o</w:t>
      </w:r>
      <w:r w:rsidR="00FD1235">
        <w:t> </w:t>
      </w:r>
      <w:r w:rsidR="00E70A2C" w:rsidRPr="00FB70F0">
        <w:t>oceňování majetku upravit tak</w:t>
      </w:r>
      <w:r w:rsidR="00E70A2C">
        <w:t>,</w:t>
      </w:r>
      <w:r w:rsidR="00E70A2C" w:rsidRPr="00FB70F0">
        <w:t xml:space="preserve"> aby</w:t>
      </w:r>
      <w:r w:rsidR="00E70A2C" w:rsidRPr="00FE477E">
        <w:t xml:space="preserve"> </w:t>
      </w:r>
      <w:r w:rsidR="008F398E">
        <w:t xml:space="preserve">byly </w:t>
      </w:r>
      <w:r w:rsidR="005044BF" w:rsidRPr="00FE477E">
        <w:t>r</w:t>
      </w:r>
      <w:r w:rsidR="008F398E">
        <w:t>ozšířeny</w:t>
      </w:r>
      <w:r w:rsidR="005044BF" w:rsidRPr="00FE477E">
        <w:t xml:space="preserve"> možnosti </w:t>
      </w:r>
      <w:r w:rsidR="008F398E">
        <w:t xml:space="preserve">jeho využití, </w:t>
      </w:r>
      <w:r w:rsidR="005044BF" w:rsidRPr="00FE477E">
        <w:t>ocenění co nejlépe odpovídalo skutečnosti</w:t>
      </w:r>
      <w:r w:rsidRPr="00FE477E">
        <w:t xml:space="preserve"> </w:t>
      </w:r>
      <w:r w:rsidR="005044BF" w:rsidRPr="00FE477E">
        <w:t>a</w:t>
      </w:r>
      <w:r w:rsidR="00FD1235">
        <w:t> </w:t>
      </w:r>
      <w:r w:rsidR="005044BF" w:rsidRPr="00FE477E">
        <w:t xml:space="preserve">bylo </w:t>
      </w:r>
      <w:r w:rsidR="005832E0" w:rsidRPr="00FE477E">
        <w:t>důvěryhodným podkladem pro rozhodnutí,</w:t>
      </w:r>
      <w:r w:rsidR="00F47BEB">
        <w:t xml:space="preserve"> </w:t>
      </w:r>
    </w:p>
    <w:p w:rsidR="000127B6" w:rsidRPr="00F54E35" w:rsidRDefault="000127B6" w:rsidP="000127B6">
      <w:r w:rsidRPr="00FE477E">
        <w:t xml:space="preserve">d) </w:t>
      </w:r>
      <w:r w:rsidR="00F54E35" w:rsidRPr="00FE477E">
        <w:t>ze samotného užívání zákona</w:t>
      </w:r>
      <w:r w:rsidR="00F54E35" w:rsidRPr="00F54E35">
        <w:t xml:space="preserve"> </w:t>
      </w:r>
      <w:r w:rsidR="00F54E35" w:rsidRPr="00FB70F0">
        <w:t>o oceňování majetku</w:t>
      </w:r>
      <w:r w:rsidR="00F54E35" w:rsidRPr="00F54E35">
        <w:t xml:space="preserve"> </w:t>
      </w:r>
      <w:r w:rsidR="00F54E35" w:rsidRPr="00FE477E">
        <w:t xml:space="preserve">nemohou </w:t>
      </w:r>
      <w:r w:rsidRPr="00FE477E">
        <w:t>neočekávan</w:t>
      </w:r>
      <w:r w:rsidR="005832E0" w:rsidRPr="00FE477E">
        <w:t>é</w:t>
      </w:r>
      <w:r w:rsidRPr="00FE477E">
        <w:t xml:space="preserve"> dopad</w:t>
      </w:r>
      <w:r w:rsidR="005832E0" w:rsidRPr="00FE477E">
        <w:t>y</w:t>
      </w:r>
      <w:r w:rsidR="00F54E35" w:rsidRPr="00F54E35">
        <w:t xml:space="preserve"> </w:t>
      </w:r>
      <w:r w:rsidR="00F54E35" w:rsidRPr="00FE477E">
        <w:t>vyplynout</w:t>
      </w:r>
      <w:r w:rsidR="00F54E35">
        <w:t xml:space="preserve">, </w:t>
      </w:r>
      <w:r w:rsidR="005832E0" w:rsidRPr="00FE477E">
        <w:t>m</w:t>
      </w:r>
      <w:r w:rsidR="00C70097" w:rsidRPr="00FE477E">
        <w:t>ohou</w:t>
      </w:r>
      <w:r w:rsidR="005832E0" w:rsidRPr="00FE477E">
        <w:t xml:space="preserve"> být ovlivněn</w:t>
      </w:r>
      <w:r w:rsidR="00C70097" w:rsidRPr="00FE477E">
        <w:t>y</w:t>
      </w:r>
      <w:r w:rsidR="005832E0" w:rsidRPr="00FE477E">
        <w:t xml:space="preserve"> </w:t>
      </w:r>
      <w:r w:rsidR="00F54E35">
        <w:t xml:space="preserve">pouze </w:t>
      </w:r>
      <w:r w:rsidR="005832E0" w:rsidRPr="00F54E35">
        <w:t xml:space="preserve">vnějšími </w:t>
      </w:r>
      <w:r w:rsidR="00C95E96" w:rsidRPr="00F54E35">
        <w:t xml:space="preserve">či </w:t>
      </w:r>
      <w:r w:rsidR="005832E0" w:rsidRPr="00F54E35">
        <w:t>nepředpokládanými vlivy (</w:t>
      </w:r>
      <w:r w:rsidR="00C95E96" w:rsidRPr="00F54E35">
        <w:t>riziko - světové</w:t>
      </w:r>
      <w:r w:rsidR="005832E0" w:rsidRPr="00F54E35">
        <w:t xml:space="preserve"> ekonomická krize, živelné pohromy, změny politického prostředí</w:t>
      </w:r>
      <w:r w:rsidR="00C95E96" w:rsidRPr="00F54E35">
        <w:t>,</w:t>
      </w:r>
      <w:r w:rsidR="005832E0" w:rsidRPr="00F54E35">
        <w:t xml:space="preserve"> apod.)</w:t>
      </w:r>
      <w:r w:rsidRPr="00F54E35">
        <w:t xml:space="preserve">. </w:t>
      </w:r>
    </w:p>
    <w:p w:rsidR="00E83C0D" w:rsidRPr="00FE477E" w:rsidRDefault="00E83C0D" w:rsidP="000127B6"/>
    <w:p w:rsidR="000127B6" w:rsidRPr="001B1F02" w:rsidRDefault="000127B6" w:rsidP="00A46467">
      <w:pPr>
        <w:pStyle w:val="Nadpis1"/>
        <w:numPr>
          <w:ilvl w:val="0"/>
          <w:numId w:val="7"/>
        </w:numPr>
      </w:pPr>
      <w:bookmarkStart w:id="16" w:name="_Toc403043696"/>
      <w:bookmarkStart w:id="17" w:name="_Toc406589426"/>
      <w:r w:rsidRPr="001B1F02">
        <w:t>Konzultace a zdroje dat</w:t>
      </w:r>
      <w:bookmarkEnd w:id="16"/>
      <w:bookmarkEnd w:id="17"/>
      <w:r w:rsidRPr="001B1F02">
        <w:t xml:space="preserve"> </w:t>
      </w:r>
    </w:p>
    <w:p w:rsidR="007D10CE" w:rsidRPr="00B87CD4" w:rsidRDefault="00EF5CB1" w:rsidP="007D10CE">
      <w:pPr>
        <w:rPr>
          <w:color w:val="FF0000"/>
        </w:rPr>
      </w:pPr>
      <w:r w:rsidRPr="005B4E7A">
        <w:t xml:space="preserve">Důvody pro navrhovanou </w:t>
      </w:r>
      <w:r w:rsidR="00A4026C">
        <w:t>úpravu</w:t>
      </w:r>
      <w:r w:rsidRPr="005B4E7A">
        <w:t xml:space="preserve"> zákona o oceňování majetku, kromě potřeby reagovat na změny</w:t>
      </w:r>
      <w:r w:rsidR="000C01EA" w:rsidRPr="000C01EA">
        <w:t xml:space="preserve"> </w:t>
      </w:r>
      <w:r w:rsidR="000C01EA">
        <w:t>v </w:t>
      </w:r>
      <w:r w:rsidR="000C01EA" w:rsidRPr="005B4E7A">
        <w:t xml:space="preserve">legislativních </w:t>
      </w:r>
      <w:r w:rsidR="000C01EA">
        <w:t>předpisech zasahujících do oblasti oceňování,</w:t>
      </w:r>
      <w:r w:rsidRPr="005B4E7A">
        <w:t xml:space="preserve"> </w:t>
      </w:r>
      <w:r w:rsidR="000C01EA">
        <w:t>či</w:t>
      </w:r>
      <w:r w:rsidRPr="005B4E7A">
        <w:t xml:space="preserve"> </w:t>
      </w:r>
      <w:r w:rsidR="006C7D02" w:rsidRPr="005B4E7A">
        <w:t xml:space="preserve">reflektovat </w:t>
      </w:r>
      <w:r w:rsidRPr="005B4E7A">
        <w:t>vývoj volného trhu, vyplynuly jako zpětnovazebná reakce</w:t>
      </w:r>
      <w:r w:rsidR="004B0487" w:rsidRPr="004B0487">
        <w:rPr>
          <w:rFonts w:eastAsia="MS Mincho"/>
          <w:bCs/>
          <w:color w:val="FF0000"/>
        </w:rPr>
        <w:t xml:space="preserve"> </w:t>
      </w:r>
      <w:r w:rsidR="006F40C5" w:rsidRPr="006F40C5">
        <w:rPr>
          <w:rFonts w:eastAsia="MS Mincho"/>
          <w:bCs/>
        </w:rPr>
        <w:t>z</w:t>
      </w:r>
      <w:r w:rsidR="004B0487" w:rsidRPr="006F40C5">
        <w:rPr>
          <w:rFonts w:eastAsia="MS Mincho"/>
          <w:bCs/>
        </w:rPr>
        <w:t xml:space="preserve"> </w:t>
      </w:r>
      <w:r w:rsidR="00611D2D" w:rsidRPr="006F40C5">
        <w:rPr>
          <w:rFonts w:eastAsia="MS Mincho"/>
          <w:bCs/>
        </w:rPr>
        <w:t xml:space="preserve">doporučení </w:t>
      </w:r>
      <w:r w:rsidR="004B0487" w:rsidRPr="006F40C5">
        <w:rPr>
          <w:rFonts w:eastAsia="MS Mincho"/>
          <w:bCs/>
        </w:rPr>
        <w:t xml:space="preserve">odboru </w:t>
      </w:r>
      <w:r w:rsidR="004B0487" w:rsidRPr="00775A21">
        <w:rPr>
          <w:rFonts w:eastAsia="MS Mincho"/>
          <w:bCs/>
        </w:rPr>
        <w:t>Státní majetek Ministerstva financí,</w:t>
      </w:r>
      <w:r w:rsidR="00837634">
        <w:rPr>
          <w:rFonts w:eastAsia="MS Mincho"/>
          <w:bCs/>
        </w:rPr>
        <w:t xml:space="preserve"> návrhu</w:t>
      </w:r>
      <w:r w:rsidR="004B0487" w:rsidRPr="00775A21">
        <w:rPr>
          <w:rFonts w:eastAsia="MS Mincho"/>
          <w:bCs/>
        </w:rPr>
        <w:t xml:space="preserve"> Ministerstva zemědělství, připo</w:t>
      </w:r>
      <w:r w:rsidR="00FD1235">
        <w:rPr>
          <w:rFonts w:eastAsia="MS Mincho"/>
          <w:bCs/>
        </w:rPr>
        <w:t>mínky Legislativní rady vlády a </w:t>
      </w:r>
      <w:r w:rsidR="004B0487" w:rsidRPr="00775A21">
        <w:rPr>
          <w:rFonts w:eastAsia="MS Mincho"/>
          <w:bCs/>
        </w:rPr>
        <w:t>dále</w:t>
      </w:r>
      <w:r w:rsidRPr="00775A21">
        <w:t xml:space="preserve"> </w:t>
      </w:r>
      <w:r w:rsidR="003C067E">
        <w:t>z dotazů a podnětů</w:t>
      </w:r>
      <w:r w:rsidR="00A4026C">
        <w:t xml:space="preserve"> ze strany</w:t>
      </w:r>
      <w:r w:rsidRPr="005B4E7A">
        <w:t xml:space="preserve"> odborné veřejnosti</w:t>
      </w:r>
      <w:r w:rsidR="006C7D02" w:rsidRPr="005B4E7A">
        <w:t xml:space="preserve"> (zej</w:t>
      </w:r>
      <w:r w:rsidR="00FD1235">
        <w:t>ména znalců, znaleckých komor a </w:t>
      </w:r>
      <w:r w:rsidR="006C7D02" w:rsidRPr="005B4E7A">
        <w:t>ústavů při vysokých školách</w:t>
      </w:r>
      <w:r w:rsidR="006C7D02" w:rsidRPr="00B87CD4">
        <w:t>)</w:t>
      </w:r>
      <w:r w:rsidR="00B87CD4" w:rsidRPr="00B87CD4">
        <w:t>.</w:t>
      </w:r>
    </w:p>
    <w:p w:rsidR="00B53676" w:rsidRPr="005B4E7A" w:rsidRDefault="000127B6" w:rsidP="00B53676">
      <w:pPr>
        <w:rPr>
          <w:rFonts w:eastAsia="MS Mincho"/>
          <w:bCs/>
        </w:rPr>
      </w:pPr>
      <w:r w:rsidRPr="005B4E7A">
        <w:tab/>
      </w:r>
      <w:r w:rsidR="003C5E1C" w:rsidRPr="00D146C0">
        <w:t xml:space="preserve"> </w:t>
      </w:r>
      <w:r w:rsidR="008D6907" w:rsidRPr="005B4E7A">
        <w:rPr>
          <w:rFonts w:eastAsia="MS Mincho"/>
          <w:bCs/>
        </w:rPr>
        <w:t xml:space="preserve">Konzultace </w:t>
      </w:r>
      <w:r w:rsidR="008D6907" w:rsidRPr="005B4E7A">
        <w:t xml:space="preserve">navrhované novely zákona o oceňování majetku </w:t>
      </w:r>
      <w:r w:rsidR="008D6907" w:rsidRPr="005B4E7A">
        <w:rPr>
          <w:rFonts w:eastAsia="MS Mincho"/>
          <w:bCs/>
        </w:rPr>
        <w:t>proběhly s</w:t>
      </w:r>
      <w:r w:rsidR="00B53676" w:rsidRPr="005B4E7A">
        <w:rPr>
          <w:rFonts w:eastAsia="MS Mincho"/>
          <w:bCs/>
        </w:rPr>
        <w:t xml:space="preserve"> ústředními orgány státní správy, vysokými školami, profesními organizacemi, finančními úřady, soudními znalci, odbornou veřejností, atd.</w:t>
      </w:r>
    </w:p>
    <w:p w:rsidR="00E83C0D" w:rsidRDefault="005B4E7A" w:rsidP="000127B6">
      <w:r w:rsidRPr="005B4E7A">
        <w:t>Zdrojem dat</w:t>
      </w:r>
      <w:r w:rsidR="005A38CE">
        <w:t xml:space="preserve"> </w:t>
      </w:r>
      <w:r w:rsidR="005A38CE" w:rsidRPr="00775A21">
        <w:t>a informací</w:t>
      </w:r>
      <w:r w:rsidRPr="00775A21">
        <w:t xml:space="preserve"> </w:t>
      </w:r>
      <w:r w:rsidRPr="005B4E7A">
        <w:t>jsou vlastní databáze Ministerstva financí</w:t>
      </w:r>
      <w:r w:rsidR="00F47BEB">
        <w:t>, a </w:t>
      </w:r>
      <w:r w:rsidR="005A38CE">
        <w:t>Ministerstvo zemědělství v případech, kdy je spolupracujícím rezortem</w:t>
      </w:r>
      <w:r w:rsidR="00582A0E">
        <w:t>.</w:t>
      </w:r>
      <w:r w:rsidR="00B53B29">
        <w:t xml:space="preserve"> </w:t>
      </w:r>
    </w:p>
    <w:p w:rsidR="00E83C0D" w:rsidRPr="00FE477E" w:rsidRDefault="00E83C0D" w:rsidP="000127B6"/>
    <w:p w:rsidR="00C83B08" w:rsidRDefault="00C83B08" w:rsidP="00C83B08">
      <w:pPr>
        <w:pStyle w:val="Nadpis1"/>
        <w:numPr>
          <w:ilvl w:val="0"/>
          <w:numId w:val="7"/>
        </w:numPr>
      </w:pPr>
      <w:r>
        <w:t>Kontakt na zpracovatele RIA</w:t>
      </w:r>
    </w:p>
    <w:p w:rsidR="00C83B08" w:rsidRPr="00E35722" w:rsidRDefault="00C83B08" w:rsidP="00C83B08">
      <w:pPr>
        <w:pStyle w:val="Nadpis1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E35722">
        <w:rPr>
          <w:b w:val="0"/>
          <w:sz w:val="24"/>
          <w:szCs w:val="24"/>
        </w:rPr>
        <w:t>Ing. Petr Polák</w:t>
      </w:r>
    </w:p>
    <w:p w:rsidR="00C83B08" w:rsidRPr="00E35722" w:rsidRDefault="00C83B08" w:rsidP="00C83B08">
      <w:pPr>
        <w:pStyle w:val="Nadpis1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E35722">
        <w:rPr>
          <w:b w:val="0"/>
          <w:sz w:val="24"/>
          <w:szCs w:val="24"/>
        </w:rPr>
        <w:t>Ministerstvo financí, odbor 26 - Majetkové daně a oceňování,</w:t>
      </w:r>
    </w:p>
    <w:p w:rsidR="00C83B08" w:rsidRPr="00E35722" w:rsidRDefault="00C83B08" w:rsidP="00C83B08">
      <w:pPr>
        <w:pStyle w:val="Nadpis1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E35722">
        <w:rPr>
          <w:b w:val="0"/>
          <w:sz w:val="24"/>
          <w:szCs w:val="24"/>
        </w:rPr>
        <w:t>oddělení 2602 – Oceňování majetku</w:t>
      </w:r>
    </w:p>
    <w:p w:rsidR="00C83B08" w:rsidRPr="00FE477E" w:rsidRDefault="00C83B08" w:rsidP="00C83B08">
      <w:pPr>
        <w:pStyle w:val="Nadpis1"/>
        <w:numPr>
          <w:ilvl w:val="0"/>
          <w:numId w:val="0"/>
        </w:numPr>
        <w:ind w:left="360"/>
      </w:pPr>
      <w:r w:rsidRPr="00E35722">
        <w:rPr>
          <w:b w:val="0"/>
          <w:sz w:val="24"/>
          <w:szCs w:val="24"/>
        </w:rPr>
        <w:t>te</w:t>
      </w:r>
      <w:r w:rsidR="0036290B">
        <w:rPr>
          <w:b w:val="0"/>
          <w:sz w:val="24"/>
          <w:szCs w:val="24"/>
        </w:rPr>
        <w:t>l</w:t>
      </w:r>
      <w:r w:rsidRPr="00E35722">
        <w:rPr>
          <w:b w:val="0"/>
          <w:sz w:val="24"/>
          <w:szCs w:val="24"/>
        </w:rPr>
        <w:t>.: +420 257 044 265, e-mail: petr.polak2@mfcr.cz</w:t>
      </w:r>
      <w:r>
        <w:rPr>
          <w:b w:val="0"/>
        </w:rPr>
        <w:t xml:space="preserve"> </w:t>
      </w:r>
      <w:r w:rsidRPr="00FE477E">
        <w:t xml:space="preserve"> </w:t>
      </w:r>
    </w:p>
    <w:p w:rsidR="000127B6" w:rsidRPr="00FE477E" w:rsidRDefault="000127B6" w:rsidP="000127B6">
      <w:pPr>
        <w:spacing w:before="0" w:after="0" w:line="240" w:lineRule="auto"/>
        <w:ind w:firstLine="0"/>
        <w:jc w:val="left"/>
        <w:rPr>
          <w:rFonts w:cs="Arial"/>
          <w:b/>
          <w:sz w:val="28"/>
          <w:szCs w:val="28"/>
        </w:rPr>
      </w:pPr>
    </w:p>
    <w:sectPr w:rsidR="000127B6" w:rsidRPr="00FE477E" w:rsidSect="00F44EB5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7A" w:rsidRDefault="0071257A" w:rsidP="00F300BB">
      <w:r>
        <w:separator/>
      </w:r>
    </w:p>
  </w:endnote>
  <w:endnote w:type="continuationSeparator" w:id="0">
    <w:p w:rsidR="0071257A" w:rsidRDefault="0071257A" w:rsidP="00F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459463"/>
      <w:docPartObj>
        <w:docPartGallery w:val="Page Numbers (Bottom of Page)"/>
        <w:docPartUnique/>
      </w:docPartObj>
    </w:sdtPr>
    <w:sdtEndPr/>
    <w:sdtContent>
      <w:p w:rsidR="0071257A" w:rsidRDefault="007125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B3">
          <w:rPr>
            <w:noProof/>
          </w:rPr>
          <w:t>38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663887"/>
      <w:docPartObj>
        <w:docPartGallery w:val="Page Numbers (Bottom of Page)"/>
        <w:docPartUnique/>
      </w:docPartObj>
    </w:sdtPr>
    <w:sdtEndPr/>
    <w:sdtContent>
      <w:p w:rsidR="0071257A" w:rsidRDefault="0071257A" w:rsidP="00F44E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B3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7A" w:rsidRDefault="0071257A" w:rsidP="00F300BB">
      <w:r>
        <w:separator/>
      </w:r>
    </w:p>
  </w:footnote>
  <w:footnote w:type="continuationSeparator" w:id="0">
    <w:p w:rsidR="0071257A" w:rsidRDefault="0071257A" w:rsidP="00F300BB">
      <w:r>
        <w:continuationSeparator/>
      </w:r>
    </w:p>
  </w:footnote>
  <w:footnote w:id="1">
    <w:p w:rsidR="0071257A" w:rsidRPr="001068DF" w:rsidRDefault="0071257A" w:rsidP="00574750">
      <w:pPr>
        <w:pStyle w:val="Textpoznpodarou"/>
      </w:pPr>
      <w:r w:rsidRPr="001068DF">
        <w:rPr>
          <w:rStyle w:val="Znakapoznpodarou"/>
        </w:rPr>
        <w:footnoteRef/>
      </w:r>
      <w:r w:rsidRPr="001068DF">
        <w:t xml:space="preserve"> V případě, že se jedná o směrnici přijatou legislativním postupem, u které může být postupováno podle čl. 260 odst. 3 Smlouvy o fungování EU, tato skutečnost se výslovně uvede.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7A" w:rsidRPr="00515CE3" w:rsidRDefault="0071257A" w:rsidP="00515CE3">
    <w:pPr>
      <w:pStyle w:val="Zhlav"/>
      <w:spacing w:after="0"/>
      <w:jc w:val="right"/>
      <w:rPr>
        <w:b/>
      </w:rPr>
    </w:pPr>
    <w:r w:rsidRPr="00515CE3">
      <w:rPr>
        <w:b/>
      </w:rPr>
      <w:t>III.</w:t>
    </w:r>
  </w:p>
  <w:p w:rsidR="0071257A" w:rsidRDefault="0071257A" w:rsidP="00515CE3">
    <w:pPr>
      <w:pStyle w:val="Zhlav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C5"/>
    <w:multiLevelType w:val="hybridMultilevel"/>
    <w:tmpl w:val="151E7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770F0"/>
    <w:multiLevelType w:val="multilevel"/>
    <w:tmpl w:val="8492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CBA3B90"/>
    <w:multiLevelType w:val="hybridMultilevel"/>
    <w:tmpl w:val="F5E88202"/>
    <w:lvl w:ilvl="0" w:tplc="9C562FE6">
      <w:start w:val="1"/>
      <w:numFmt w:val="upperLetter"/>
      <w:lvlText w:val="%1"/>
      <w:lvlJc w:val="left"/>
      <w:pPr>
        <w:ind w:left="360" w:hanging="360"/>
      </w:pPr>
      <w:rPr>
        <w:b/>
      </w:rPr>
    </w:lvl>
    <w:lvl w:ilvl="1" w:tplc="AC3C3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3EC0538">
      <w:start w:val="1"/>
      <w:numFmt w:val="lowerLetter"/>
      <w:lvlText w:val="%3)"/>
      <w:lvlJc w:val="left"/>
      <w:pPr>
        <w:ind w:left="2340" w:hanging="360"/>
      </w:pPr>
      <w:rPr>
        <w:b w:val="0"/>
        <w:i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B0699"/>
    <w:multiLevelType w:val="hybridMultilevel"/>
    <w:tmpl w:val="BD48284A"/>
    <w:lvl w:ilvl="0" w:tplc="0C50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726D"/>
    <w:multiLevelType w:val="hybridMultilevel"/>
    <w:tmpl w:val="97ECE8D4"/>
    <w:lvl w:ilvl="0" w:tplc="1ADCE1A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E51A14"/>
    <w:multiLevelType w:val="multilevel"/>
    <w:tmpl w:val="8492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F895462"/>
    <w:multiLevelType w:val="multilevel"/>
    <w:tmpl w:val="8492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FC134CD"/>
    <w:multiLevelType w:val="hybridMultilevel"/>
    <w:tmpl w:val="E8F00556"/>
    <w:lvl w:ilvl="0" w:tplc="3DECF2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AB3960"/>
    <w:multiLevelType w:val="hybridMultilevel"/>
    <w:tmpl w:val="9D601152"/>
    <w:lvl w:ilvl="0" w:tplc="E65038E6">
      <w:start w:val="1"/>
      <w:numFmt w:val="upperLetter"/>
      <w:lvlText w:val="%1."/>
      <w:lvlJc w:val="left"/>
      <w:pPr>
        <w:ind w:left="987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C61A5B"/>
    <w:multiLevelType w:val="hybridMultilevel"/>
    <w:tmpl w:val="96BC1C5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2443DB"/>
    <w:multiLevelType w:val="hybridMultilevel"/>
    <w:tmpl w:val="5A00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F5543"/>
    <w:multiLevelType w:val="hybridMultilevel"/>
    <w:tmpl w:val="6376237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274FF9"/>
    <w:multiLevelType w:val="hybridMultilevel"/>
    <w:tmpl w:val="7E3E88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DFC074C"/>
    <w:multiLevelType w:val="hybridMultilevel"/>
    <w:tmpl w:val="9000F628"/>
    <w:lvl w:ilvl="0" w:tplc="2018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838B0"/>
    <w:multiLevelType w:val="hybridMultilevel"/>
    <w:tmpl w:val="3946A3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F7FC7"/>
    <w:multiLevelType w:val="hybridMultilevel"/>
    <w:tmpl w:val="8C60DCE0"/>
    <w:lvl w:ilvl="0" w:tplc="890AC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142FDF"/>
    <w:multiLevelType w:val="multilevel"/>
    <w:tmpl w:val="8492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B3B2740"/>
    <w:multiLevelType w:val="multilevel"/>
    <w:tmpl w:val="8492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598423F"/>
    <w:multiLevelType w:val="hybridMultilevel"/>
    <w:tmpl w:val="2FA2B48C"/>
    <w:lvl w:ilvl="0" w:tplc="4C944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FD3929"/>
    <w:multiLevelType w:val="multilevel"/>
    <w:tmpl w:val="414EDE8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7"/>
  </w:num>
  <w:num w:numId="13">
    <w:abstractNumId w:val="8"/>
  </w:num>
  <w:num w:numId="14">
    <w:abstractNumId w:val="10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1"/>
  </w:num>
  <w:num w:numId="19">
    <w:abstractNumId w:val="16"/>
  </w:num>
  <w:num w:numId="20">
    <w:abstractNumId w:val="17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4"/>
  </w:num>
  <w:num w:numId="26">
    <w:abstractNumId w:val="0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D"/>
    <w:rsid w:val="000022ED"/>
    <w:rsid w:val="000023F2"/>
    <w:rsid w:val="00002B50"/>
    <w:rsid w:val="00002D11"/>
    <w:rsid w:val="00003392"/>
    <w:rsid w:val="00003841"/>
    <w:rsid w:val="000044E2"/>
    <w:rsid w:val="00004A04"/>
    <w:rsid w:val="00004DE6"/>
    <w:rsid w:val="0000508D"/>
    <w:rsid w:val="000077B9"/>
    <w:rsid w:val="000106D1"/>
    <w:rsid w:val="00010CCC"/>
    <w:rsid w:val="000127B6"/>
    <w:rsid w:val="00012BB8"/>
    <w:rsid w:val="000145EC"/>
    <w:rsid w:val="0001476B"/>
    <w:rsid w:val="00014BB2"/>
    <w:rsid w:val="00014DEA"/>
    <w:rsid w:val="00015181"/>
    <w:rsid w:val="000151B9"/>
    <w:rsid w:val="00015E24"/>
    <w:rsid w:val="00017035"/>
    <w:rsid w:val="00020136"/>
    <w:rsid w:val="0002029F"/>
    <w:rsid w:val="00021A69"/>
    <w:rsid w:val="00021E44"/>
    <w:rsid w:val="00023216"/>
    <w:rsid w:val="00023D10"/>
    <w:rsid w:val="000259C3"/>
    <w:rsid w:val="00025D6B"/>
    <w:rsid w:val="00027950"/>
    <w:rsid w:val="00027DD8"/>
    <w:rsid w:val="000307CC"/>
    <w:rsid w:val="00031341"/>
    <w:rsid w:val="000327AB"/>
    <w:rsid w:val="00032889"/>
    <w:rsid w:val="00032940"/>
    <w:rsid w:val="000336C7"/>
    <w:rsid w:val="0003388A"/>
    <w:rsid w:val="00035A24"/>
    <w:rsid w:val="000369C8"/>
    <w:rsid w:val="00037794"/>
    <w:rsid w:val="00041A94"/>
    <w:rsid w:val="00041B6E"/>
    <w:rsid w:val="00041BFB"/>
    <w:rsid w:val="00043BEF"/>
    <w:rsid w:val="00044A6A"/>
    <w:rsid w:val="00045203"/>
    <w:rsid w:val="00045A96"/>
    <w:rsid w:val="0004669D"/>
    <w:rsid w:val="00046A46"/>
    <w:rsid w:val="000470E1"/>
    <w:rsid w:val="0005011C"/>
    <w:rsid w:val="00050AB7"/>
    <w:rsid w:val="000520AB"/>
    <w:rsid w:val="0005263B"/>
    <w:rsid w:val="000539B4"/>
    <w:rsid w:val="0005583F"/>
    <w:rsid w:val="00056366"/>
    <w:rsid w:val="00062B89"/>
    <w:rsid w:val="0006331B"/>
    <w:rsid w:val="0006507A"/>
    <w:rsid w:val="00065BBB"/>
    <w:rsid w:val="00066F48"/>
    <w:rsid w:val="0006734E"/>
    <w:rsid w:val="00067533"/>
    <w:rsid w:val="00070E88"/>
    <w:rsid w:val="000728EB"/>
    <w:rsid w:val="00072BEA"/>
    <w:rsid w:val="00072DD4"/>
    <w:rsid w:val="0007388F"/>
    <w:rsid w:val="00073F81"/>
    <w:rsid w:val="00074B75"/>
    <w:rsid w:val="00074FC9"/>
    <w:rsid w:val="00075818"/>
    <w:rsid w:val="00076C4F"/>
    <w:rsid w:val="00076EE9"/>
    <w:rsid w:val="0008144D"/>
    <w:rsid w:val="00083B42"/>
    <w:rsid w:val="000843BF"/>
    <w:rsid w:val="00084643"/>
    <w:rsid w:val="00084CE6"/>
    <w:rsid w:val="00087061"/>
    <w:rsid w:val="000871CB"/>
    <w:rsid w:val="00087CFB"/>
    <w:rsid w:val="00087D3B"/>
    <w:rsid w:val="0009211F"/>
    <w:rsid w:val="00092EF1"/>
    <w:rsid w:val="000933FC"/>
    <w:rsid w:val="00093A07"/>
    <w:rsid w:val="00093CFD"/>
    <w:rsid w:val="00095938"/>
    <w:rsid w:val="00096FCC"/>
    <w:rsid w:val="0009744A"/>
    <w:rsid w:val="000A00FC"/>
    <w:rsid w:val="000A0220"/>
    <w:rsid w:val="000A1799"/>
    <w:rsid w:val="000A1A25"/>
    <w:rsid w:val="000A1CFC"/>
    <w:rsid w:val="000A27AE"/>
    <w:rsid w:val="000A2949"/>
    <w:rsid w:val="000A2D87"/>
    <w:rsid w:val="000A464F"/>
    <w:rsid w:val="000A530A"/>
    <w:rsid w:val="000A5939"/>
    <w:rsid w:val="000A640A"/>
    <w:rsid w:val="000B0B33"/>
    <w:rsid w:val="000B0FBF"/>
    <w:rsid w:val="000B22D9"/>
    <w:rsid w:val="000B3713"/>
    <w:rsid w:val="000B52CE"/>
    <w:rsid w:val="000B6D49"/>
    <w:rsid w:val="000C01EA"/>
    <w:rsid w:val="000C02DB"/>
    <w:rsid w:val="000C04A5"/>
    <w:rsid w:val="000C38E9"/>
    <w:rsid w:val="000C3949"/>
    <w:rsid w:val="000C4074"/>
    <w:rsid w:val="000C4327"/>
    <w:rsid w:val="000C5660"/>
    <w:rsid w:val="000C5787"/>
    <w:rsid w:val="000C5B16"/>
    <w:rsid w:val="000C6692"/>
    <w:rsid w:val="000C6EFA"/>
    <w:rsid w:val="000D0464"/>
    <w:rsid w:val="000D1E78"/>
    <w:rsid w:val="000D2CC5"/>
    <w:rsid w:val="000D45E2"/>
    <w:rsid w:val="000D4747"/>
    <w:rsid w:val="000D4D35"/>
    <w:rsid w:val="000D6DDB"/>
    <w:rsid w:val="000D786C"/>
    <w:rsid w:val="000D7F4B"/>
    <w:rsid w:val="000E0B74"/>
    <w:rsid w:val="000E1A70"/>
    <w:rsid w:val="000E1B9E"/>
    <w:rsid w:val="000E4A4F"/>
    <w:rsid w:val="000E4BDE"/>
    <w:rsid w:val="000E5638"/>
    <w:rsid w:val="000F0604"/>
    <w:rsid w:val="000F0CB2"/>
    <w:rsid w:val="000F0D86"/>
    <w:rsid w:val="000F181F"/>
    <w:rsid w:val="000F3475"/>
    <w:rsid w:val="000F35A1"/>
    <w:rsid w:val="000F42C7"/>
    <w:rsid w:val="000F51C8"/>
    <w:rsid w:val="000F572E"/>
    <w:rsid w:val="001001EC"/>
    <w:rsid w:val="00100235"/>
    <w:rsid w:val="0010094B"/>
    <w:rsid w:val="001011B5"/>
    <w:rsid w:val="001012EA"/>
    <w:rsid w:val="00101A50"/>
    <w:rsid w:val="001024FD"/>
    <w:rsid w:val="00104D0C"/>
    <w:rsid w:val="0010520D"/>
    <w:rsid w:val="00107ABA"/>
    <w:rsid w:val="00110105"/>
    <w:rsid w:val="00111C09"/>
    <w:rsid w:val="00112402"/>
    <w:rsid w:val="0011320C"/>
    <w:rsid w:val="001134D7"/>
    <w:rsid w:val="001142C8"/>
    <w:rsid w:val="00115D80"/>
    <w:rsid w:val="00120DC0"/>
    <w:rsid w:val="00121125"/>
    <w:rsid w:val="00122E63"/>
    <w:rsid w:val="00124365"/>
    <w:rsid w:val="00124D3B"/>
    <w:rsid w:val="001273C6"/>
    <w:rsid w:val="00127637"/>
    <w:rsid w:val="0012787F"/>
    <w:rsid w:val="00127D49"/>
    <w:rsid w:val="00130D21"/>
    <w:rsid w:val="001329BC"/>
    <w:rsid w:val="0013457F"/>
    <w:rsid w:val="001347B6"/>
    <w:rsid w:val="00134FC5"/>
    <w:rsid w:val="0013541C"/>
    <w:rsid w:val="00136A89"/>
    <w:rsid w:val="00136DF6"/>
    <w:rsid w:val="00140484"/>
    <w:rsid w:val="0014065E"/>
    <w:rsid w:val="00140793"/>
    <w:rsid w:val="0014147D"/>
    <w:rsid w:val="0014161E"/>
    <w:rsid w:val="00141839"/>
    <w:rsid w:val="00142415"/>
    <w:rsid w:val="001426D5"/>
    <w:rsid w:val="0014340C"/>
    <w:rsid w:val="0014343A"/>
    <w:rsid w:val="00144000"/>
    <w:rsid w:val="001440A2"/>
    <w:rsid w:val="00144592"/>
    <w:rsid w:val="001457A4"/>
    <w:rsid w:val="00145C5D"/>
    <w:rsid w:val="00145F90"/>
    <w:rsid w:val="001473B7"/>
    <w:rsid w:val="00150A40"/>
    <w:rsid w:val="001531F5"/>
    <w:rsid w:val="00153D58"/>
    <w:rsid w:val="00154119"/>
    <w:rsid w:val="00154390"/>
    <w:rsid w:val="00156DDD"/>
    <w:rsid w:val="001577A6"/>
    <w:rsid w:val="001622DF"/>
    <w:rsid w:val="00163313"/>
    <w:rsid w:val="00163A53"/>
    <w:rsid w:val="001643BF"/>
    <w:rsid w:val="00165390"/>
    <w:rsid w:val="00167691"/>
    <w:rsid w:val="00170404"/>
    <w:rsid w:val="001723E7"/>
    <w:rsid w:val="0017336C"/>
    <w:rsid w:val="00174AA8"/>
    <w:rsid w:val="00174C0A"/>
    <w:rsid w:val="001754EF"/>
    <w:rsid w:val="00175A0D"/>
    <w:rsid w:val="00176106"/>
    <w:rsid w:val="00176234"/>
    <w:rsid w:val="00177EF9"/>
    <w:rsid w:val="001807AE"/>
    <w:rsid w:val="00181920"/>
    <w:rsid w:val="00183065"/>
    <w:rsid w:val="0018323A"/>
    <w:rsid w:val="00183EA2"/>
    <w:rsid w:val="00184388"/>
    <w:rsid w:val="00184A6C"/>
    <w:rsid w:val="00184B93"/>
    <w:rsid w:val="00184B9C"/>
    <w:rsid w:val="00185B04"/>
    <w:rsid w:val="001862BC"/>
    <w:rsid w:val="001902FA"/>
    <w:rsid w:val="00190492"/>
    <w:rsid w:val="00191B33"/>
    <w:rsid w:val="00193B0C"/>
    <w:rsid w:val="00194C2E"/>
    <w:rsid w:val="00194CB8"/>
    <w:rsid w:val="001954F0"/>
    <w:rsid w:val="00195F03"/>
    <w:rsid w:val="0019618F"/>
    <w:rsid w:val="00197672"/>
    <w:rsid w:val="00197ED9"/>
    <w:rsid w:val="001A0AC3"/>
    <w:rsid w:val="001A145D"/>
    <w:rsid w:val="001A4AD5"/>
    <w:rsid w:val="001A575E"/>
    <w:rsid w:val="001A61DF"/>
    <w:rsid w:val="001A6F0E"/>
    <w:rsid w:val="001A7C92"/>
    <w:rsid w:val="001B1F02"/>
    <w:rsid w:val="001B232C"/>
    <w:rsid w:val="001B247A"/>
    <w:rsid w:val="001B3433"/>
    <w:rsid w:val="001B3D8B"/>
    <w:rsid w:val="001B486B"/>
    <w:rsid w:val="001B4C52"/>
    <w:rsid w:val="001B7229"/>
    <w:rsid w:val="001B788F"/>
    <w:rsid w:val="001C288B"/>
    <w:rsid w:val="001C28F6"/>
    <w:rsid w:val="001C4427"/>
    <w:rsid w:val="001C47FD"/>
    <w:rsid w:val="001C485F"/>
    <w:rsid w:val="001C5F6E"/>
    <w:rsid w:val="001C6AB6"/>
    <w:rsid w:val="001C6F4A"/>
    <w:rsid w:val="001D0F4A"/>
    <w:rsid w:val="001D153F"/>
    <w:rsid w:val="001D15FA"/>
    <w:rsid w:val="001D23BF"/>
    <w:rsid w:val="001D278C"/>
    <w:rsid w:val="001D29C3"/>
    <w:rsid w:val="001D4C20"/>
    <w:rsid w:val="001D5073"/>
    <w:rsid w:val="001D54D7"/>
    <w:rsid w:val="001D5A59"/>
    <w:rsid w:val="001D5C65"/>
    <w:rsid w:val="001D5F09"/>
    <w:rsid w:val="001D6BF8"/>
    <w:rsid w:val="001E0D76"/>
    <w:rsid w:val="001E0DDC"/>
    <w:rsid w:val="001E18D6"/>
    <w:rsid w:val="001E4224"/>
    <w:rsid w:val="001E47D4"/>
    <w:rsid w:val="001E5995"/>
    <w:rsid w:val="001F0EDA"/>
    <w:rsid w:val="001F3A23"/>
    <w:rsid w:val="001F5131"/>
    <w:rsid w:val="001F6051"/>
    <w:rsid w:val="001F6E4B"/>
    <w:rsid w:val="001F70BD"/>
    <w:rsid w:val="001F7608"/>
    <w:rsid w:val="00200672"/>
    <w:rsid w:val="00200E9D"/>
    <w:rsid w:val="002010FA"/>
    <w:rsid w:val="00202573"/>
    <w:rsid w:val="00203A22"/>
    <w:rsid w:val="00203BFF"/>
    <w:rsid w:val="00203D54"/>
    <w:rsid w:val="002055C9"/>
    <w:rsid w:val="002059A8"/>
    <w:rsid w:val="00206077"/>
    <w:rsid w:val="00207858"/>
    <w:rsid w:val="00207A30"/>
    <w:rsid w:val="002108E2"/>
    <w:rsid w:val="00212592"/>
    <w:rsid w:val="00212BB3"/>
    <w:rsid w:val="002147D4"/>
    <w:rsid w:val="00214FC7"/>
    <w:rsid w:val="0021551A"/>
    <w:rsid w:val="00215685"/>
    <w:rsid w:val="00215DFA"/>
    <w:rsid w:val="00216CD7"/>
    <w:rsid w:val="002179F8"/>
    <w:rsid w:val="00220797"/>
    <w:rsid w:val="00221A55"/>
    <w:rsid w:val="002220AC"/>
    <w:rsid w:val="0022248E"/>
    <w:rsid w:val="00222D6E"/>
    <w:rsid w:val="00223451"/>
    <w:rsid w:val="002236F6"/>
    <w:rsid w:val="00223839"/>
    <w:rsid w:val="00223DAD"/>
    <w:rsid w:val="00224BF8"/>
    <w:rsid w:val="00225088"/>
    <w:rsid w:val="00225373"/>
    <w:rsid w:val="00225F38"/>
    <w:rsid w:val="00225F3E"/>
    <w:rsid w:val="00226015"/>
    <w:rsid w:val="00226D18"/>
    <w:rsid w:val="00226DA7"/>
    <w:rsid w:val="0022743C"/>
    <w:rsid w:val="00227592"/>
    <w:rsid w:val="0022777E"/>
    <w:rsid w:val="00227792"/>
    <w:rsid w:val="00227E72"/>
    <w:rsid w:val="002314E4"/>
    <w:rsid w:val="002319EE"/>
    <w:rsid w:val="00232675"/>
    <w:rsid w:val="002335B5"/>
    <w:rsid w:val="00234310"/>
    <w:rsid w:val="00235C40"/>
    <w:rsid w:val="002417FC"/>
    <w:rsid w:val="00242960"/>
    <w:rsid w:val="002437E0"/>
    <w:rsid w:val="00246EB1"/>
    <w:rsid w:val="00247028"/>
    <w:rsid w:val="00247049"/>
    <w:rsid w:val="002477F2"/>
    <w:rsid w:val="002507B8"/>
    <w:rsid w:val="00253453"/>
    <w:rsid w:val="002537D2"/>
    <w:rsid w:val="00253A7F"/>
    <w:rsid w:val="00254718"/>
    <w:rsid w:val="00254CD0"/>
    <w:rsid w:val="00255058"/>
    <w:rsid w:val="00257EE3"/>
    <w:rsid w:val="00260000"/>
    <w:rsid w:val="0026119A"/>
    <w:rsid w:val="00262845"/>
    <w:rsid w:val="002630A5"/>
    <w:rsid w:val="0026434A"/>
    <w:rsid w:val="00264ECB"/>
    <w:rsid w:val="0026625A"/>
    <w:rsid w:val="00266F4D"/>
    <w:rsid w:val="00267B8F"/>
    <w:rsid w:val="002725DC"/>
    <w:rsid w:val="0027269E"/>
    <w:rsid w:val="00272B36"/>
    <w:rsid w:val="002735E1"/>
    <w:rsid w:val="00273F63"/>
    <w:rsid w:val="0027507E"/>
    <w:rsid w:val="002760FD"/>
    <w:rsid w:val="0027618A"/>
    <w:rsid w:val="00277E9C"/>
    <w:rsid w:val="00277F41"/>
    <w:rsid w:val="002836F4"/>
    <w:rsid w:val="00284B6C"/>
    <w:rsid w:val="00284CF6"/>
    <w:rsid w:val="002859CD"/>
    <w:rsid w:val="00286173"/>
    <w:rsid w:val="0028642E"/>
    <w:rsid w:val="00286491"/>
    <w:rsid w:val="00290A88"/>
    <w:rsid w:val="0029204D"/>
    <w:rsid w:val="00293972"/>
    <w:rsid w:val="00293F9A"/>
    <w:rsid w:val="002950F1"/>
    <w:rsid w:val="00295B3F"/>
    <w:rsid w:val="00295F9D"/>
    <w:rsid w:val="00296304"/>
    <w:rsid w:val="00296325"/>
    <w:rsid w:val="00297671"/>
    <w:rsid w:val="002A01F6"/>
    <w:rsid w:val="002A2508"/>
    <w:rsid w:val="002A3C78"/>
    <w:rsid w:val="002A4D08"/>
    <w:rsid w:val="002A4D3E"/>
    <w:rsid w:val="002A614E"/>
    <w:rsid w:val="002A615A"/>
    <w:rsid w:val="002A7618"/>
    <w:rsid w:val="002A7D9B"/>
    <w:rsid w:val="002A7EC2"/>
    <w:rsid w:val="002B0CDA"/>
    <w:rsid w:val="002B5328"/>
    <w:rsid w:val="002B6D57"/>
    <w:rsid w:val="002B7E31"/>
    <w:rsid w:val="002C065B"/>
    <w:rsid w:val="002C07CB"/>
    <w:rsid w:val="002C1B8F"/>
    <w:rsid w:val="002C353C"/>
    <w:rsid w:val="002C42AE"/>
    <w:rsid w:val="002C497F"/>
    <w:rsid w:val="002C5782"/>
    <w:rsid w:val="002C5F79"/>
    <w:rsid w:val="002C66A1"/>
    <w:rsid w:val="002C780A"/>
    <w:rsid w:val="002D02D6"/>
    <w:rsid w:val="002D045D"/>
    <w:rsid w:val="002D07F1"/>
    <w:rsid w:val="002D0CF7"/>
    <w:rsid w:val="002D1336"/>
    <w:rsid w:val="002D4CC7"/>
    <w:rsid w:val="002D4D73"/>
    <w:rsid w:val="002D5A5D"/>
    <w:rsid w:val="002D5CA5"/>
    <w:rsid w:val="002D5E6C"/>
    <w:rsid w:val="002D60B8"/>
    <w:rsid w:val="002D6F40"/>
    <w:rsid w:val="002D7014"/>
    <w:rsid w:val="002D70DA"/>
    <w:rsid w:val="002D739D"/>
    <w:rsid w:val="002E23CE"/>
    <w:rsid w:val="002E29A8"/>
    <w:rsid w:val="002E6A13"/>
    <w:rsid w:val="002E70D0"/>
    <w:rsid w:val="002E72F0"/>
    <w:rsid w:val="002E73EE"/>
    <w:rsid w:val="002F058D"/>
    <w:rsid w:val="002F13ED"/>
    <w:rsid w:val="002F24E2"/>
    <w:rsid w:val="002F2ED4"/>
    <w:rsid w:val="002F6F70"/>
    <w:rsid w:val="002F74FD"/>
    <w:rsid w:val="002F7736"/>
    <w:rsid w:val="00302FA9"/>
    <w:rsid w:val="00304ABF"/>
    <w:rsid w:val="003052BA"/>
    <w:rsid w:val="00305BFB"/>
    <w:rsid w:val="00305E99"/>
    <w:rsid w:val="003061BC"/>
    <w:rsid w:val="00306D93"/>
    <w:rsid w:val="003075AE"/>
    <w:rsid w:val="00307FC0"/>
    <w:rsid w:val="0031007F"/>
    <w:rsid w:val="00310566"/>
    <w:rsid w:val="003123D7"/>
    <w:rsid w:val="003125B0"/>
    <w:rsid w:val="00312706"/>
    <w:rsid w:val="003127E0"/>
    <w:rsid w:val="00312DEB"/>
    <w:rsid w:val="00312EC1"/>
    <w:rsid w:val="003133B6"/>
    <w:rsid w:val="003140EA"/>
    <w:rsid w:val="003146FC"/>
    <w:rsid w:val="003149A4"/>
    <w:rsid w:val="00317889"/>
    <w:rsid w:val="00317D6C"/>
    <w:rsid w:val="00317ECC"/>
    <w:rsid w:val="00320A1D"/>
    <w:rsid w:val="00321721"/>
    <w:rsid w:val="00322E54"/>
    <w:rsid w:val="003256B3"/>
    <w:rsid w:val="00327CA7"/>
    <w:rsid w:val="00327E17"/>
    <w:rsid w:val="00331B47"/>
    <w:rsid w:val="003338AA"/>
    <w:rsid w:val="00335FFF"/>
    <w:rsid w:val="003362D8"/>
    <w:rsid w:val="003374AB"/>
    <w:rsid w:val="003376DD"/>
    <w:rsid w:val="00337E65"/>
    <w:rsid w:val="00340196"/>
    <w:rsid w:val="003402E5"/>
    <w:rsid w:val="00341151"/>
    <w:rsid w:val="00341466"/>
    <w:rsid w:val="0034355D"/>
    <w:rsid w:val="003437C2"/>
    <w:rsid w:val="00345197"/>
    <w:rsid w:val="00346891"/>
    <w:rsid w:val="00346F23"/>
    <w:rsid w:val="00350289"/>
    <w:rsid w:val="00351DC6"/>
    <w:rsid w:val="00352CD4"/>
    <w:rsid w:val="003538AB"/>
    <w:rsid w:val="00355B3F"/>
    <w:rsid w:val="00356AF8"/>
    <w:rsid w:val="0035791C"/>
    <w:rsid w:val="00360196"/>
    <w:rsid w:val="003605CD"/>
    <w:rsid w:val="00360CCB"/>
    <w:rsid w:val="0036242F"/>
    <w:rsid w:val="00362472"/>
    <w:rsid w:val="0036290B"/>
    <w:rsid w:val="0036329E"/>
    <w:rsid w:val="00363463"/>
    <w:rsid w:val="00364A66"/>
    <w:rsid w:val="00364BE1"/>
    <w:rsid w:val="00366D58"/>
    <w:rsid w:val="0037147F"/>
    <w:rsid w:val="003721CE"/>
    <w:rsid w:val="0037442D"/>
    <w:rsid w:val="00375B6F"/>
    <w:rsid w:val="00377384"/>
    <w:rsid w:val="00377D1E"/>
    <w:rsid w:val="0038051D"/>
    <w:rsid w:val="00381995"/>
    <w:rsid w:val="00386423"/>
    <w:rsid w:val="00386C3C"/>
    <w:rsid w:val="00386F74"/>
    <w:rsid w:val="0038733D"/>
    <w:rsid w:val="0039139B"/>
    <w:rsid w:val="00392998"/>
    <w:rsid w:val="003932B9"/>
    <w:rsid w:val="0039345E"/>
    <w:rsid w:val="0039550F"/>
    <w:rsid w:val="00395C02"/>
    <w:rsid w:val="00397E4C"/>
    <w:rsid w:val="003A0841"/>
    <w:rsid w:val="003A0B39"/>
    <w:rsid w:val="003A0B9A"/>
    <w:rsid w:val="003A2308"/>
    <w:rsid w:val="003A2671"/>
    <w:rsid w:val="003A2B5E"/>
    <w:rsid w:val="003A2E77"/>
    <w:rsid w:val="003A3E8F"/>
    <w:rsid w:val="003A3EF0"/>
    <w:rsid w:val="003A4C9A"/>
    <w:rsid w:val="003A5DBD"/>
    <w:rsid w:val="003A699A"/>
    <w:rsid w:val="003A7B39"/>
    <w:rsid w:val="003B12F7"/>
    <w:rsid w:val="003B178E"/>
    <w:rsid w:val="003B1A0E"/>
    <w:rsid w:val="003B1F98"/>
    <w:rsid w:val="003B2934"/>
    <w:rsid w:val="003B329D"/>
    <w:rsid w:val="003B7517"/>
    <w:rsid w:val="003B7B62"/>
    <w:rsid w:val="003C067E"/>
    <w:rsid w:val="003C14F0"/>
    <w:rsid w:val="003C2148"/>
    <w:rsid w:val="003C2B81"/>
    <w:rsid w:val="003C42A9"/>
    <w:rsid w:val="003C43E5"/>
    <w:rsid w:val="003C45B2"/>
    <w:rsid w:val="003C477B"/>
    <w:rsid w:val="003C47AB"/>
    <w:rsid w:val="003C4A3F"/>
    <w:rsid w:val="003C5515"/>
    <w:rsid w:val="003C5746"/>
    <w:rsid w:val="003C5E1C"/>
    <w:rsid w:val="003C757A"/>
    <w:rsid w:val="003C794C"/>
    <w:rsid w:val="003D0080"/>
    <w:rsid w:val="003D252D"/>
    <w:rsid w:val="003D402F"/>
    <w:rsid w:val="003D52C8"/>
    <w:rsid w:val="003D6232"/>
    <w:rsid w:val="003D77E7"/>
    <w:rsid w:val="003E0182"/>
    <w:rsid w:val="003E028B"/>
    <w:rsid w:val="003E0C67"/>
    <w:rsid w:val="003E18B8"/>
    <w:rsid w:val="003E1A62"/>
    <w:rsid w:val="003E359C"/>
    <w:rsid w:val="003E48DB"/>
    <w:rsid w:val="003E7B56"/>
    <w:rsid w:val="003F1B28"/>
    <w:rsid w:val="003F3ED4"/>
    <w:rsid w:val="003F40E8"/>
    <w:rsid w:val="003F58E0"/>
    <w:rsid w:val="003F660D"/>
    <w:rsid w:val="003F6C91"/>
    <w:rsid w:val="003F72B0"/>
    <w:rsid w:val="003F7597"/>
    <w:rsid w:val="00400503"/>
    <w:rsid w:val="004039EB"/>
    <w:rsid w:val="004047D0"/>
    <w:rsid w:val="0040497A"/>
    <w:rsid w:val="00404CD1"/>
    <w:rsid w:val="00405CDB"/>
    <w:rsid w:val="0040670C"/>
    <w:rsid w:val="00406D7E"/>
    <w:rsid w:val="00407575"/>
    <w:rsid w:val="004103D4"/>
    <w:rsid w:val="0041106F"/>
    <w:rsid w:val="0041139C"/>
    <w:rsid w:val="00413710"/>
    <w:rsid w:val="00415050"/>
    <w:rsid w:val="00415093"/>
    <w:rsid w:val="004155B8"/>
    <w:rsid w:val="00415C51"/>
    <w:rsid w:val="00416351"/>
    <w:rsid w:val="00416383"/>
    <w:rsid w:val="004173AD"/>
    <w:rsid w:val="00421697"/>
    <w:rsid w:val="00422378"/>
    <w:rsid w:val="0042359B"/>
    <w:rsid w:val="00423908"/>
    <w:rsid w:val="004239D4"/>
    <w:rsid w:val="00424236"/>
    <w:rsid w:val="0042434B"/>
    <w:rsid w:val="00425704"/>
    <w:rsid w:val="00425932"/>
    <w:rsid w:val="0042656E"/>
    <w:rsid w:val="00426D32"/>
    <w:rsid w:val="00427718"/>
    <w:rsid w:val="004277B9"/>
    <w:rsid w:val="00431368"/>
    <w:rsid w:val="0043244F"/>
    <w:rsid w:val="0043332C"/>
    <w:rsid w:val="004333D0"/>
    <w:rsid w:val="00434937"/>
    <w:rsid w:val="00435917"/>
    <w:rsid w:val="00440298"/>
    <w:rsid w:val="0044040E"/>
    <w:rsid w:val="00440E21"/>
    <w:rsid w:val="004425E9"/>
    <w:rsid w:val="00443394"/>
    <w:rsid w:val="004435A7"/>
    <w:rsid w:val="004458F0"/>
    <w:rsid w:val="00445CCC"/>
    <w:rsid w:val="004465A7"/>
    <w:rsid w:val="00447C42"/>
    <w:rsid w:val="00447DEE"/>
    <w:rsid w:val="004515B4"/>
    <w:rsid w:val="00452352"/>
    <w:rsid w:val="004533FC"/>
    <w:rsid w:val="0045365C"/>
    <w:rsid w:val="00453D32"/>
    <w:rsid w:val="00454983"/>
    <w:rsid w:val="004550E9"/>
    <w:rsid w:val="00455656"/>
    <w:rsid w:val="00455852"/>
    <w:rsid w:val="0045602F"/>
    <w:rsid w:val="004572F1"/>
    <w:rsid w:val="00461E4F"/>
    <w:rsid w:val="004621C6"/>
    <w:rsid w:val="00462B17"/>
    <w:rsid w:val="004642A7"/>
    <w:rsid w:val="004645B7"/>
    <w:rsid w:val="00465CDB"/>
    <w:rsid w:val="00465EE5"/>
    <w:rsid w:val="004660E7"/>
    <w:rsid w:val="00466234"/>
    <w:rsid w:val="004672D0"/>
    <w:rsid w:val="00467C61"/>
    <w:rsid w:val="00470494"/>
    <w:rsid w:val="004708A3"/>
    <w:rsid w:val="00471597"/>
    <w:rsid w:val="00471DAA"/>
    <w:rsid w:val="0047310C"/>
    <w:rsid w:val="00473219"/>
    <w:rsid w:val="00474259"/>
    <w:rsid w:val="00474E53"/>
    <w:rsid w:val="004759A0"/>
    <w:rsid w:val="00475EF6"/>
    <w:rsid w:val="00476C78"/>
    <w:rsid w:val="00480254"/>
    <w:rsid w:val="004808F1"/>
    <w:rsid w:val="00482EA1"/>
    <w:rsid w:val="004845B2"/>
    <w:rsid w:val="00484904"/>
    <w:rsid w:val="00485E7E"/>
    <w:rsid w:val="0048647D"/>
    <w:rsid w:val="004865CE"/>
    <w:rsid w:val="00486D90"/>
    <w:rsid w:val="0048758A"/>
    <w:rsid w:val="00487736"/>
    <w:rsid w:val="004901B8"/>
    <w:rsid w:val="004904F0"/>
    <w:rsid w:val="004927D8"/>
    <w:rsid w:val="004945B8"/>
    <w:rsid w:val="00494605"/>
    <w:rsid w:val="00494C64"/>
    <w:rsid w:val="00494E57"/>
    <w:rsid w:val="004955CE"/>
    <w:rsid w:val="004960C9"/>
    <w:rsid w:val="004963F7"/>
    <w:rsid w:val="00497B56"/>
    <w:rsid w:val="004A07F6"/>
    <w:rsid w:val="004A3324"/>
    <w:rsid w:val="004A35D0"/>
    <w:rsid w:val="004A3E5B"/>
    <w:rsid w:val="004A3F11"/>
    <w:rsid w:val="004A4922"/>
    <w:rsid w:val="004A5365"/>
    <w:rsid w:val="004A5605"/>
    <w:rsid w:val="004A6316"/>
    <w:rsid w:val="004A6B65"/>
    <w:rsid w:val="004B0487"/>
    <w:rsid w:val="004B08C3"/>
    <w:rsid w:val="004B08CD"/>
    <w:rsid w:val="004B10B2"/>
    <w:rsid w:val="004B2C7F"/>
    <w:rsid w:val="004B3889"/>
    <w:rsid w:val="004B3D57"/>
    <w:rsid w:val="004B4B1A"/>
    <w:rsid w:val="004B626E"/>
    <w:rsid w:val="004B76F9"/>
    <w:rsid w:val="004C0636"/>
    <w:rsid w:val="004C0E07"/>
    <w:rsid w:val="004C266D"/>
    <w:rsid w:val="004C52F4"/>
    <w:rsid w:val="004C71ED"/>
    <w:rsid w:val="004C75C2"/>
    <w:rsid w:val="004C768A"/>
    <w:rsid w:val="004C7B5C"/>
    <w:rsid w:val="004C7E7B"/>
    <w:rsid w:val="004D0652"/>
    <w:rsid w:val="004D12F2"/>
    <w:rsid w:val="004D38C8"/>
    <w:rsid w:val="004D4611"/>
    <w:rsid w:val="004D4D3C"/>
    <w:rsid w:val="004D5168"/>
    <w:rsid w:val="004D6D1F"/>
    <w:rsid w:val="004D79AD"/>
    <w:rsid w:val="004E00BB"/>
    <w:rsid w:val="004E01F2"/>
    <w:rsid w:val="004E362A"/>
    <w:rsid w:val="004E39DC"/>
    <w:rsid w:val="004E3A70"/>
    <w:rsid w:val="004E4766"/>
    <w:rsid w:val="004E5D37"/>
    <w:rsid w:val="004E64EA"/>
    <w:rsid w:val="004E6C11"/>
    <w:rsid w:val="004E7163"/>
    <w:rsid w:val="004F12AA"/>
    <w:rsid w:val="004F144B"/>
    <w:rsid w:val="004F1EFC"/>
    <w:rsid w:val="004F2B2B"/>
    <w:rsid w:val="004F3679"/>
    <w:rsid w:val="004F36FA"/>
    <w:rsid w:val="004F4278"/>
    <w:rsid w:val="004F4ECE"/>
    <w:rsid w:val="005022FB"/>
    <w:rsid w:val="00502638"/>
    <w:rsid w:val="00502A82"/>
    <w:rsid w:val="00502F46"/>
    <w:rsid w:val="00504051"/>
    <w:rsid w:val="005044BF"/>
    <w:rsid w:val="00505A74"/>
    <w:rsid w:val="00506E5B"/>
    <w:rsid w:val="00510B61"/>
    <w:rsid w:val="00510F51"/>
    <w:rsid w:val="00510F9A"/>
    <w:rsid w:val="00512B09"/>
    <w:rsid w:val="00512E74"/>
    <w:rsid w:val="00515CE3"/>
    <w:rsid w:val="005161BD"/>
    <w:rsid w:val="00516E88"/>
    <w:rsid w:val="00517CCD"/>
    <w:rsid w:val="00520C79"/>
    <w:rsid w:val="005211CD"/>
    <w:rsid w:val="00521F75"/>
    <w:rsid w:val="00522417"/>
    <w:rsid w:val="005230EA"/>
    <w:rsid w:val="0052313D"/>
    <w:rsid w:val="00523778"/>
    <w:rsid w:val="00524530"/>
    <w:rsid w:val="00524CF1"/>
    <w:rsid w:val="0052520E"/>
    <w:rsid w:val="00527428"/>
    <w:rsid w:val="00530D5B"/>
    <w:rsid w:val="0053345C"/>
    <w:rsid w:val="00533DFC"/>
    <w:rsid w:val="005352A8"/>
    <w:rsid w:val="00535735"/>
    <w:rsid w:val="00535EA3"/>
    <w:rsid w:val="005364B9"/>
    <w:rsid w:val="0053732B"/>
    <w:rsid w:val="00537395"/>
    <w:rsid w:val="00537993"/>
    <w:rsid w:val="005412C6"/>
    <w:rsid w:val="00541B3D"/>
    <w:rsid w:val="0054210C"/>
    <w:rsid w:val="0054414D"/>
    <w:rsid w:val="005446C1"/>
    <w:rsid w:val="00544915"/>
    <w:rsid w:val="00544E8F"/>
    <w:rsid w:val="00547568"/>
    <w:rsid w:val="0054761F"/>
    <w:rsid w:val="00551B70"/>
    <w:rsid w:val="00553DE8"/>
    <w:rsid w:val="00554D48"/>
    <w:rsid w:val="00554E11"/>
    <w:rsid w:val="0055613D"/>
    <w:rsid w:val="00556F96"/>
    <w:rsid w:val="00557333"/>
    <w:rsid w:val="005622E9"/>
    <w:rsid w:val="00562D6D"/>
    <w:rsid w:val="00563482"/>
    <w:rsid w:val="005647F1"/>
    <w:rsid w:val="00566846"/>
    <w:rsid w:val="00566A7B"/>
    <w:rsid w:val="00570233"/>
    <w:rsid w:val="00570833"/>
    <w:rsid w:val="005709AE"/>
    <w:rsid w:val="00570EB8"/>
    <w:rsid w:val="00571694"/>
    <w:rsid w:val="00572F90"/>
    <w:rsid w:val="0057388E"/>
    <w:rsid w:val="005740FC"/>
    <w:rsid w:val="00574750"/>
    <w:rsid w:val="0057601B"/>
    <w:rsid w:val="0057691E"/>
    <w:rsid w:val="00577E4A"/>
    <w:rsid w:val="00580C42"/>
    <w:rsid w:val="00582A0E"/>
    <w:rsid w:val="00582F3F"/>
    <w:rsid w:val="005832E0"/>
    <w:rsid w:val="00584928"/>
    <w:rsid w:val="0058789C"/>
    <w:rsid w:val="00593E32"/>
    <w:rsid w:val="00595CCE"/>
    <w:rsid w:val="00596F89"/>
    <w:rsid w:val="005A2ED6"/>
    <w:rsid w:val="005A38CE"/>
    <w:rsid w:val="005A393B"/>
    <w:rsid w:val="005A3C71"/>
    <w:rsid w:val="005A3E36"/>
    <w:rsid w:val="005A419F"/>
    <w:rsid w:val="005A5C24"/>
    <w:rsid w:val="005A64C3"/>
    <w:rsid w:val="005A65B3"/>
    <w:rsid w:val="005A6B6A"/>
    <w:rsid w:val="005A7751"/>
    <w:rsid w:val="005A7E59"/>
    <w:rsid w:val="005B0B15"/>
    <w:rsid w:val="005B1364"/>
    <w:rsid w:val="005B4C5B"/>
    <w:rsid w:val="005B4E7A"/>
    <w:rsid w:val="005B583F"/>
    <w:rsid w:val="005B6BB2"/>
    <w:rsid w:val="005B6BF5"/>
    <w:rsid w:val="005B6FC7"/>
    <w:rsid w:val="005B7C15"/>
    <w:rsid w:val="005B7D32"/>
    <w:rsid w:val="005C0FF8"/>
    <w:rsid w:val="005C2DE4"/>
    <w:rsid w:val="005C384E"/>
    <w:rsid w:val="005C4229"/>
    <w:rsid w:val="005C493E"/>
    <w:rsid w:val="005C4DAE"/>
    <w:rsid w:val="005C6582"/>
    <w:rsid w:val="005C6694"/>
    <w:rsid w:val="005C6754"/>
    <w:rsid w:val="005D0309"/>
    <w:rsid w:val="005D04A9"/>
    <w:rsid w:val="005D1047"/>
    <w:rsid w:val="005D45AE"/>
    <w:rsid w:val="005D49A5"/>
    <w:rsid w:val="005D5388"/>
    <w:rsid w:val="005D5824"/>
    <w:rsid w:val="005D68B5"/>
    <w:rsid w:val="005D72F6"/>
    <w:rsid w:val="005D7F41"/>
    <w:rsid w:val="005E069A"/>
    <w:rsid w:val="005E1D09"/>
    <w:rsid w:val="005E22C4"/>
    <w:rsid w:val="005E2325"/>
    <w:rsid w:val="005E32A8"/>
    <w:rsid w:val="005E3597"/>
    <w:rsid w:val="005E3C11"/>
    <w:rsid w:val="005E411E"/>
    <w:rsid w:val="005E5155"/>
    <w:rsid w:val="005E5B8B"/>
    <w:rsid w:val="005E6DA6"/>
    <w:rsid w:val="005E71FA"/>
    <w:rsid w:val="005E7CE0"/>
    <w:rsid w:val="005F15CA"/>
    <w:rsid w:val="005F3855"/>
    <w:rsid w:val="005F4F6A"/>
    <w:rsid w:val="005F642B"/>
    <w:rsid w:val="005F6A48"/>
    <w:rsid w:val="005F7EB9"/>
    <w:rsid w:val="00600EA6"/>
    <w:rsid w:val="0060161D"/>
    <w:rsid w:val="00601E1A"/>
    <w:rsid w:val="00602349"/>
    <w:rsid w:val="0060566C"/>
    <w:rsid w:val="0060577C"/>
    <w:rsid w:val="006069FE"/>
    <w:rsid w:val="00607EFF"/>
    <w:rsid w:val="006114A3"/>
    <w:rsid w:val="00611D2D"/>
    <w:rsid w:val="006129D4"/>
    <w:rsid w:val="006133B4"/>
    <w:rsid w:val="0061485A"/>
    <w:rsid w:val="00614A07"/>
    <w:rsid w:val="00615503"/>
    <w:rsid w:val="00615D76"/>
    <w:rsid w:val="0061695E"/>
    <w:rsid w:val="00616BD8"/>
    <w:rsid w:val="0061736A"/>
    <w:rsid w:val="006178B7"/>
    <w:rsid w:val="00623AA4"/>
    <w:rsid w:val="00623C69"/>
    <w:rsid w:val="00624B92"/>
    <w:rsid w:val="00624DCC"/>
    <w:rsid w:val="00625491"/>
    <w:rsid w:val="00626A82"/>
    <w:rsid w:val="00627E0C"/>
    <w:rsid w:val="00631201"/>
    <w:rsid w:val="00632455"/>
    <w:rsid w:val="006325C8"/>
    <w:rsid w:val="00633956"/>
    <w:rsid w:val="00633F89"/>
    <w:rsid w:val="00635FFE"/>
    <w:rsid w:val="00636AF9"/>
    <w:rsid w:val="0063778F"/>
    <w:rsid w:val="00637A3A"/>
    <w:rsid w:val="0064076A"/>
    <w:rsid w:val="00640A26"/>
    <w:rsid w:val="00640E89"/>
    <w:rsid w:val="006414CA"/>
    <w:rsid w:val="006416CC"/>
    <w:rsid w:val="00641C01"/>
    <w:rsid w:val="00643D4F"/>
    <w:rsid w:val="00644C9B"/>
    <w:rsid w:val="00646572"/>
    <w:rsid w:val="00646E82"/>
    <w:rsid w:val="00655072"/>
    <w:rsid w:val="00655B77"/>
    <w:rsid w:val="00656139"/>
    <w:rsid w:val="00656AB3"/>
    <w:rsid w:val="006619BB"/>
    <w:rsid w:val="00661CBF"/>
    <w:rsid w:val="006625C3"/>
    <w:rsid w:val="00662941"/>
    <w:rsid w:val="0066316F"/>
    <w:rsid w:val="00663F92"/>
    <w:rsid w:val="00664D63"/>
    <w:rsid w:val="006667AF"/>
    <w:rsid w:val="00670158"/>
    <w:rsid w:val="00670402"/>
    <w:rsid w:val="00671014"/>
    <w:rsid w:val="00671525"/>
    <w:rsid w:val="0067153E"/>
    <w:rsid w:val="00671974"/>
    <w:rsid w:val="00672092"/>
    <w:rsid w:val="00674823"/>
    <w:rsid w:val="00674C9E"/>
    <w:rsid w:val="00675011"/>
    <w:rsid w:val="00675FFB"/>
    <w:rsid w:val="00677CDD"/>
    <w:rsid w:val="00677E63"/>
    <w:rsid w:val="00680E44"/>
    <w:rsid w:val="006814D9"/>
    <w:rsid w:val="006822A5"/>
    <w:rsid w:val="00682DA4"/>
    <w:rsid w:val="00683380"/>
    <w:rsid w:val="00683A93"/>
    <w:rsid w:val="0068464B"/>
    <w:rsid w:val="00684D18"/>
    <w:rsid w:val="006853B1"/>
    <w:rsid w:val="00686AFF"/>
    <w:rsid w:val="0068730D"/>
    <w:rsid w:val="0069094F"/>
    <w:rsid w:val="00692274"/>
    <w:rsid w:val="00694115"/>
    <w:rsid w:val="00694742"/>
    <w:rsid w:val="006950FE"/>
    <w:rsid w:val="00696C44"/>
    <w:rsid w:val="006A0CCD"/>
    <w:rsid w:val="006A1877"/>
    <w:rsid w:val="006A2A0A"/>
    <w:rsid w:val="006A3892"/>
    <w:rsid w:val="006A64E6"/>
    <w:rsid w:val="006A74C0"/>
    <w:rsid w:val="006A773C"/>
    <w:rsid w:val="006A7D4B"/>
    <w:rsid w:val="006A7D7C"/>
    <w:rsid w:val="006B0DF0"/>
    <w:rsid w:val="006B33CB"/>
    <w:rsid w:val="006B4F6E"/>
    <w:rsid w:val="006B582F"/>
    <w:rsid w:val="006B5B33"/>
    <w:rsid w:val="006B6265"/>
    <w:rsid w:val="006B6704"/>
    <w:rsid w:val="006C044A"/>
    <w:rsid w:val="006C11CA"/>
    <w:rsid w:val="006C2CAD"/>
    <w:rsid w:val="006C3ED3"/>
    <w:rsid w:val="006C431D"/>
    <w:rsid w:val="006C6FF8"/>
    <w:rsid w:val="006C7AF6"/>
    <w:rsid w:val="006C7D02"/>
    <w:rsid w:val="006D19F4"/>
    <w:rsid w:val="006D1F85"/>
    <w:rsid w:val="006D20C9"/>
    <w:rsid w:val="006D2592"/>
    <w:rsid w:val="006D3509"/>
    <w:rsid w:val="006D3615"/>
    <w:rsid w:val="006D3BBE"/>
    <w:rsid w:val="006D3DA5"/>
    <w:rsid w:val="006D43E6"/>
    <w:rsid w:val="006D5151"/>
    <w:rsid w:val="006D5B66"/>
    <w:rsid w:val="006D5DD5"/>
    <w:rsid w:val="006D7675"/>
    <w:rsid w:val="006E0A9D"/>
    <w:rsid w:val="006E1A88"/>
    <w:rsid w:val="006E2D6B"/>
    <w:rsid w:val="006E324D"/>
    <w:rsid w:val="006E34D2"/>
    <w:rsid w:val="006E482B"/>
    <w:rsid w:val="006E4D94"/>
    <w:rsid w:val="006E5A17"/>
    <w:rsid w:val="006E6255"/>
    <w:rsid w:val="006E7C04"/>
    <w:rsid w:val="006F013A"/>
    <w:rsid w:val="006F3810"/>
    <w:rsid w:val="006F38DF"/>
    <w:rsid w:val="006F40C5"/>
    <w:rsid w:val="006F67C0"/>
    <w:rsid w:val="006F69D0"/>
    <w:rsid w:val="00701919"/>
    <w:rsid w:val="00701FCE"/>
    <w:rsid w:val="007047FC"/>
    <w:rsid w:val="00704DE8"/>
    <w:rsid w:val="007054DF"/>
    <w:rsid w:val="007058C9"/>
    <w:rsid w:val="00706306"/>
    <w:rsid w:val="0070645C"/>
    <w:rsid w:val="00706A89"/>
    <w:rsid w:val="007070D6"/>
    <w:rsid w:val="007075C3"/>
    <w:rsid w:val="00707A42"/>
    <w:rsid w:val="00712428"/>
    <w:rsid w:val="0071257A"/>
    <w:rsid w:val="007134CB"/>
    <w:rsid w:val="007135C4"/>
    <w:rsid w:val="00713BAC"/>
    <w:rsid w:val="00715538"/>
    <w:rsid w:val="00717206"/>
    <w:rsid w:val="00717209"/>
    <w:rsid w:val="0072074D"/>
    <w:rsid w:val="00722282"/>
    <w:rsid w:val="00722F47"/>
    <w:rsid w:val="0072662E"/>
    <w:rsid w:val="00726E0E"/>
    <w:rsid w:val="00726F57"/>
    <w:rsid w:val="007275CC"/>
    <w:rsid w:val="00727908"/>
    <w:rsid w:val="00727F47"/>
    <w:rsid w:val="00731C3E"/>
    <w:rsid w:val="00731DCB"/>
    <w:rsid w:val="0073206F"/>
    <w:rsid w:val="007323AB"/>
    <w:rsid w:val="00732407"/>
    <w:rsid w:val="00732C99"/>
    <w:rsid w:val="00735821"/>
    <w:rsid w:val="00735C3E"/>
    <w:rsid w:val="00737B61"/>
    <w:rsid w:val="00737BD1"/>
    <w:rsid w:val="0074092F"/>
    <w:rsid w:val="00741C2F"/>
    <w:rsid w:val="00741FAA"/>
    <w:rsid w:val="007425F6"/>
    <w:rsid w:val="0074282B"/>
    <w:rsid w:val="00743B8E"/>
    <w:rsid w:val="007440AF"/>
    <w:rsid w:val="00746625"/>
    <w:rsid w:val="007472D5"/>
    <w:rsid w:val="007508D4"/>
    <w:rsid w:val="00751361"/>
    <w:rsid w:val="007514CA"/>
    <w:rsid w:val="00752425"/>
    <w:rsid w:val="00752AB1"/>
    <w:rsid w:val="00752B7D"/>
    <w:rsid w:val="00752DF4"/>
    <w:rsid w:val="007532C0"/>
    <w:rsid w:val="00753889"/>
    <w:rsid w:val="00755387"/>
    <w:rsid w:val="00755F02"/>
    <w:rsid w:val="00755F77"/>
    <w:rsid w:val="00756461"/>
    <w:rsid w:val="00757BBD"/>
    <w:rsid w:val="00760282"/>
    <w:rsid w:val="00760617"/>
    <w:rsid w:val="00760A32"/>
    <w:rsid w:val="00760E2E"/>
    <w:rsid w:val="00761395"/>
    <w:rsid w:val="00761DC9"/>
    <w:rsid w:val="007620C5"/>
    <w:rsid w:val="00762BBC"/>
    <w:rsid w:val="007643C9"/>
    <w:rsid w:val="00764904"/>
    <w:rsid w:val="007652D0"/>
    <w:rsid w:val="00767A58"/>
    <w:rsid w:val="00767DE6"/>
    <w:rsid w:val="00770430"/>
    <w:rsid w:val="007729DA"/>
    <w:rsid w:val="007733C8"/>
    <w:rsid w:val="00774597"/>
    <w:rsid w:val="0077586D"/>
    <w:rsid w:val="00775A21"/>
    <w:rsid w:val="00776C02"/>
    <w:rsid w:val="00777DDB"/>
    <w:rsid w:val="007800A1"/>
    <w:rsid w:val="007802CD"/>
    <w:rsid w:val="00782CA3"/>
    <w:rsid w:val="00784722"/>
    <w:rsid w:val="00785928"/>
    <w:rsid w:val="00786885"/>
    <w:rsid w:val="00786928"/>
    <w:rsid w:val="00787413"/>
    <w:rsid w:val="007875B2"/>
    <w:rsid w:val="007908C0"/>
    <w:rsid w:val="00790E62"/>
    <w:rsid w:val="00791B94"/>
    <w:rsid w:val="0079447B"/>
    <w:rsid w:val="00795D71"/>
    <w:rsid w:val="007A0752"/>
    <w:rsid w:val="007A0DD7"/>
    <w:rsid w:val="007A1C0A"/>
    <w:rsid w:val="007A2EE6"/>
    <w:rsid w:val="007A359B"/>
    <w:rsid w:val="007A368B"/>
    <w:rsid w:val="007A3FDB"/>
    <w:rsid w:val="007A4063"/>
    <w:rsid w:val="007A52FB"/>
    <w:rsid w:val="007A7023"/>
    <w:rsid w:val="007A75C2"/>
    <w:rsid w:val="007A798E"/>
    <w:rsid w:val="007B08D3"/>
    <w:rsid w:val="007B0D6F"/>
    <w:rsid w:val="007B0EEE"/>
    <w:rsid w:val="007B1BA3"/>
    <w:rsid w:val="007B2ADE"/>
    <w:rsid w:val="007B3CEB"/>
    <w:rsid w:val="007B58F5"/>
    <w:rsid w:val="007B5E9B"/>
    <w:rsid w:val="007B676D"/>
    <w:rsid w:val="007B6ACF"/>
    <w:rsid w:val="007C066B"/>
    <w:rsid w:val="007C1C38"/>
    <w:rsid w:val="007C253B"/>
    <w:rsid w:val="007C48A3"/>
    <w:rsid w:val="007C4F02"/>
    <w:rsid w:val="007C4F7C"/>
    <w:rsid w:val="007C56E5"/>
    <w:rsid w:val="007C5C90"/>
    <w:rsid w:val="007C6CA2"/>
    <w:rsid w:val="007C74A1"/>
    <w:rsid w:val="007C781E"/>
    <w:rsid w:val="007C7FCA"/>
    <w:rsid w:val="007D0EFE"/>
    <w:rsid w:val="007D109B"/>
    <w:rsid w:val="007D10CE"/>
    <w:rsid w:val="007D278E"/>
    <w:rsid w:val="007D284E"/>
    <w:rsid w:val="007D2BB4"/>
    <w:rsid w:val="007D2E42"/>
    <w:rsid w:val="007D4A98"/>
    <w:rsid w:val="007D4C32"/>
    <w:rsid w:val="007D7952"/>
    <w:rsid w:val="007E1824"/>
    <w:rsid w:val="007E2C5D"/>
    <w:rsid w:val="007E2F4B"/>
    <w:rsid w:val="007E404E"/>
    <w:rsid w:val="007E6B6B"/>
    <w:rsid w:val="007E7151"/>
    <w:rsid w:val="007E76B2"/>
    <w:rsid w:val="007E7B15"/>
    <w:rsid w:val="007F1441"/>
    <w:rsid w:val="007F15CD"/>
    <w:rsid w:val="007F2062"/>
    <w:rsid w:val="007F2B6A"/>
    <w:rsid w:val="007F53AB"/>
    <w:rsid w:val="007F5DE6"/>
    <w:rsid w:val="008008EC"/>
    <w:rsid w:val="008016A0"/>
    <w:rsid w:val="00801E0C"/>
    <w:rsid w:val="0080413D"/>
    <w:rsid w:val="008051B0"/>
    <w:rsid w:val="008054FC"/>
    <w:rsid w:val="008056FF"/>
    <w:rsid w:val="00805B40"/>
    <w:rsid w:val="00806623"/>
    <w:rsid w:val="00806B9F"/>
    <w:rsid w:val="00807E70"/>
    <w:rsid w:val="00807FCA"/>
    <w:rsid w:val="00807FE6"/>
    <w:rsid w:val="008101BB"/>
    <w:rsid w:val="00810716"/>
    <w:rsid w:val="008110E3"/>
    <w:rsid w:val="00812990"/>
    <w:rsid w:val="00813018"/>
    <w:rsid w:val="008134B8"/>
    <w:rsid w:val="00813633"/>
    <w:rsid w:val="00813B38"/>
    <w:rsid w:val="00816A50"/>
    <w:rsid w:val="00817145"/>
    <w:rsid w:val="008205A2"/>
    <w:rsid w:val="008206E7"/>
    <w:rsid w:val="00820C15"/>
    <w:rsid w:val="00823B4C"/>
    <w:rsid w:val="00824374"/>
    <w:rsid w:val="0082476F"/>
    <w:rsid w:val="008264A2"/>
    <w:rsid w:val="0083052A"/>
    <w:rsid w:val="00830D52"/>
    <w:rsid w:val="00830D7B"/>
    <w:rsid w:val="008313BF"/>
    <w:rsid w:val="00831653"/>
    <w:rsid w:val="00831A01"/>
    <w:rsid w:val="0083217C"/>
    <w:rsid w:val="008326F9"/>
    <w:rsid w:val="0083374F"/>
    <w:rsid w:val="00834594"/>
    <w:rsid w:val="00835389"/>
    <w:rsid w:val="00837634"/>
    <w:rsid w:val="0084007B"/>
    <w:rsid w:val="00840E84"/>
    <w:rsid w:val="00841864"/>
    <w:rsid w:val="00841AAE"/>
    <w:rsid w:val="008420EB"/>
    <w:rsid w:val="00844C59"/>
    <w:rsid w:val="00845C1A"/>
    <w:rsid w:val="0084641F"/>
    <w:rsid w:val="00846571"/>
    <w:rsid w:val="0084688F"/>
    <w:rsid w:val="0084740E"/>
    <w:rsid w:val="008503D7"/>
    <w:rsid w:val="00850977"/>
    <w:rsid w:val="00850A6A"/>
    <w:rsid w:val="00850B6B"/>
    <w:rsid w:val="00851030"/>
    <w:rsid w:val="008517F5"/>
    <w:rsid w:val="0085342B"/>
    <w:rsid w:val="008548E1"/>
    <w:rsid w:val="00854B57"/>
    <w:rsid w:val="00855E01"/>
    <w:rsid w:val="00856A72"/>
    <w:rsid w:val="008578DE"/>
    <w:rsid w:val="008607C0"/>
    <w:rsid w:val="008614B7"/>
    <w:rsid w:val="0086350E"/>
    <w:rsid w:val="00864B3B"/>
    <w:rsid w:val="0086549E"/>
    <w:rsid w:val="008657FC"/>
    <w:rsid w:val="00865A4B"/>
    <w:rsid w:val="0086662B"/>
    <w:rsid w:val="00871AD4"/>
    <w:rsid w:val="008730DA"/>
    <w:rsid w:val="008733F7"/>
    <w:rsid w:val="00873974"/>
    <w:rsid w:val="0087408D"/>
    <w:rsid w:val="00876411"/>
    <w:rsid w:val="00877121"/>
    <w:rsid w:val="00877960"/>
    <w:rsid w:val="0088192F"/>
    <w:rsid w:val="00881FA8"/>
    <w:rsid w:val="008821B7"/>
    <w:rsid w:val="008833B6"/>
    <w:rsid w:val="00883CDC"/>
    <w:rsid w:val="00884C37"/>
    <w:rsid w:val="008858E2"/>
    <w:rsid w:val="00885C06"/>
    <w:rsid w:val="00885E21"/>
    <w:rsid w:val="00886C8E"/>
    <w:rsid w:val="008920C3"/>
    <w:rsid w:val="008942AE"/>
    <w:rsid w:val="00894C77"/>
    <w:rsid w:val="00894CD1"/>
    <w:rsid w:val="00896A35"/>
    <w:rsid w:val="008A1276"/>
    <w:rsid w:val="008A13B9"/>
    <w:rsid w:val="008A2E94"/>
    <w:rsid w:val="008A3C31"/>
    <w:rsid w:val="008A45A8"/>
    <w:rsid w:val="008A60DA"/>
    <w:rsid w:val="008A6828"/>
    <w:rsid w:val="008A6A9A"/>
    <w:rsid w:val="008B0AB3"/>
    <w:rsid w:val="008B1E6A"/>
    <w:rsid w:val="008B21A6"/>
    <w:rsid w:val="008B2A27"/>
    <w:rsid w:val="008B44E9"/>
    <w:rsid w:val="008B514A"/>
    <w:rsid w:val="008B55FE"/>
    <w:rsid w:val="008B575B"/>
    <w:rsid w:val="008C1297"/>
    <w:rsid w:val="008C1A3C"/>
    <w:rsid w:val="008C1C80"/>
    <w:rsid w:val="008C3AE4"/>
    <w:rsid w:val="008C4476"/>
    <w:rsid w:val="008C462C"/>
    <w:rsid w:val="008C53B7"/>
    <w:rsid w:val="008C5829"/>
    <w:rsid w:val="008C58E9"/>
    <w:rsid w:val="008C5D66"/>
    <w:rsid w:val="008C7D72"/>
    <w:rsid w:val="008D0BE4"/>
    <w:rsid w:val="008D1577"/>
    <w:rsid w:val="008D192D"/>
    <w:rsid w:val="008D214B"/>
    <w:rsid w:val="008D54B0"/>
    <w:rsid w:val="008D5B17"/>
    <w:rsid w:val="008D6907"/>
    <w:rsid w:val="008E0048"/>
    <w:rsid w:val="008E1CA8"/>
    <w:rsid w:val="008E1CD4"/>
    <w:rsid w:val="008E2359"/>
    <w:rsid w:val="008E2BDC"/>
    <w:rsid w:val="008E600D"/>
    <w:rsid w:val="008E6608"/>
    <w:rsid w:val="008F1690"/>
    <w:rsid w:val="008F33D9"/>
    <w:rsid w:val="008F398E"/>
    <w:rsid w:val="008F5B25"/>
    <w:rsid w:val="008F7C96"/>
    <w:rsid w:val="0090075C"/>
    <w:rsid w:val="00901530"/>
    <w:rsid w:val="009018BD"/>
    <w:rsid w:val="00901BBD"/>
    <w:rsid w:val="009037D5"/>
    <w:rsid w:val="00906216"/>
    <w:rsid w:val="009070CD"/>
    <w:rsid w:val="00907DAA"/>
    <w:rsid w:val="00911AB2"/>
    <w:rsid w:val="00911AF2"/>
    <w:rsid w:val="009120CF"/>
    <w:rsid w:val="009134DB"/>
    <w:rsid w:val="0091373A"/>
    <w:rsid w:val="00913FEE"/>
    <w:rsid w:val="00915042"/>
    <w:rsid w:val="00915867"/>
    <w:rsid w:val="0091600E"/>
    <w:rsid w:val="00916BCA"/>
    <w:rsid w:val="00917E4F"/>
    <w:rsid w:val="00920E47"/>
    <w:rsid w:val="00922568"/>
    <w:rsid w:val="00922CD0"/>
    <w:rsid w:val="00922DFF"/>
    <w:rsid w:val="009234E0"/>
    <w:rsid w:val="00923C05"/>
    <w:rsid w:val="0092581E"/>
    <w:rsid w:val="00926250"/>
    <w:rsid w:val="00927834"/>
    <w:rsid w:val="009318F1"/>
    <w:rsid w:val="00936BA8"/>
    <w:rsid w:val="009403AB"/>
    <w:rsid w:val="00940D7F"/>
    <w:rsid w:val="00942520"/>
    <w:rsid w:val="009429B9"/>
    <w:rsid w:val="00942BF0"/>
    <w:rsid w:val="00944BE9"/>
    <w:rsid w:val="00947FB6"/>
    <w:rsid w:val="0095026A"/>
    <w:rsid w:val="00950446"/>
    <w:rsid w:val="00951CE7"/>
    <w:rsid w:val="009527CD"/>
    <w:rsid w:val="00952DA1"/>
    <w:rsid w:val="009536BA"/>
    <w:rsid w:val="009618E4"/>
    <w:rsid w:val="009627D9"/>
    <w:rsid w:val="00962CDA"/>
    <w:rsid w:val="00963E08"/>
    <w:rsid w:val="00963EFE"/>
    <w:rsid w:val="00965287"/>
    <w:rsid w:val="009654AD"/>
    <w:rsid w:val="00965680"/>
    <w:rsid w:val="00970E7F"/>
    <w:rsid w:val="009711C9"/>
    <w:rsid w:val="00972CAA"/>
    <w:rsid w:val="00973F8F"/>
    <w:rsid w:val="009748CE"/>
    <w:rsid w:val="009757C4"/>
    <w:rsid w:val="00975881"/>
    <w:rsid w:val="009768B8"/>
    <w:rsid w:val="00977059"/>
    <w:rsid w:val="009800E1"/>
    <w:rsid w:val="00980181"/>
    <w:rsid w:val="009804E6"/>
    <w:rsid w:val="009809A1"/>
    <w:rsid w:val="00981DDF"/>
    <w:rsid w:val="00982128"/>
    <w:rsid w:val="00982460"/>
    <w:rsid w:val="009832CD"/>
    <w:rsid w:val="00983C81"/>
    <w:rsid w:val="00984F94"/>
    <w:rsid w:val="009864CF"/>
    <w:rsid w:val="009900E0"/>
    <w:rsid w:val="0099029F"/>
    <w:rsid w:val="00990B6A"/>
    <w:rsid w:val="00990BE4"/>
    <w:rsid w:val="00992ADD"/>
    <w:rsid w:val="00992BD6"/>
    <w:rsid w:val="00992DEA"/>
    <w:rsid w:val="009935DD"/>
    <w:rsid w:val="00993F9C"/>
    <w:rsid w:val="00995DA5"/>
    <w:rsid w:val="00997631"/>
    <w:rsid w:val="00997A0C"/>
    <w:rsid w:val="009A1461"/>
    <w:rsid w:val="009A148D"/>
    <w:rsid w:val="009A2092"/>
    <w:rsid w:val="009A29FC"/>
    <w:rsid w:val="009A34AE"/>
    <w:rsid w:val="009A3618"/>
    <w:rsid w:val="009A3F8F"/>
    <w:rsid w:val="009A48E1"/>
    <w:rsid w:val="009A58E1"/>
    <w:rsid w:val="009A5B4F"/>
    <w:rsid w:val="009A6B08"/>
    <w:rsid w:val="009A6D43"/>
    <w:rsid w:val="009B071A"/>
    <w:rsid w:val="009B1354"/>
    <w:rsid w:val="009B1AAA"/>
    <w:rsid w:val="009B1EA4"/>
    <w:rsid w:val="009B1FAA"/>
    <w:rsid w:val="009B3DA6"/>
    <w:rsid w:val="009B44DE"/>
    <w:rsid w:val="009B6B08"/>
    <w:rsid w:val="009B6DDC"/>
    <w:rsid w:val="009B79B6"/>
    <w:rsid w:val="009C0001"/>
    <w:rsid w:val="009C0156"/>
    <w:rsid w:val="009C159D"/>
    <w:rsid w:val="009C2CDC"/>
    <w:rsid w:val="009C35D8"/>
    <w:rsid w:val="009C3A0E"/>
    <w:rsid w:val="009C4127"/>
    <w:rsid w:val="009C47A6"/>
    <w:rsid w:val="009C5133"/>
    <w:rsid w:val="009C552A"/>
    <w:rsid w:val="009D0198"/>
    <w:rsid w:val="009D1BF5"/>
    <w:rsid w:val="009D2AFC"/>
    <w:rsid w:val="009D37C3"/>
    <w:rsid w:val="009D3B90"/>
    <w:rsid w:val="009D5D63"/>
    <w:rsid w:val="009D65C2"/>
    <w:rsid w:val="009D7BB6"/>
    <w:rsid w:val="009D7FEB"/>
    <w:rsid w:val="009E0633"/>
    <w:rsid w:val="009E08E1"/>
    <w:rsid w:val="009E176F"/>
    <w:rsid w:val="009E199A"/>
    <w:rsid w:val="009E2003"/>
    <w:rsid w:val="009E3AC4"/>
    <w:rsid w:val="009E3FD5"/>
    <w:rsid w:val="009E4213"/>
    <w:rsid w:val="009E67AC"/>
    <w:rsid w:val="009E7380"/>
    <w:rsid w:val="009F2A10"/>
    <w:rsid w:val="009F2A27"/>
    <w:rsid w:val="009F2AAC"/>
    <w:rsid w:val="009F4DA5"/>
    <w:rsid w:val="009F50BF"/>
    <w:rsid w:val="009F51A8"/>
    <w:rsid w:val="009F5435"/>
    <w:rsid w:val="009F6ECD"/>
    <w:rsid w:val="00A01733"/>
    <w:rsid w:val="00A02B80"/>
    <w:rsid w:val="00A033C6"/>
    <w:rsid w:val="00A04BCC"/>
    <w:rsid w:val="00A053C5"/>
    <w:rsid w:val="00A070FC"/>
    <w:rsid w:val="00A07B95"/>
    <w:rsid w:val="00A10F66"/>
    <w:rsid w:val="00A11C2E"/>
    <w:rsid w:val="00A129AA"/>
    <w:rsid w:val="00A130D6"/>
    <w:rsid w:val="00A13E5F"/>
    <w:rsid w:val="00A14A53"/>
    <w:rsid w:val="00A15746"/>
    <w:rsid w:val="00A157BE"/>
    <w:rsid w:val="00A15F62"/>
    <w:rsid w:val="00A1725A"/>
    <w:rsid w:val="00A23623"/>
    <w:rsid w:val="00A242EA"/>
    <w:rsid w:val="00A2704F"/>
    <w:rsid w:val="00A27170"/>
    <w:rsid w:val="00A27CDB"/>
    <w:rsid w:val="00A31B45"/>
    <w:rsid w:val="00A3295E"/>
    <w:rsid w:val="00A32F92"/>
    <w:rsid w:val="00A3466C"/>
    <w:rsid w:val="00A3526E"/>
    <w:rsid w:val="00A360CD"/>
    <w:rsid w:val="00A36547"/>
    <w:rsid w:val="00A37BB7"/>
    <w:rsid w:val="00A37C7D"/>
    <w:rsid w:val="00A4026C"/>
    <w:rsid w:val="00A4039E"/>
    <w:rsid w:val="00A40476"/>
    <w:rsid w:val="00A42452"/>
    <w:rsid w:val="00A42912"/>
    <w:rsid w:val="00A43B31"/>
    <w:rsid w:val="00A443F7"/>
    <w:rsid w:val="00A4464E"/>
    <w:rsid w:val="00A45E56"/>
    <w:rsid w:val="00A46467"/>
    <w:rsid w:val="00A47E08"/>
    <w:rsid w:val="00A505FE"/>
    <w:rsid w:val="00A50B59"/>
    <w:rsid w:val="00A50C44"/>
    <w:rsid w:val="00A516EB"/>
    <w:rsid w:val="00A52E0F"/>
    <w:rsid w:val="00A53316"/>
    <w:rsid w:val="00A55B50"/>
    <w:rsid w:val="00A55BD3"/>
    <w:rsid w:val="00A56F3C"/>
    <w:rsid w:val="00A65911"/>
    <w:rsid w:val="00A65C7A"/>
    <w:rsid w:val="00A65E88"/>
    <w:rsid w:val="00A6642D"/>
    <w:rsid w:val="00A670C1"/>
    <w:rsid w:val="00A67406"/>
    <w:rsid w:val="00A6781E"/>
    <w:rsid w:val="00A67A82"/>
    <w:rsid w:val="00A70E25"/>
    <w:rsid w:val="00A71874"/>
    <w:rsid w:val="00A71F05"/>
    <w:rsid w:val="00A742E4"/>
    <w:rsid w:val="00A749AA"/>
    <w:rsid w:val="00A7630D"/>
    <w:rsid w:val="00A775D9"/>
    <w:rsid w:val="00A80B4C"/>
    <w:rsid w:val="00A80C8B"/>
    <w:rsid w:val="00A80EB5"/>
    <w:rsid w:val="00A81584"/>
    <w:rsid w:val="00A81CFF"/>
    <w:rsid w:val="00A83510"/>
    <w:rsid w:val="00A83E3B"/>
    <w:rsid w:val="00A84352"/>
    <w:rsid w:val="00A85D0E"/>
    <w:rsid w:val="00A86672"/>
    <w:rsid w:val="00A86B7C"/>
    <w:rsid w:val="00A86E69"/>
    <w:rsid w:val="00A87382"/>
    <w:rsid w:val="00A877A7"/>
    <w:rsid w:val="00A90C1F"/>
    <w:rsid w:val="00A927A7"/>
    <w:rsid w:val="00A92C2C"/>
    <w:rsid w:val="00A93BD3"/>
    <w:rsid w:val="00A945A4"/>
    <w:rsid w:val="00A96073"/>
    <w:rsid w:val="00A961E5"/>
    <w:rsid w:val="00A96EDB"/>
    <w:rsid w:val="00A973DA"/>
    <w:rsid w:val="00A978C8"/>
    <w:rsid w:val="00AA0810"/>
    <w:rsid w:val="00AA1DB0"/>
    <w:rsid w:val="00AA1E89"/>
    <w:rsid w:val="00AA214E"/>
    <w:rsid w:val="00AA34A8"/>
    <w:rsid w:val="00AA4871"/>
    <w:rsid w:val="00AA4A55"/>
    <w:rsid w:val="00AA6078"/>
    <w:rsid w:val="00AA6EB9"/>
    <w:rsid w:val="00AA736C"/>
    <w:rsid w:val="00AA7A5D"/>
    <w:rsid w:val="00AA7E2A"/>
    <w:rsid w:val="00AB0402"/>
    <w:rsid w:val="00AB0582"/>
    <w:rsid w:val="00AB0CA0"/>
    <w:rsid w:val="00AB174D"/>
    <w:rsid w:val="00AB1C6A"/>
    <w:rsid w:val="00AB21EC"/>
    <w:rsid w:val="00AB2691"/>
    <w:rsid w:val="00AB3F79"/>
    <w:rsid w:val="00AB5A29"/>
    <w:rsid w:val="00AB6A75"/>
    <w:rsid w:val="00AB72C8"/>
    <w:rsid w:val="00AB7335"/>
    <w:rsid w:val="00AB7573"/>
    <w:rsid w:val="00AC0044"/>
    <w:rsid w:val="00AC028F"/>
    <w:rsid w:val="00AC0904"/>
    <w:rsid w:val="00AC0A05"/>
    <w:rsid w:val="00AC0C41"/>
    <w:rsid w:val="00AC1D33"/>
    <w:rsid w:val="00AC30D3"/>
    <w:rsid w:val="00AC3188"/>
    <w:rsid w:val="00AC381F"/>
    <w:rsid w:val="00AC3C6D"/>
    <w:rsid w:val="00AC56A7"/>
    <w:rsid w:val="00AC5EED"/>
    <w:rsid w:val="00AC6D1D"/>
    <w:rsid w:val="00AC70C3"/>
    <w:rsid w:val="00AC7179"/>
    <w:rsid w:val="00AC7476"/>
    <w:rsid w:val="00AD09B9"/>
    <w:rsid w:val="00AD0D16"/>
    <w:rsid w:val="00AD0F66"/>
    <w:rsid w:val="00AD12D2"/>
    <w:rsid w:val="00AD1B47"/>
    <w:rsid w:val="00AD2DE7"/>
    <w:rsid w:val="00AD33DA"/>
    <w:rsid w:val="00AD450C"/>
    <w:rsid w:val="00AD5515"/>
    <w:rsid w:val="00AD5B80"/>
    <w:rsid w:val="00AD67FD"/>
    <w:rsid w:val="00AD6D10"/>
    <w:rsid w:val="00AE1E0F"/>
    <w:rsid w:val="00AE3984"/>
    <w:rsid w:val="00AE5795"/>
    <w:rsid w:val="00AE5878"/>
    <w:rsid w:val="00AE58D2"/>
    <w:rsid w:val="00AE5D5A"/>
    <w:rsid w:val="00AE648D"/>
    <w:rsid w:val="00AF082C"/>
    <w:rsid w:val="00AF1F3C"/>
    <w:rsid w:val="00AF3422"/>
    <w:rsid w:val="00AF3527"/>
    <w:rsid w:val="00AF3FCD"/>
    <w:rsid w:val="00AF5EE8"/>
    <w:rsid w:val="00AF6C6F"/>
    <w:rsid w:val="00AF74B6"/>
    <w:rsid w:val="00AF7810"/>
    <w:rsid w:val="00B007E5"/>
    <w:rsid w:val="00B018B6"/>
    <w:rsid w:val="00B023F3"/>
    <w:rsid w:val="00B02508"/>
    <w:rsid w:val="00B04999"/>
    <w:rsid w:val="00B0551C"/>
    <w:rsid w:val="00B0553E"/>
    <w:rsid w:val="00B06046"/>
    <w:rsid w:val="00B063BC"/>
    <w:rsid w:val="00B11438"/>
    <w:rsid w:val="00B11EF6"/>
    <w:rsid w:val="00B12B9D"/>
    <w:rsid w:val="00B13398"/>
    <w:rsid w:val="00B13B95"/>
    <w:rsid w:val="00B13FCF"/>
    <w:rsid w:val="00B15DAB"/>
    <w:rsid w:val="00B1693C"/>
    <w:rsid w:val="00B17783"/>
    <w:rsid w:val="00B17FAA"/>
    <w:rsid w:val="00B219C9"/>
    <w:rsid w:val="00B23A1E"/>
    <w:rsid w:val="00B26748"/>
    <w:rsid w:val="00B2686C"/>
    <w:rsid w:val="00B26A32"/>
    <w:rsid w:val="00B27E55"/>
    <w:rsid w:val="00B304E7"/>
    <w:rsid w:val="00B31D43"/>
    <w:rsid w:val="00B33298"/>
    <w:rsid w:val="00B3365B"/>
    <w:rsid w:val="00B33AA5"/>
    <w:rsid w:val="00B33CC7"/>
    <w:rsid w:val="00B33FCB"/>
    <w:rsid w:val="00B342E7"/>
    <w:rsid w:val="00B34CE2"/>
    <w:rsid w:val="00B3556A"/>
    <w:rsid w:val="00B357D1"/>
    <w:rsid w:val="00B36FED"/>
    <w:rsid w:val="00B37BEE"/>
    <w:rsid w:val="00B41437"/>
    <w:rsid w:val="00B418D6"/>
    <w:rsid w:val="00B45213"/>
    <w:rsid w:val="00B45751"/>
    <w:rsid w:val="00B45AA2"/>
    <w:rsid w:val="00B5083D"/>
    <w:rsid w:val="00B52345"/>
    <w:rsid w:val="00B53470"/>
    <w:rsid w:val="00B53676"/>
    <w:rsid w:val="00B53B29"/>
    <w:rsid w:val="00B54770"/>
    <w:rsid w:val="00B54E72"/>
    <w:rsid w:val="00B55593"/>
    <w:rsid w:val="00B57622"/>
    <w:rsid w:val="00B579F8"/>
    <w:rsid w:val="00B601EA"/>
    <w:rsid w:val="00B618C5"/>
    <w:rsid w:val="00B61B8B"/>
    <w:rsid w:val="00B644DF"/>
    <w:rsid w:val="00B64A95"/>
    <w:rsid w:val="00B651F2"/>
    <w:rsid w:val="00B658F0"/>
    <w:rsid w:val="00B662DB"/>
    <w:rsid w:val="00B673C8"/>
    <w:rsid w:val="00B67FF4"/>
    <w:rsid w:val="00B71983"/>
    <w:rsid w:val="00B726D8"/>
    <w:rsid w:val="00B72AFD"/>
    <w:rsid w:val="00B72FE2"/>
    <w:rsid w:val="00B75646"/>
    <w:rsid w:val="00B757F8"/>
    <w:rsid w:val="00B7635E"/>
    <w:rsid w:val="00B76EC2"/>
    <w:rsid w:val="00B77EA7"/>
    <w:rsid w:val="00B77F1C"/>
    <w:rsid w:val="00B800D2"/>
    <w:rsid w:val="00B81B5C"/>
    <w:rsid w:val="00B84172"/>
    <w:rsid w:val="00B8657B"/>
    <w:rsid w:val="00B8768F"/>
    <w:rsid w:val="00B87CD4"/>
    <w:rsid w:val="00B90D21"/>
    <w:rsid w:val="00B90E46"/>
    <w:rsid w:val="00B925A7"/>
    <w:rsid w:val="00B92C7A"/>
    <w:rsid w:val="00B93617"/>
    <w:rsid w:val="00B93AE9"/>
    <w:rsid w:val="00B95636"/>
    <w:rsid w:val="00B95C20"/>
    <w:rsid w:val="00B95C69"/>
    <w:rsid w:val="00B96A93"/>
    <w:rsid w:val="00B97C42"/>
    <w:rsid w:val="00B97D10"/>
    <w:rsid w:val="00BA1429"/>
    <w:rsid w:val="00BA28D6"/>
    <w:rsid w:val="00BA35EF"/>
    <w:rsid w:val="00BA557B"/>
    <w:rsid w:val="00BA57E4"/>
    <w:rsid w:val="00BA5835"/>
    <w:rsid w:val="00BA67D4"/>
    <w:rsid w:val="00BA7577"/>
    <w:rsid w:val="00BA78FA"/>
    <w:rsid w:val="00BB0746"/>
    <w:rsid w:val="00BB0970"/>
    <w:rsid w:val="00BB171D"/>
    <w:rsid w:val="00BB230A"/>
    <w:rsid w:val="00BB3071"/>
    <w:rsid w:val="00BB43FD"/>
    <w:rsid w:val="00BB4D82"/>
    <w:rsid w:val="00BB522C"/>
    <w:rsid w:val="00BB55CE"/>
    <w:rsid w:val="00BB5BC7"/>
    <w:rsid w:val="00BB6844"/>
    <w:rsid w:val="00BB7544"/>
    <w:rsid w:val="00BC0BB8"/>
    <w:rsid w:val="00BC146E"/>
    <w:rsid w:val="00BC280E"/>
    <w:rsid w:val="00BC3DA7"/>
    <w:rsid w:val="00BC3EA3"/>
    <w:rsid w:val="00BC4398"/>
    <w:rsid w:val="00BC7116"/>
    <w:rsid w:val="00BD0177"/>
    <w:rsid w:val="00BD0601"/>
    <w:rsid w:val="00BD1212"/>
    <w:rsid w:val="00BD177A"/>
    <w:rsid w:val="00BD306E"/>
    <w:rsid w:val="00BD35DA"/>
    <w:rsid w:val="00BE0A6F"/>
    <w:rsid w:val="00BE0BA9"/>
    <w:rsid w:val="00BE1172"/>
    <w:rsid w:val="00BE2BD7"/>
    <w:rsid w:val="00BE393C"/>
    <w:rsid w:val="00BE48AF"/>
    <w:rsid w:val="00BE648F"/>
    <w:rsid w:val="00BE6E8E"/>
    <w:rsid w:val="00BE73F4"/>
    <w:rsid w:val="00BF14C8"/>
    <w:rsid w:val="00BF21AE"/>
    <w:rsid w:val="00BF2DB1"/>
    <w:rsid w:val="00BF396A"/>
    <w:rsid w:val="00BF41BF"/>
    <w:rsid w:val="00BF4724"/>
    <w:rsid w:val="00BF4B6D"/>
    <w:rsid w:val="00BF651F"/>
    <w:rsid w:val="00BF69F5"/>
    <w:rsid w:val="00BF7B92"/>
    <w:rsid w:val="00BF7FD9"/>
    <w:rsid w:val="00C007C9"/>
    <w:rsid w:val="00C01709"/>
    <w:rsid w:val="00C02697"/>
    <w:rsid w:val="00C04876"/>
    <w:rsid w:val="00C0490D"/>
    <w:rsid w:val="00C051B0"/>
    <w:rsid w:val="00C068BB"/>
    <w:rsid w:val="00C0697F"/>
    <w:rsid w:val="00C07EC1"/>
    <w:rsid w:val="00C10CCA"/>
    <w:rsid w:val="00C10CF6"/>
    <w:rsid w:val="00C1137A"/>
    <w:rsid w:val="00C11CB8"/>
    <w:rsid w:val="00C132EC"/>
    <w:rsid w:val="00C16891"/>
    <w:rsid w:val="00C20FA0"/>
    <w:rsid w:val="00C2232B"/>
    <w:rsid w:val="00C22565"/>
    <w:rsid w:val="00C23FB7"/>
    <w:rsid w:val="00C24E2D"/>
    <w:rsid w:val="00C2643A"/>
    <w:rsid w:val="00C267FD"/>
    <w:rsid w:val="00C2790D"/>
    <w:rsid w:val="00C27CB4"/>
    <w:rsid w:val="00C301D2"/>
    <w:rsid w:val="00C31052"/>
    <w:rsid w:val="00C3179A"/>
    <w:rsid w:val="00C32AA6"/>
    <w:rsid w:val="00C32E54"/>
    <w:rsid w:val="00C3311D"/>
    <w:rsid w:val="00C33B5F"/>
    <w:rsid w:val="00C33BC0"/>
    <w:rsid w:val="00C347D2"/>
    <w:rsid w:val="00C34E23"/>
    <w:rsid w:val="00C36DC6"/>
    <w:rsid w:val="00C3725D"/>
    <w:rsid w:val="00C401D9"/>
    <w:rsid w:val="00C40CAA"/>
    <w:rsid w:val="00C42B29"/>
    <w:rsid w:val="00C43181"/>
    <w:rsid w:val="00C447D8"/>
    <w:rsid w:val="00C456B1"/>
    <w:rsid w:val="00C456D3"/>
    <w:rsid w:val="00C46986"/>
    <w:rsid w:val="00C50B2B"/>
    <w:rsid w:val="00C51E45"/>
    <w:rsid w:val="00C5204D"/>
    <w:rsid w:val="00C520B3"/>
    <w:rsid w:val="00C528AD"/>
    <w:rsid w:val="00C52E2F"/>
    <w:rsid w:val="00C549A5"/>
    <w:rsid w:val="00C566DC"/>
    <w:rsid w:val="00C56992"/>
    <w:rsid w:val="00C57469"/>
    <w:rsid w:val="00C615C8"/>
    <w:rsid w:val="00C61808"/>
    <w:rsid w:val="00C61AC9"/>
    <w:rsid w:val="00C62867"/>
    <w:rsid w:val="00C62903"/>
    <w:rsid w:val="00C63E4D"/>
    <w:rsid w:val="00C6603A"/>
    <w:rsid w:val="00C66BF4"/>
    <w:rsid w:val="00C671BD"/>
    <w:rsid w:val="00C70097"/>
    <w:rsid w:val="00C703DB"/>
    <w:rsid w:val="00C70596"/>
    <w:rsid w:val="00C71AF7"/>
    <w:rsid w:val="00C72E4C"/>
    <w:rsid w:val="00C73FE7"/>
    <w:rsid w:val="00C755DE"/>
    <w:rsid w:val="00C76AE5"/>
    <w:rsid w:val="00C76D3E"/>
    <w:rsid w:val="00C77DD3"/>
    <w:rsid w:val="00C77E3D"/>
    <w:rsid w:val="00C83218"/>
    <w:rsid w:val="00C83B08"/>
    <w:rsid w:val="00C83BB4"/>
    <w:rsid w:val="00C857C5"/>
    <w:rsid w:val="00C862F4"/>
    <w:rsid w:val="00C8745C"/>
    <w:rsid w:val="00C8746B"/>
    <w:rsid w:val="00C90A42"/>
    <w:rsid w:val="00C924EB"/>
    <w:rsid w:val="00C927B5"/>
    <w:rsid w:val="00C9283D"/>
    <w:rsid w:val="00C92BFB"/>
    <w:rsid w:val="00C92E36"/>
    <w:rsid w:val="00C941E7"/>
    <w:rsid w:val="00C9425C"/>
    <w:rsid w:val="00C95E96"/>
    <w:rsid w:val="00C96621"/>
    <w:rsid w:val="00C97C9E"/>
    <w:rsid w:val="00CA0BA3"/>
    <w:rsid w:val="00CA2E2E"/>
    <w:rsid w:val="00CA3A9F"/>
    <w:rsid w:val="00CA6C24"/>
    <w:rsid w:val="00CA734A"/>
    <w:rsid w:val="00CB05E4"/>
    <w:rsid w:val="00CB1781"/>
    <w:rsid w:val="00CB17BC"/>
    <w:rsid w:val="00CB1C22"/>
    <w:rsid w:val="00CB3CBD"/>
    <w:rsid w:val="00CB46DD"/>
    <w:rsid w:val="00CB5763"/>
    <w:rsid w:val="00CB6C19"/>
    <w:rsid w:val="00CB70A2"/>
    <w:rsid w:val="00CB71F5"/>
    <w:rsid w:val="00CC01DD"/>
    <w:rsid w:val="00CC0F42"/>
    <w:rsid w:val="00CC1E41"/>
    <w:rsid w:val="00CC2759"/>
    <w:rsid w:val="00CC73D1"/>
    <w:rsid w:val="00CC7770"/>
    <w:rsid w:val="00CD05F8"/>
    <w:rsid w:val="00CD2A95"/>
    <w:rsid w:val="00CD48E1"/>
    <w:rsid w:val="00CD61F2"/>
    <w:rsid w:val="00CD6B95"/>
    <w:rsid w:val="00CD75F7"/>
    <w:rsid w:val="00CE0057"/>
    <w:rsid w:val="00CE078A"/>
    <w:rsid w:val="00CE0DDA"/>
    <w:rsid w:val="00CE1785"/>
    <w:rsid w:val="00CE19CC"/>
    <w:rsid w:val="00CE1B60"/>
    <w:rsid w:val="00CE2B3A"/>
    <w:rsid w:val="00CE3850"/>
    <w:rsid w:val="00CE3D2B"/>
    <w:rsid w:val="00CE4396"/>
    <w:rsid w:val="00CE4B11"/>
    <w:rsid w:val="00CE55D6"/>
    <w:rsid w:val="00CE629A"/>
    <w:rsid w:val="00CE6DAF"/>
    <w:rsid w:val="00CE7758"/>
    <w:rsid w:val="00CE7E91"/>
    <w:rsid w:val="00CF05A5"/>
    <w:rsid w:val="00CF0AE5"/>
    <w:rsid w:val="00CF388F"/>
    <w:rsid w:val="00CF38D9"/>
    <w:rsid w:val="00CF3FEA"/>
    <w:rsid w:val="00CF413F"/>
    <w:rsid w:val="00CF455B"/>
    <w:rsid w:val="00CF4E23"/>
    <w:rsid w:val="00CF4E91"/>
    <w:rsid w:val="00D004D5"/>
    <w:rsid w:val="00D02056"/>
    <w:rsid w:val="00D0258C"/>
    <w:rsid w:val="00D03766"/>
    <w:rsid w:val="00D046AA"/>
    <w:rsid w:val="00D04758"/>
    <w:rsid w:val="00D101A3"/>
    <w:rsid w:val="00D1136B"/>
    <w:rsid w:val="00D11E5C"/>
    <w:rsid w:val="00D13437"/>
    <w:rsid w:val="00D138D0"/>
    <w:rsid w:val="00D15F52"/>
    <w:rsid w:val="00D163B4"/>
    <w:rsid w:val="00D16E0A"/>
    <w:rsid w:val="00D17A46"/>
    <w:rsid w:val="00D20380"/>
    <w:rsid w:val="00D20950"/>
    <w:rsid w:val="00D21F33"/>
    <w:rsid w:val="00D2216E"/>
    <w:rsid w:val="00D24856"/>
    <w:rsid w:val="00D25B7B"/>
    <w:rsid w:val="00D25BB6"/>
    <w:rsid w:val="00D2623F"/>
    <w:rsid w:val="00D26901"/>
    <w:rsid w:val="00D26C2C"/>
    <w:rsid w:val="00D271CE"/>
    <w:rsid w:val="00D3338F"/>
    <w:rsid w:val="00D33755"/>
    <w:rsid w:val="00D3404F"/>
    <w:rsid w:val="00D34C97"/>
    <w:rsid w:val="00D36312"/>
    <w:rsid w:val="00D36AC6"/>
    <w:rsid w:val="00D37462"/>
    <w:rsid w:val="00D37BC9"/>
    <w:rsid w:val="00D406FE"/>
    <w:rsid w:val="00D40D33"/>
    <w:rsid w:val="00D43B08"/>
    <w:rsid w:val="00D43F8E"/>
    <w:rsid w:val="00D4424F"/>
    <w:rsid w:val="00D448ED"/>
    <w:rsid w:val="00D44D16"/>
    <w:rsid w:val="00D4569C"/>
    <w:rsid w:val="00D46C2F"/>
    <w:rsid w:val="00D4786B"/>
    <w:rsid w:val="00D50B04"/>
    <w:rsid w:val="00D50BE4"/>
    <w:rsid w:val="00D52FCF"/>
    <w:rsid w:val="00D53712"/>
    <w:rsid w:val="00D54571"/>
    <w:rsid w:val="00D54D9B"/>
    <w:rsid w:val="00D56500"/>
    <w:rsid w:val="00D57BC0"/>
    <w:rsid w:val="00D6348D"/>
    <w:rsid w:val="00D65480"/>
    <w:rsid w:val="00D7000D"/>
    <w:rsid w:val="00D7104F"/>
    <w:rsid w:val="00D73473"/>
    <w:rsid w:val="00D73C0B"/>
    <w:rsid w:val="00D748AD"/>
    <w:rsid w:val="00D751DA"/>
    <w:rsid w:val="00D75B9A"/>
    <w:rsid w:val="00D77A92"/>
    <w:rsid w:val="00D82A4D"/>
    <w:rsid w:val="00D84386"/>
    <w:rsid w:val="00D84A51"/>
    <w:rsid w:val="00D852E7"/>
    <w:rsid w:val="00D86165"/>
    <w:rsid w:val="00D86A69"/>
    <w:rsid w:val="00D86B62"/>
    <w:rsid w:val="00D8710A"/>
    <w:rsid w:val="00D87933"/>
    <w:rsid w:val="00D90D78"/>
    <w:rsid w:val="00D910FE"/>
    <w:rsid w:val="00D91124"/>
    <w:rsid w:val="00D92013"/>
    <w:rsid w:val="00D92A49"/>
    <w:rsid w:val="00D92E53"/>
    <w:rsid w:val="00D93947"/>
    <w:rsid w:val="00D93AB6"/>
    <w:rsid w:val="00D943E0"/>
    <w:rsid w:val="00D948BA"/>
    <w:rsid w:val="00D95733"/>
    <w:rsid w:val="00D96A72"/>
    <w:rsid w:val="00D9719C"/>
    <w:rsid w:val="00D972A0"/>
    <w:rsid w:val="00DA1548"/>
    <w:rsid w:val="00DA36F1"/>
    <w:rsid w:val="00DA5869"/>
    <w:rsid w:val="00DB1D21"/>
    <w:rsid w:val="00DB2959"/>
    <w:rsid w:val="00DB2C09"/>
    <w:rsid w:val="00DB2D98"/>
    <w:rsid w:val="00DB2F17"/>
    <w:rsid w:val="00DB6EB6"/>
    <w:rsid w:val="00DC1966"/>
    <w:rsid w:val="00DC2861"/>
    <w:rsid w:val="00DC421F"/>
    <w:rsid w:val="00DC48BC"/>
    <w:rsid w:val="00DC51E9"/>
    <w:rsid w:val="00DC68D0"/>
    <w:rsid w:val="00DC70A9"/>
    <w:rsid w:val="00DC731B"/>
    <w:rsid w:val="00DD0069"/>
    <w:rsid w:val="00DD0606"/>
    <w:rsid w:val="00DD134B"/>
    <w:rsid w:val="00DD3C1E"/>
    <w:rsid w:val="00DD51A1"/>
    <w:rsid w:val="00DD583A"/>
    <w:rsid w:val="00DD5C1E"/>
    <w:rsid w:val="00DD78F2"/>
    <w:rsid w:val="00DE00F9"/>
    <w:rsid w:val="00DE0507"/>
    <w:rsid w:val="00DE0D2B"/>
    <w:rsid w:val="00DE1FE1"/>
    <w:rsid w:val="00DE24F7"/>
    <w:rsid w:val="00DE2671"/>
    <w:rsid w:val="00DE62E0"/>
    <w:rsid w:val="00DE6A33"/>
    <w:rsid w:val="00DE6BA3"/>
    <w:rsid w:val="00DE761F"/>
    <w:rsid w:val="00DF08DE"/>
    <w:rsid w:val="00DF0E5D"/>
    <w:rsid w:val="00DF2476"/>
    <w:rsid w:val="00DF26A8"/>
    <w:rsid w:val="00DF26DA"/>
    <w:rsid w:val="00DF44F4"/>
    <w:rsid w:val="00DF64F0"/>
    <w:rsid w:val="00DF706B"/>
    <w:rsid w:val="00DF746D"/>
    <w:rsid w:val="00E00565"/>
    <w:rsid w:val="00E00D7B"/>
    <w:rsid w:val="00E01881"/>
    <w:rsid w:val="00E01E8B"/>
    <w:rsid w:val="00E03BCB"/>
    <w:rsid w:val="00E0452D"/>
    <w:rsid w:val="00E06091"/>
    <w:rsid w:val="00E06572"/>
    <w:rsid w:val="00E0684B"/>
    <w:rsid w:val="00E06FCD"/>
    <w:rsid w:val="00E10804"/>
    <w:rsid w:val="00E10FC6"/>
    <w:rsid w:val="00E11307"/>
    <w:rsid w:val="00E12045"/>
    <w:rsid w:val="00E1218C"/>
    <w:rsid w:val="00E131C2"/>
    <w:rsid w:val="00E15A23"/>
    <w:rsid w:val="00E16158"/>
    <w:rsid w:val="00E1627D"/>
    <w:rsid w:val="00E16729"/>
    <w:rsid w:val="00E1744F"/>
    <w:rsid w:val="00E17DEA"/>
    <w:rsid w:val="00E211ED"/>
    <w:rsid w:val="00E21C7A"/>
    <w:rsid w:val="00E22507"/>
    <w:rsid w:val="00E2327A"/>
    <w:rsid w:val="00E24B38"/>
    <w:rsid w:val="00E25A34"/>
    <w:rsid w:val="00E2659A"/>
    <w:rsid w:val="00E26C38"/>
    <w:rsid w:val="00E26DFD"/>
    <w:rsid w:val="00E27253"/>
    <w:rsid w:val="00E30B83"/>
    <w:rsid w:val="00E30E96"/>
    <w:rsid w:val="00E316B2"/>
    <w:rsid w:val="00E32244"/>
    <w:rsid w:val="00E32F7A"/>
    <w:rsid w:val="00E32FDE"/>
    <w:rsid w:val="00E334EF"/>
    <w:rsid w:val="00E33C3B"/>
    <w:rsid w:val="00E35722"/>
    <w:rsid w:val="00E3612D"/>
    <w:rsid w:val="00E36BBA"/>
    <w:rsid w:val="00E400E9"/>
    <w:rsid w:val="00E40389"/>
    <w:rsid w:val="00E410ED"/>
    <w:rsid w:val="00E429E7"/>
    <w:rsid w:val="00E43086"/>
    <w:rsid w:val="00E5001C"/>
    <w:rsid w:val="00E524CB"/>
    <w:rsid w:val="00E5276E"/>
    <w:rsid w:val="00E53CDC"/>
    <w:rsid w:val="00E54E8B"/>
    <w:rsid w:val="00E55233"/>
    <w:rsid w:val="00E55E67"/>
    <w:rsid w:val="00E56C28"/>
    <w:rsid w:val="00E579B6"/>
    <w:rsid w:val="00E57E06"/>
    <w:rsid w:val="00E61167"/>
    <w:rsid w:val="00E61515"/>
    <w:rsid w:val="00E61EE5"/>
    <w:rsid w:val="00E62EBA"/>
    <w:rsid w:val="00E63845"/>
    <w:rsid w:val="00E643EA"/>
    <w:rsid w:val="00E647C8"/>
    <w:rsid w:val="00E70A2C"/>
    <w:rsid w:val="00E729C2"/>
    <w:rsid w:val="00E72AA0"/>
    <w:rsid w:val="00E74356"/>
    <w:rsid w:val="00E74BAF"/>
    <w:rsid w:val="00E75B4B"/>
    <w:rsid w:val="00E767CC"/>
    <w:rsid w:val="00E77554"/>
    <w:rsid w:val="00E7797D"/>
    <w:rsid w:val="00E80076"/>
    <w:rsid w:val="00E814EA"/>
    <w:rsid w:val="00E819D3"/>
    <w:rsid w:val="00E81EF6"/>
    <w:rsid w:val="00E8247E"/>
    <w:rsid w:val="00E83A1C"/>
    <w:rsid w:val="00E83C0D"/>
    <w:rsid w:val="00E845B1"/>
    <w:rsid w:val="00E85B39"/>
    <w:rsid w:val="00E8600E"/>
    <w:rsid w:val="00E86322"/>
    <w:rsid w:val="00E86FE1"/>
    <w:rsid w:val="00E90840"/>
    <w:rsid w:val="00E91241"/>
    <w:rsid w:val="00E91268"/>
    <w:rsid w:val="00E918AC"/>
    <w:rsid w:val="00E93968"/>
    <w:rsid w:val="00E9495F"/>
    <w:rsid w:val="00E95334"/>
    <w:rsid w:val="00E96868"/>
    <w:rsid w:val="00E97264"/>
    <w:rsid w:val="00EA02C8"/>
    <w:rsid w:val="00EA161D"/>
    <w:rsid w:val="00EA1BA8"/>
    <w:rsid w:val="00EA23E7"/>
    <w:rsid w:val="00EA27DB"/>
    <w:rsid w:val="00EA3BBC"/>
    <w:rsid w:val="00EA4DC2"/>
    <w:rsid w:val="00EA5617"/>
    <w:rsid w:val="00EA5D1E"/>
    <w:rsid w:val="00EA6098"/>
    <w:rsid w:val="00EA7C7E"/>
    <w:rsid w:val="00EB0172"/>
    <w:rsid w:val="00EB04A5"/>
    <w:rsid w:val="00EB0AC0"/>
    <w:rsid w:val="00EB1307"/>
    <w:rsid w:val="00EB19A5"/>
    <w:rsid w:val="00EB2A13"/>
    <w:rsid w:val="00EB2CAF"/>
    <w:rsid w:val="00EB3B4C"/>
    <w:rsid w:val="00EB6D3A"/>
    <w:rsid w:val="00EB6ED3"/>
    <w:rsid w:val="00EC20CA"/>
    <w:rsid w:val="00EC21AA"/>
    <w:rsid w:val="00EC21F1"/>
    <w:rsid w:val="00EC3CBD"/>
    <w:rsid w:val="00EC40C9"/>
    <w:rsid w:val="00EC4129"/>
    <w:rsid w:val="00EC4344"/>
    <w:rsid w:val="00EC4FE8"/>
    <w:rsid w:val="00EC557B"/>
    <w:rsid w:val="00EC5CDE"/>
    <w:rsid w:val="00EC6200"/>
    <w:rsid w:val="00EC6686"/>
    <w:rsid w:val="00EC7838"/>
    <w:rsid w:val="00ED28A8"/>
    <w:rsid w:val="00ED2D02"/>
    <w:rsid w:val="00ED650D"/>
    <w:rsid w:val="00ED6951"/>
    <w:rsid w:val="00ED6B7D"/>
    <w:rsid w:val="00ED7261"/>
    <w:rsid w:val="00ED7359"/>
    <w:rsid w:val="00ED74F4"/>
    <w:rsid w:val="00ED786E"/>
    <w:rsid w:val="00EE2069"/>
    <w:rsid w:val="00EE2BF4"/>
    <w:rsid w:val="00EE3035"/>
    <w:rsid w:val="00EE5D13"/>
    <w:rsid w:val="00EF36F8"/>
    <w:rsid w:val="00EF3A2A"/>
    <w:rsid w:val="00EF3A55"/>
    <w:rsid w:val="00EF46F9"/>
    <w:rsid w:val="00EF5A17"/>
    <w:rsid w:val="00EF5CB1"/>
    <w:rsid w:val="00EF74E8"/>
    <w:rsid w:val="00EF75F2"/>
    <w:rsid w:val="00EF7F9E"/>
    <w:rsid w:val="00F002EC"/>
    <w:rsid w:val="00F002FB"/>
    <w:rsid w:val="00F007AF"/>
    <w:rsid w:val="00F01460"/>
    <w:rsid w:val="00F019F5"/>
    <w:rsid w:val="00F026B5"/>
    <w:rsid w:val="00F0376B"/>
    <w:rsid w:val="00F045DD"/>
    <w:rsid w:val="00F046EC"/>
    <w:rsid w:val="00F0642D"/>
    <w:rsid w:val="00F070A5"/>
    <w:rsid w:val="00F076F6"/>
    <w:rsid w:val="00F107DE"/>
    <w:rsid w:val="00F1107A"/>
    <w:rsid w:val="00F129A6"/>
    <w:rsid w:val="00F12FCB"/>
    <w:rsid w:val="00F13951"/>
    <w:rsid w:val="00F14E08"/>
    <w:rsid w:val="00F157DD"/>
    <w:rsid w:val="00F1672D"/>
    <w:rsid w:val="00F16D76"/>
    <w:rsid w:val="00F1743D"/>
    <w:rsid w:val="00F20D90"/>
    <w:rsid w:val="00F21093"/>
    <w:rsid w:val="00F25454"/>
    <w:rsid w:val="00F258F9"/>
    <w:rsid w:val="00F26860"/>
    <w:rsid w:val="00F2773F"/>
    <w:rsid w:val="00F277FD"/>
    <w:rsid w:val="00F27ED0"/>
    <w:rsid w:val="00F300BB"/>
    <w:rsid w:val="00F306A7"/>
    <w:rsid w:val="00F30DDD"/>
    <w:rsid w:val="00F30FD6"/>
    <w:rsid w:val="00F31239"/>
    <w:rsid w:val="00F35B13"/>
    <w:rsid w:val="00F35D84"/>
    <w:rsid w:val="00F371B3"/>
    <w:rsid w:val="00F41E71"/>
    <w:rsid w:val="00F42024"/>
    <w:rsid w:val="00F441D0"/>
    <w:rsid w:val="00F449CA"/>
    <w:rsid w:val="00F44A0F"/>
    <w:rsid w:val="00F44E0D"/>
    <w:rsid w:val="00F44EB5"/>
    <w:rsid w:val="00F45304"/>
    <w:rsid w:val="00F465F1"/>
    <w:rsid w:val="00F46C3C"/>
    <w:rsid w:val="00F46CC9"/>
    <w:rsid w:val="00F4707B"/>
    <w:rsid w:val="00F47BEB"/>
    <w:rsid w:val="00F500BC"/>
    <w:rsid w:val="00F509B7"/>
    <w:rsid w:val="00F51D27"/>
    <w:rsid w:val="00F51F91"/>
    <w:rsid w:val="00F5261B"/>
    <w:rsid w:val="00F528E6"/>
    <w:rsid w:val="00F52D83"/>
    <w:rsid w:val="00F54A53"/>
    <w:rsid w:val="00F54E35"/>
    <w:rsid w:val="00F575E3"/>
    <w:rsid w:val="00F62A57"/>
    <w:rsid w:val="00F63CFD"/>
    <w:rsid w:val="00F63DD0"/>
    <w:rsid w:val="00F63F2F"/>
    <w:rsid w:val="00F63FC4"/>
    <w:rsid w:val="00F64552"/>
    <w:rsid w:val="00F64BA9"/>
    <w:rsid w:val="00F661E3"/>
    <w:rsid w:val="00F66736"/>
    <w:rsid w:val="00F672AC"/>
    <w:rsid w:val="00F677C7"/>
    <w:rsid w:val="00F67A74"/>
    <w:rsid w:val="00F71024"/>
    <w:rsid w:val="00F71648"/>
    <w:rsid w:val="00F72AE7"/>
    <w:rsid w:val="00F7349D"/>
    <w:rsid w:val="00F7397D"/>
    <w:rsid w:val="00F73A47"/>
    <w:rsid w:val="00F7424D"/>
    <w:rsid w:val="00F7646B"/>
    <w:rsid w:val="00F76C01"/>
    <w:rsid w:val="00F80E54"/>
    <w:rsid w:val="00F81674"/>
    <w:rsid w:val="00F81ADF"/>
    <w:rsid w:val="00F8211F"/>
    <w:rsid w:val="00F82FDF"/>
    <w:rsid w:val="00F847C0"/>
    <w:rsid w:val="00F85F41"/>
    <w:rsid w:val="00F8674F"/>
    <w:rsid w:val="00F869BA"/>
    <w:rsid w:val="00F90270"/>
    <w:rsid w:val="00F90295"/>
    <w:rsid w:val="00F903DE"/>
    <w:rsid w:val="00F90CCD"/>
    <w:rsid w:val="00F91542"/>
    <w:rsid w:val="00F91F7D"/>
    <w:rsid w:val="00F91FA4"/>
    <w:rsid w:val="00F9329F"/>
    <w:rsid w:val="00F93469"/>
    <w:rsid w:val="00F9501B"/>
    <w:rsid w:val="00F95858"/>
    <w:rsid w:val="00F95AD5"/>
    <w:rsid w:val="00F9712A"/>
    <w:rsid w:val="00F972B7"/>
    <w:rsid w:val="00F97FBB"/>
    <w:rsid w:val="00FA0947"/>
    <w:rsid w:val="00FA181A"/>
    <w:rsid w:val="00FA18EF"/>
    <w:rsid w:val="00FA21FC"/>
    <w:rsid w:val="00FA25D1"/>
    <w:rsid w:val="00FA2AF5"/>
    <w:rsid w:val="00FA5732"/>
    <w:rsid w:val="00FA7BA3"/>
    <w:rsid w:val="00FB08F2"/>
    <w:rsid w:val="00FB187F"/>
    <w:rsid w:val="00FB1F10"/>
    <w:rsid w:val="00FB250E"/>
    <w:rsid w:val="00FB266D"/>
    <w:rsid w:val="00FB2E3B"/>
    <w:rsid w:val="00FB3079"/>
    <w:rsid w:val="00FB39D9"/>
    <w:rsid w:val="00FB3ED8"/>
    <w:rsid w:val="00FB4023"/>
    <w:rsid w:val="00FB4EF4"/>
    <w:rsid w:val="00FB5EDA"/>
    <w:rsid w:val="00FB661F"/>
    <w:rsid w:val="00FB70F0"/>
    <w:rsid w:val="00FC003F"/>
    <w:rsid w:val="00FC09DC"/>
    <w:rsid w:val="00FC4638"/>
    <w:rsid w:val="00FC46C9"/>
    <w:rsid w:val="00FC4AB7"/>
    <w:rsid w:val="00FC79AF"/>
    <w:rsid w:val="00FD0179"/>
    <w:rsid w:val="00FD0B16"/>
    <w:rsid w:val="00FD1235"/>
    <w:rsid w:val="00FD123A"/>
    <w:rsid w:val="00FD1756"/>
    <w:rsid w:val="00FD1866"/>
    <w:rsid w:val="00FD1E25"/>
    <w:rsid w:val="00FD2546"/>
    <w:rsid w:val="00FD5F25"/>
    <w:rsid w:val="00FD6248"/>
    <w:rsid w:val="00FD63B1"/>
    <w:rsid w:val="00FE0426"/>
    <w:rsid w:val="00FE0BDF"/>
    <w:rsid w:val="00FE1594"/>
    <w:rsid w:val="00FE3586"/>
    <w:rsid w:val="00FE477E"/>
    <w:rsid w:val="00FE5DEB"/>
    <w:rsid w:val="00FE6231"/>
    <w:rsid w:val="00FE729B"/>
    <w:rsid w:val="00FE7C99"/>
    <w:rsid w:val="00FF023F"/>
    <w:rsid w:val="00FF04A4"/>
    <w:rsid w:val="00FF1CFE"/>
    <w:rsid w:val="00FF3EF4"/>
    <w:rsid w:val="00FF4200"/>
    <w:rsid w:val="00FF453A"/>
    <w:rsid w:val="00FF4CCC"/>
    <w:rsid w:val="00FF5343"/>
    <w:rsid w:val="00FF6134"/>
    <w:rsid w:val="00FF62C9"/>
    <w:rsid w:val="00FF7A04"/>
    <w:rsid w:val="00FF7D9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94"/>
    <w:pPr>
      <w:spacing w:before="120" w:after="120"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900E0"/>
    <w:pPr>
      <w:numPr>
        <w:numId w:val="1"/>
      </w:numPr>
      <w:spacing w:before="240" w:after="240"/>
      <w:contextualSpacing w:val="0"/>
      <w:outlineLvl w:val="0"/>
    </w:pPr>
    <w:rPr>
      <w:b/>
      <w:sz w:val="3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E18B8"/>
    <w:pPr>
      <w:numPr>
        <w:ilvl w:val="1"/>
        <w:numId w:val="1"/>
      </w:numPr>
      <w:spacing w:before="240" w:after="240"/>
      <w:contextualSpacing w:val="0"/>
      <w:outlineLvl w:val="1"/>
    </w:pPr>
    <w:rPr>
      <w:rFonts w:cs="Arial"/>
      <w:b/>
      <w:sz w:val="28"/>
      <w:szCs w:val="28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3E18B8"/>
    <w:pPr>
      <w:numPr>
        <w:ilvl w:val="2"/>
        <w:numId w:val="1"/>
      </w:numPr>
      <w:spacing w:before="240" w:after="240"/>
      <w:contextualSpacing w:val="0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F7424D"/>
    <w:pPr>
      <w:numPr>
        <w:ilvl w:val="3"/>
        <w:numId w:val="1"/>
      </w:numPr>
      <w:spacing w:before="360"/>
      <w:contextualSpacing w:val="0"/>
      <w:outlineLvl w:val="3"/>
    </w:pPr>
    <w:rPr>
      <w:rFonts w:cs="Arial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7D9F"/>
    <w:pPr>
      <w:numPr>
        <w:ilvl w:val="4"/>
        <w:numId w:val="1"/>
      </w:numPr>
      <w:outlineLvl w:val="4"/>
    </w:pPr>
    <w:rPr>
      <w:rFonts w:cs="Arial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A4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A4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A4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A4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C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1C22"/>
    <w:rPr>
      <w:b/>
      <w:bCs/>
    </w:rPr>
  </w:style>
  <w:style w:type="paragraph" w:styleId="Normlnweb">
    <w:name w:val="Normal (Web)"/>
    <w:basedOn w:val="Normln"/>
    <w:unhideWhenUsed/>
    <w:rsid w:val="00CB1C22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9900E0"/>
    <w:rPr>
      <w:rFonts w:ascii="Times New Roman" w:eastAsia="Times New Roman" w:hAnsi="Times New Roman"/>
      <w:b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18B8"/>
    <w:rPr>
      <w:rFonts w:ascii="Times New Roman" w:eastAsia="Times New Roman" w:hAnsi="Times New Roman" w:cs="Arial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E18B8"/>
    <w:rPr>
      <w:rFonts w:ascii="Times New Roman" w:eastAsia="Times New Roman" w:hAnsi="Times New Roman"/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BB074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FA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1D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F300BB"/>
    <w:rPr>
      <w:rFonts w:eastAsia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00BB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F300BB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002EC"/>
    <w:pPr>
      <w:keepNext/>
      <w:keepLines/>
      <w:numPr>
        <w:numId w:val="0"/>
      </w:numPr>
      <w:spacing w:before="480"/>
      <w:outlineLvl w:val="9"/>
    </w:pPr>
    <w:rPr>
      <w:rFonts w:ascii="Cambria" w:hAnsi="Cambria"/>
      <w:bCs/>
      <w:color w:val="365F9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002E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E0BDF"/>
    <w:pPr>
      <w:tabs>
        <w:tab w:val="left" w:pos="1320"/>
        <w:tab w:val="right" w:leader="dot" w:pos="9072"/>
      </w:tabs>
      <w:spacing w:after="100"/>
      <w:ind w:left="1276" w:right="283" w:hanging="469"/>
    </w:pPr>
  </w:style>
  <w:style w:type="paragraph" w:styleId="Obsah3">
    <w:name w:val="toc 3"/>
    <w:basedOn w:val="Normln"/>
    <w:next w:val="Normln"/>
    <w:autoRedefine/>
    <w:uiPriority w:val="39"/>
    <w:unhideWhenUsed/>
    <w:rsid w:val="00FE0BDF"/>
    <w:pPr>
      <w:tabs>
        <w:tab w:val="left" w:pos="1701"/>
        <w:tab w:val="right" w:leader="dot" w:pos="9072"/>
      </w:tabs>
      <w:spacing w:after="100"/>
      <w:ind w:left="1701" w:right="283" w:hanging="654"/>
    </w:pPr>
  </w:style>
  <w:style w:type="paragraph" w:styleId="Zhlav">
    <w:name w:val="header"/>
    <w:basedOn w:val="Normln"/>
    <w:link w:val="ZhlavChar"/>
    <w:uiPriority w:val="99"/>
    <w:unhideWhenUsed/>
    <w:rsid w:val="00F00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7424D"/>
    <w:rPr>
      <w:rFonts w:ascii="Times New Roman" w:eastAsia="Times New Roman" w:hAnsi="Times New Roman" w:cs="Arial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76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8B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8B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8B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F7D9F"/>
    <w:pPr>
      <w:spacing w:after="100"/>
      <w:ind w:left="600"/>
    </w:pPr>
  </w:style>
  <w:style w:type="character" w:customStyle="1" w:styleId="Nadpis5Char">
    <w:name w:val="Nadpis 5 Char"/>
    <w:basedOn w:val="Standardnpsmoodstavce"/>
    <w:link w:val="Nadpis5"/>
    <w:uiPriority w:val="9"/>
    <w:rsid w:val="00FF7D9F"/>
    <w:rPr>
      <w:rFonts w:ascii="Times New Roman" w:eastAsia="Times New Roman" w:hAnsi="Times New Roman" w:cs="Arial"/>
      <w:b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FF7D9F"/>
    <w:pPr>
      <w:spacing w:after="100"/>
      <w:ind w:left="800"/>
    </w:pPr>
  </w:style>
  <w:style w:type="paragraph" w:customStyle="1" w:styleId="Default">
    <w:name w:val="Default"/>
    <w:rsid w:val="00197ED9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7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6">
    <w:name w:val="Medium Shading 1 Accent 6"/>
    <w:basedOn w:val="Normlntabulka"/>
    <w:uiPriority w:val="63"/>
    <w:rsid w:val="00175A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Standardnpsmoodstavce"/>
    <w:rsid w:val="00174AA8"/>
  </w:style>
  <w:style w:type="paragraph" w:customStyle="1" w:styleId="Tabulkaapopisky">
    <w:name w:val="Tabulka a popisky"/>
    <w:basedOn w:val="Normln"/>
    <w:link w:val="TabulkaapopiskyChar"/>
    <w:qFormat/>
    <w:rsid w:val="00202573"/>
    <w:pPr>
      <w:widowControl w:val="0"/>
      <w:suppressAutoHyphens/>
      <w:spacing w:before="0" w:after="0" w:line="360" w:lineRule="auto"/>
      <w:ind w:firstLine="0"/>
    </w:pPr>
    <w:rPr>
      <w:rFonts w:eastAsia="Arial Unicode MS"/>
      <w:kern w:val="1"/>
      <w:sz w:val="18"/>
      <w:lang w:eastAsia="en-US"/>
    </w:rPr>
  </w:style>
  <w:style w:type="character" w:customStyle="1" w:styleId="TabulkaapopiskyChar">
    <w:name w:val="Tabulka a popisky Char"/>
    <w:basedOn w:val="Standardnpsmoodstavce"/>
    <w:link w:val="Tabulkaapopisky"/>
    <w:rsid w:val="00202573"/>
    <w:rPr>
      <w:rFonts w:ascii="Times New Roman" w:eastAsia="Arial Unicode MS" w:hAnsi="Times New Roman"/>
      <w:kern w:val="1"/>
      <w:sz w:val="18"/>
      <w:szCs w:val="24"/>
      <w:lang w:eastAsia="en-US"/>
    </w:rPr>
  </w:style>
  <w:style w:type="character" w:styleId="Zvraznn">
    <w:name w:val="Emphasis"/>
    <w:basedOn w:val="Standardnpsmoodstavce"/>
    <w:uiPriority w:val="20"/>
    <w:qFormat/>
    <w:rsid w:val="000E5638"/>
    <w:rPr>
      <w:i/>
      <w:iCs/>
    </w:rPr>
  </w:style>
  <w:style w:type="character" w:customStyle="1" w:styleId="apple-converted-space">
    <w:name w:val="apple-converted-space"/>
    <w:basedOn w:val="Standardnpsmoodstavce"/>
    <w:rsid w:val="000E5638"/>
  </w:style>
  <w:style w:type="paragraph" w:styleId="Revize">
    <w:name w:val="Revision"/>
    <w:hidden/>
    <w:uiPriority w:val="99"/>
    <w:semiHidden/>
    <w:rsid w:val="0037442D"/>
    <w:rPr>
      <w:rFonts w:ascii="Arial" w:eastAsia="Times New Roman" w:hAnsi="Arial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A4B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A4B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A4B"/>
    <w:rPr>
      <w:rFonts w:ascii="Cambria" w:eastAsia="Times New Roman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A4B"/>
    <w:rPr>
      <w:rFonts w:ascii="Cambria" w:eastAsia="Times New Roman" w:hAnsi="Cambria"/>
      <w:i/>
      <w:iCs/>
      <w:color w:val="404040"/>
      <w:sz w:val="24"/>
    </w:rPr>
  </w:style>
  <w:style w:type="table" w:styleId="Stednseznam2zvraznn5">
    <w:name w:val="Medium List 2 Accent 5"/>
    <w:basedOn w:val="Normlntabulka"/>
    <w:uiPriority w:val="66"/>
    <w:rsid w:val="00BA78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3">
    <w:name w:val="Medium Grid 3"/>
    <w:basedOn w:val="Normlntabulka"/>
    <w:uiPriority w:val="69"/>
    <w:rsid w:val="00E908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cleaner">
    <w:name w:val="cleaner"/>
    <w:basedOn w:val="Standardnpsmoodstavce"/>
    <w:rsid w:val="00563482"/>
  </w:style>
  <w:style w:type="paragraph" w:styleId="Titulek">
    <w:name w:val="caption"/>
    <w:basedOn w:val="Normln"/>
    <w:next w:val="Normln"/>
    <w:uiPriority w:val="35"/>
    <w:unhideWhenUsed/>
    <w:qFormat/>
    <w:rsid w:val="000A464F"/>
    <w:rPr>
      <w:b/>
      <w:bCs/>
      <w:color w:val="808080" w:themeColor="background1" w:themeShade="80"/>
      <w:sz w:val="16"/>
      <w:szCs w:val="18"/>
    </w:rPr>
  </w:style>
  <w:style w:type="table" w:styleId="Stednmka3zvraznn6">
    <w:name w:val="Medium Grid 3 Accent 6"/>
    <w:basedOn w:val="Normlntabulka"/>
    <w:uiPriority w:val="69"/>
    <w:rsid w:val="00397E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vtlseznamzvraznn6">
    <w:name w:val="Light List Accent 6"/>
    <w:basedOn w:val="Normlntabulka"/>
    <w:uiPriority w:val="61"/>
    <w:rsid w:val="0023267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3zvraznn5">
    <w:name w:val="Medium Grid 3 Accent 5"/>
    <w:basedOn w:val="Normlntabulka"/>
    <w:uiPriority w:val="69"/>
    <w:rsid w:val="00462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D15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8D15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850A6A"/>
    <w:rPr>
      <w:color w:val="800080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58789C"/>
    <w:rPr>
      <w:rFonts w:ascii="EUAlbertina" w:eastAsiaTheme="minorHAnsi" w:hAnsi="EUAlbertin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unhideWhenUsed/>
    <w:rsid w:val="004B3D57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B3D57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B3D57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B3D57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Svtlstnovnzvraznn6">
    <w:name w:val="Light Shading Accent 6"/>
    <w:basedOn w:val="Normlntabulka"/>
    <w:uiPriority w:val="60"/>
    <w:rsid w:val="00FB25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leGridPHPDOCX">
    <w:name w:val="Table Grid PHPDOCX"/>
    <w:uiPriority w:val="59"/>
    <w:rsid w:val="00AD5B8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B08F2"/>
    <w:pPr>
      <w:spacing w:line="240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08F2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3E18B8"/>
    <w:pPr>
      <w:spacing w:line="240" w:lineRule="auto"/>
      <w:ind w:firstLine="709"/>
    </w:pPr>
    <w:rPr>
      <w:szCs w:val="20"/>
    </w:rPr>
  </w:style>
  <w:style w:type="paragraph" w:customStyle="1" w:styleId="odstavec">
    <w:name w:val="odstavec"/>
    <w:basedOn w:val="Normln"/>
    <w:rsid w:val="003E18B8"/>
    <w:pPr>
      <w:spacing w:line="240" w:lineRule="auto"/>
      <w:ind w:firstLine="482"/>
    </w:pPr>
    <w:rPr>
      <w:noProof/>
    </w:rPr>
  </w:style>
  <w:style w:type="character" w:customStyle="1" w:styleId="hps">
    <w:name w:val="hps"/>
    <w:basedOn w:val="Standardnpsmoodstavce"/>
    <w:rsid w:val="003E18B8"/>
  </w:style>
  <w:style w:type="character" w:customStyle="1" w:styleId="BezmezerChar">
    <w:name w:val="Bez mezer Char"/>
    <w:basedOn w:val="Standardnpsmoodstavce"/>
    <w:link w:val="Bezmezer"/>
    <w:uiPriority w:val="1"/>
    <w:rsid w:val="003E18B8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E18B8"/>
    <w:pPr>
      <w:spacing w:after="300" w:line="36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E18B8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18B8"/>
    <w:pPr>
      <w:numPr>
        <w:ilvl w:val="1"/>
      </w:numPr>
      <w:spacing w:after="200"/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E18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Stednmka1zvraznn6">
    <w:name w:val="Medium Grid 1 Accent 6"/>
    <w:basedOn w:val="Normlntabulka"/>
    <w:uiPriority w:val="67"/>
    <w:rsid w:val="0020257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zvraznn1">
    <w:name w:val="Medium Grid 2 Accent 1"/>
    <w:basedOn w:val="Normlntabulka"/>
    <w:uiPriority w:val="68"/>
    <w:rsid w:val="002025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">
    <w:name w:val="Medium Grid 2"/>
    <w:basedOn w:val="Normlntabulka"/>
    <w:uiPriority w:val="68"/>
    <w:rsid w:val="002025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5">
    <w:name w:val="Medium Grid 1 Accent 5"/>
    <w:basedOn w:val="Normlntabulka"/>
    <w:uiPriority w:val="67"/>
    <w:rsid w:val="0020257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4">
    <w:name w:val="Medium Grid 1 Accent 4"/>
    <w:basedOn w:val="Normlntabulka"/>
    <w:uiPriority w:val="67"/>
    <w:rsid w:val="0020257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94"/>
    <w:pPr>
      <w:spacing w:before="120" w:after="120"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900E0"/>
    <w:pPr>
      <w:numPr>
        <w:numId w:val="1"/>
      </w:numPr>
      <w:spacing w:before="240" w:after="240"/>
      <w:contextualSpacing w:val="0"/>
      <w:outlineLvl w:val="0"/>
    </w:pPr>
    <w:rPr>
      <w:b/>
      <w:sz w:val="3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E18B8"/>
    <w:pPr>
      <w:numPr>
        <w:ilvl w:val="1"/>
        <w:numId w:val="1"/>
      </w:numPr>
      <w:spacing w:before="240" w:after="240"/>
      <w:contextualSpacing w:val="0"/>
      <w:outlineLvl w:val="1"/>
    </w:pPr>
    <w:rPr>
      <w:rFonts w:cs="Arial"/>
      <w:b/>
      <w:sz w:val="28"/>
      <w:szCs w:val="28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3E18B8"/>
    <w:pPr>
      <w:numPr>
        <w:ilvl w:val="2"/>
        <w:numId w:val="1"/>
      </w:numPr>
      <w:spacing w:before="240" w:after="240"/>
      <w:contextualSpacing w:val="0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F7424D"/>
    <w:pPr>
      <w:numPr>
        <w:ilvl w:val="3"/>
        <w:numId w:val="1"/>
      </w:numPr>
      <w:spacing w:before="360"/>
      <w:contextualSpacing w:val="0"/>
      <w:outlineLvl w:val="3"/>
    </w:pPr>
    <w:rPr>
      <w:rFonts w:cs="Arial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7D9F"/>
    <w:pPr>
      <w:numPr>
        <w:ilvl w:val="4"/>
        <w:numId w:val="1"/>
      </w:numPr>
      <w:outlineLvl w:val="4"/>
    </w:pPr>
    <w:rPr>
      <w:rFonts w:cs="Arial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A4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A4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A4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A4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C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1C22"/>
    <w:rPr>
      <w:b/>
      <w:bCs/>
    </w:rPr>
  </w:style>
  <w:style w:type="paragraph" w:styleId="Normlnweb">
    <w:name w:val="Normal (Web)"/>
    <w:basedOn w:val="Normln"/>
    <w:unhideWhenUsed/>
    <w:rsid w:val="00CB1C22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9900E0"/>
    <w:rPr>
      <w:rFonts w:ascii="Times New Roman" w:eastAsia="Times New Roman" w:hAnsi="Times New Roman"/>
      <w:b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18B8"/>
    <w:rPr>
      <w:rFonts w:ascii="Times New Roman" w:eastAsia="Times New Roman" w:hAnsi="Times New Roman" w:cs="Arial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E18B8"/>
    <w:rPr>
      <w:rFonts w:ascii="Times New Roman" w:eastAsia="Times New Roman" w:hAnsi="Times New Roman"/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BB074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FA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1D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F300BB"/>
    <w:rPr>
      <w:rFonts w:eastAsia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00BB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F300BB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002EC"/>
    <w:pPr>
      <w:keepNext/>
      <w:keepLines/>
      <w:numPr>
        <w:numId w:val="0"/>
      </w:numPr>
      <w:spacing w:before="480"/>
      <w:outlineLvl w:val="9"/>
    </w:pPr>
    <w:rPr>
      <w:rFonts w:ascii="Cambria" w:hAnsi="Cambria"/>
      <w:bCs/>
      <w:color w:val="365F9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002E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E0BDF"/>
    <w:pPr>
      <w:tabs>
        <w:tab w:val="left" w:pos="1320"/>
        <w:tab w:val="right" w:leader="dot" w:pos="9072"/>
      </w:tabs>
      <w:spacing w:after="100"/>
      <w:ind w:left="1276" w:right="283" w:hanging="469"/>
    </w:pPr>
  </w:style>
  <w:style w:type="paragraph" w:styleId="Obsah3">
    <w:name w:val="toc 3"/>
    <w:basedOn w:val="Normln"/>
    <w:next w:val="Normln"/>
    <w:autoRedefine/>
    <w:uiPriority w:val="39"/>
    <w:unhideWhenUsed/>
    <w:rsid w:val="00FE0BDF"/>
    <w:pPr>
      <w:tabs>
        <w:tab w:val="left" w:pos="1701"/>
        <w:tab w:val="right" w:leader="dot" w:pos="9072"/>
      </w:tabs>
      <w:spacing w:after="100"/>
      <w:ind w:left="1701" w:right="283" w:hanging="654"/>
    </w:pPr>
  </w:style>
  <w:style w:type="paragraph" w:styleId="Zhlav">
    <w:name w:val="header"/>
    <w:basedOn w:val="Normln"/>
    <w:link w:val="ZhlavChar"/>
    <w:uiPriority w:val="99"/>
    <w:unhideWhenUsed/>
    <w:rsid w:val="00F00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7424D"/>
    <w:rPr>
      <w:rFonts w:ascii="Times New Roman" w:eastAsia="Times New Roman" w:hAnsi="Times New Roman" w:cs="Arial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76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8B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8B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8B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F7D9F"/>
    <w:pPr>
      <w:spacing w:after="100"/>
      <w:ind w:left="600"/>
    </w:pPr>
  </w:style>
  <w:style w:type="character" w:customStyle="1" w:styleId="Nadpis5Char">
    <w:name w:val="Nadpis 5 Char"/>
    <w:basedOn w:val="Standardnpsmoodstavce"/>
    <w:link w:val="Nadpis5"/>
    <w:uiPriority w:val="9"/>
    <w:rsid w:val="00FF7D9F"/>
    <w:rPr>
      <w:rFonts w:ascii="Times New Roman" w:eastAsia="Times New Roman" w:hAnsi="Times New Roman" w:cs="Arial"/>
      <w:b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FF7D9F"/>
    <w:pPr>
      <w:spacing w:after="100"/>
      <w:ind w:left="800"/>
    </w:pPr>
  </w:style>
  <w:style w:type="paragraph" w:customStyle="1" w:styleId="Default">
    <w:name w:val="Default"/>
    <w:rsid w:val="00197ED9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7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6">
    <w:name w:val="Medium Shading 1 Accent 6"/>
    <w:basedOn w:val="Normlntabulka"/>
    <w:uiPriority w:val="63"/>
    <w:rsid w:val="00175A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Standardnpsmoodstavce"/>
    <w:rsid w:val="00174AA8"/>
  </w:style>
  <w:style w:type="paragraph" w:customStyle="1" w:styleId="Tabulkaapopisky">
    <w:name w:val="Tabulka a popisky"/>
    <w:basedOn w:val="Normln"/>
    <w:link w:val="TabulkaapopiskyChar"/>
    <w:qFormat/>
    <w:rsid w:val="00202573"/>
    <w:pPr>
      <w:widowControl w:val="0"/>
      <w:suppressAutoHyphens/>
      <w:spacing w:before="0" w:after="0" w:line="360" w:lineRule="auto"/>
      <w:ind w:firstLine="0"/>
    </w:pPr>
    <w:rPr>
      <w:rFonts w:eastAsia="Arial Unicode MS"/>
      <w:kern w:val="1"/>
      <w:sz w:val="18"/>
      <w:lang w:eastAsia="en-US"/>
    </w:rPr>
  </w:style>
  <w:style w:type="character" w:customStyle="1" w:styleId="TabulkaapopiskyChar">
    <w:name w:val="Tabulka a popisky Char"/>
    <w:basedOn w:val="Standardnpsmoodstavce"/>
    <w:link w:val="Tabulkaapopisky"/>
    <w:rsid w:val="00202573"/>
    <w:rPr>
      <w:rFonts w:ascii="Times New Roman" w:eastAsia="Arial Unicode MS" w:hAnsi="Times New Roman"/>
      <w:kern w:val="1"/>
      <w:sz w:val="18"/>
      <w:szCs w:val="24"/>
      <w:lang w:eastAsia="en-US"/>
    </w:rPr>
  </w:style>
  <w:style w:type="character" w:styleId="Zvraznn">
    <w:name w:val="Emphasis"/>
    <w:basedOn w:val="Standardnpsmoodstavce"/>
    <w:uiPriority w:val="20"/>
    <w:qFormat/>
    <w:rsid w:val="000E5638"/>
    <w:rPr>
      <w:i/>
      <w:iCs/>
    </w:rPr>
  </w:style>
  <w:style w:type="character" w:customStyle="1" w:styleId="apple-converted-space">
    <w:name w:val="apple-converted-space"/>
    <w:basedOn w:val="Standardnpsmoodstavce"/>
    <w:rsid w:val="000E5638"/>
  </w:style>
  <w:style w:type="paragraph" w:styleId="Revize">
    <w:name w:val="Revision"/>
    <w:hidden/>
    <w:uiPriority w:val="99"/>
    <w:semiHidden/>
    <w:rsid w:val="0037442D"/>
    <w:rPr>
      <w:rFonts w:ascii="Arial" w:eastAsia="Times New Roman" w:hAnsi="Arial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A4B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A4B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A4B"/>
    <w:rPr>
      <w:rFonts w:ascii="Cambria" w:eastAsia="Times New Roman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A4B"/>
    <w:rPr>
      <w:rFonts w:ascii="Cambria" w:eastAsia="Times New Roman" w:hAnsi="Cambria"/>
      <w:i/>
      <w:iCs/>
      <w:color w:val="404040"/>
      <w:sz w:val="24"/>
    </w:rPr>
  </w:style>
  <w:style w:type="table" w:styleId="Stednseznam2zvraznn5">
    <w:name w:val="Medium List 2 Accent 5"/>
    <w:basedOn w:val="Normlntabulka"/>
    <w:uiPriority w:val="66"/>
    <w:rsid w:val="00BA78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3">
    <w:name w:val="Medium Grid 3"/>
    <w:basedOn w:val="Normlntabulka"/>
    <w:uiPriority w:val="69"/>
    <w:rsid w:val="00E908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cleaner">
    <w:name w:val="cleaner"/>
    <w:basedOn w:val="Standardnpsmoodstavce"/>
    <w:rsid w:val="00563482"/>
  </w:style>
  <w:style w:type="paragraph" w:styleId="Titulek">
    <w:name w:val="caption"/>
    <w:basedOn w:val="Normln"/>
    <w:next w:val="Normln"/>
    <w:uiPriority w:val="35"/>
    <w:unhideWhenUsed/>
    <w:qFormat/>
    <w:rsid w:val="000A464F"/>
    <w:rPr>
      <w:b/>
      <w:bCs/>
      <w:color w:val="808080" w:themeColor="background1" w:themeShade="80"/>
      <w:sz w:val="16"/>
      <w:szCs w:val="18"/>
    </w:rPr>
  </w:style>
  <w:style w:type="table" w:styleId="Stednmka3zvraznn6">
    <w:name w:val="Medium Grid 3 Accent 6"/>
    <w:basedOn w:val="Normlntabulka"/>
    <w:uiPriority w:val="69"/>
    <w:rsid w:val="00397E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vtlseznamzvraznn6">
    <w:name w:val="Light List Accent 6"/>
    <w:basedOn w:val="Normlntabulka"/>
    <w:uiPriority w:val="61"/>
    <w:rsid w:val="0023267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3zvraznn5">
    <w:name w:val="Medium Grid 3 Accent 5"/>
    <w:basedOn w:val="Normlntabulka"/>
    <w:uiPriority w:val="69"/>
    <w:rsid w:val="00462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D15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8D15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850A6A"/>
    <w:rPr>
      <w:color w:val="800080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58789C"/>
    <w:rPr>
      <w:rFonts w:ascii="EUAlbertina" w:eastAsiaTheme="minorHAnsi" w:hAnsi="EUAlbertin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unhideWhenUsed/>
    <w:rsid w:val="004B3D57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B3D57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B3D57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B3D57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Svtlstnovnzvraznn6">
    <w:name w:val="Light Shading Accent 6"/>
    <w:basedOn w:val="Normlntabulka"/>
    <w:uiPriority w:val="60"/>
    <w:rsid w:val="00FB25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leGridPHPDOCX">
    <w:name w:val="Table Grid PHPDOCX"/>
    <w:uiPriority w:val="59"/>
    <w:rsid w:val="00AD5B8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B08F2"/>
    <w:pPr>
      <w:spacing w:line="240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08F2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3E18B8"/>
    <w:pPr>
      <w:spacing w:line="240" w:lineRule="auto"/>
      <w:ind w:firstLine="709"/>
    </w:pPr>
    <w:rPr>
      <w:szCs w:val="20"/>
    </w:rPr>
  </w:style>
  <w:style w:type="paragraph" w:customStyle="1" w:styleId="odstavec">
    <w:name w:val="odstavec"/>
    <w:basedOn w:val="Normln"/>
    <w:rsid w:val="003E18B8"/>
    <w:pPr>
      <w:spacing w:line="240" w:lineRule="auto"/>
      <w:ind w:firstLine="482"/>
    </w:pPr>
    <w:rPr>
      <w:noProof/>
    </w:rPr>
  </w:style>
  <w:style w:type="character" w:customStyle="1" w:styleId="hps">
    <w:name w:val="hps"/>
    <w:basedOn w:val="Standardnpsmoodstavce"/>
    <w:rsid w:val="003E18B8"/>
  </w:style>
  <w:style w:type="character" w:customStyle="1" w:styleId="BezmezerChar">
    <w:name w:val="Bez mezer Char"/>
    <w:basedOn w:val="Standardnpsmoodstavce"/>
    <w:link w:val="Bezmezer"/>
    <w:uiPriority w:val="1"/>
    <w:rsid w:val="003E18B8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E18B8"/>
    <w:pPr>
      <w:spacing w:after="300" w:line="36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E18B8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18B8"/>
    <w:pPr>
      <w:numPr>
        <w:ilvl w:val="1"/>
      </w:numPr>
      <w:spacing w:after="200"/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E18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Stednmka1zvraznn6">
    <w:name w:val="Medium Grid 1 Accent 6"/>
    <w:basedOn w:val="Normlntabulka"/>
    <w:uiPriority w:val="67"/>
    <w:rsid w:val="0020257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zvraznn1">
    <w:name w:val="Medium Grid 2 Accent 1"/>
    <w:basedOn w:val="Normlntabulka"/>
    <w:uiPriority w:val="68"/>
    <w:rsid w:val="002025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">
    <w:name w:val="Medium Grid 2"/>
    <w:basedOn w:val="Normlntabulka"/>
    <w:uiPriority w:val="68"/>
    <w:rsid w:val="002025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5">
    <w:name w:val="Medium Grid 1 Accent 5"/>
    <w:basedOn w:val="Normlntabulka"/>
    <w:uiPriority w:val="67"/>
    <w:rsid w:val="0020257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4">
    <w:name w:val="Medium Grid 1 Accent 4"/>
    <w:basedOn w:val="Normlntabulka"/>
    <w:uiPriority w:val="67"/>
    <w:rsid w:val="0020257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E71A-6228-4FB7-95B5-D21E10F6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5377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37033</CharactersWithSpaces>
  <SharedDoc>false</SharedDoc>
  <HLinks>
    <vt:vector size="294" baseType="variant">
      <vt:variant>
        <vt:i4>1179649</vt:i4>
      </vt:variant>
      <vt:variant>
        <vt:i4>267</vt:i4>
      </vt:variant>
      <vt:variant>
        <vt:i4>0</vt:i4>
      </vt:variant>
      <vt:variant>
        <vt:i4>5</vt:i4>
      </vt:variant>
      <vt:variant>
        <vt:lpwstr>http://antiprolux.netii.net/</vt:lpwstr>
      </vt:variant>
      <vt:variant>
        <vt:lpwstr/>
      </vt:variant>
      <vt:variant>
        <vt:i4>6684789</vt:i4>
      </vt:variant>
      <vt:variant>
        <vt:i4>264</vt:i4>
      </vt:variant>
      <vt:variant>
        <vt:i4>0</vt:i4>
      </vt:variant>
      <vt:variant>
        <vt:i4>5</vt:i4>
      </vt:variant>
      <vt:variant>
        <vt:lpwstr>http://www.stop-prolux.net/</vt:lpwstr>
      </vt:variant>
      <vt:variant>
        <vt:lpwstr/>
      </vt:variant>
      <vt:variant>
        <vt:i4>262166</vt:i4>
      </vt:variant>
      <vt:variant>
        <vt:i4>261</vt:i4>
      </vt:variant>
      <vt:variant>
        <vt:i4>0</vt:i4>
      </vt:variant>
      <vt:variant>
        <vt:i4>5</vt:i4>
      </vt:variant>
      <vt:variant>
        <vt:lpwstr>http://www.vlastnici.cz/</vt:lpwstr>
      </vt:variant>
      <vt:variant>
        <vt:lpwstr/>
      </vt:variant>
      <vt:variant>
        <vt:i4>7143478</vt:i4>
      </vt:variant>
      <vt:variant>
        <vt:i4>258</vt:i4>
      </vt:variant>
      <vt:variant>
        <vt:i4>0</vt:i4>
      </vt:variant>
      <vt:variant>
        <vt:i4>5</vt:i4>
      </vt:variant>
      <vt:variant>
        <vt:lpwstr>http://www.nechcemerealitku.cz/</vt:lpwstr>
      </vt:variant>
      <vt:variant>
        <vt:lpwstr/>
      </vt:variant>
      <vt:variant>
        <vt:i4>82</vt:i4>
      </vt:variant>
      <vt:variant>
        <vt:i4>255</vt:i4>
      </vt:variant>
      <vt:variant>
        <vt:i4>0</vt:i4>
      </vt:variant>
      <vt:variant>
        <vt:i4>5</vt:i4>
      </vt:variant>
      <vt:variant>
        <vt:lpwstr>http://www.realitkyne.cz/</vt:lpwstr>
      </vt:variant>
      <vt:variant>
        <vt:lpwstr/>
      </vt:variant>
      <vt:variant>
        <vt:i4>8061040</vt:i4>
      </vt:variant>
      <vt:variant>
        <vt:i4>252</vt:i4>
      </vt:variant>
      <vt:variant>
        <vt:i4>0</vt:i4>
      </vt:variant>
      <vt:variant>
        <vt:i4>5</vt:i4>
      </vt:variant>
      <vt:variant>
        <vt:lpwstr>http://www.bezrealitky.cz/</vt:lpwstr>
      </vt:variant>
      <vt:variant>
        <vt:lpwstr/>
      </vt:variant>
      <vt:variant>
        <vt:i4>6488121</vt:i4>
      </vt:variant>
      <vt:variant>
        <vt:i4>249</vt:i4>
      </vt:variant>
      <vt:variant>
        <vt:i4>0</vt:i4>
      </vt:variant>
      <vt:variant>
        <vt:i4>5</vt:i4>
      </vt:variant>
      <vt:variant>
        <vt:lpwstr>http://www.cepi.eu/</vt:lpwstr>
      </vt:variant>
      <vt:variant>
        <vt:lpwstr/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_Toc358381247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_Toc358381246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_Toc358381245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_Toc358381244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_Toc358381243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_Toc358381242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_Toc358381241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_Toc358381240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_Toc358381239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_Toc358381238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_Toc358381237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_Toc358381236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_Toc358381234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_Toc358381233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_Toc358381232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_Toc358381231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_Toc358381230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_Toc358381228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_Toc358381227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_Toc358381226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_Toc358381224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_Toc358381223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_Toc358381222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_Toc358381221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_Toc358381220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_Toc358381217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_Toc358381216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_Toc358381215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_Toc358381213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_Toc358381211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_Toc358381210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_Toc358381208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_Toc358381205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_Toc358381204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_Toc358381203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_Toc358381202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_Toc358381201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_Toc358381200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_Toc358381199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_Toc358381197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_Toc358381196</vt:lpwstr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http://www.arkcr.cz/?c_id=325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*;Ing. Petr Polák</dc:creator>
  <cp:lastModifiedBy>Polák Petr Ing.</cp:lastModifiedBy>
  <cp:revision>2</cp:revision>
  <cp:lastPrinted>2018-09-05T08:24:00Z</cp:lastPrinted>
  <dcterms:created xsi:type="dcterms:W3CDTF">2018-10-09T07:35:00Z</dcterms:created>
  <dcterms:modified xsi:type="dcterms:W3CDTF">2018-10-09T07:35:00Z</dcterms:modified>
</cp:coreProperties>
</file>