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F1E2B" w14:textId="77777777" w:rsidR="000D17A6" w:rsidRPr="00EC753D" w:rsidRDefault="000D17A6" w:rsidP="003B2F4C">
      <w:pPr>
        <w:pStyle w:val="Nadpis1"/>
      </w:pPr>
      <w:r w:rsidRPr="00EC753D">
        <w:t>ODŮVODNĚNÍ</w:t>
      </w:r>
    </w:p>
    <w:p w14:paraId="05153476" w14:textId="77777777" w:rsidR="000D17A6" w:rsidRPr="00EC753D" w:rsidRDefault="000D17A6" w:rsidP="003B2F4C">
      <w:pPr>
        <w:pStyle w:val="Nadpis1"/>
      </w:pPr>
      <w:r w:rsidRPr="00EC753D">
        <w:t>A. OBECNÁ ČÁST</w:t>
      </w:r>
    </w:p>
    <w:p w14:paraId="69070C26" w14:textId="59E497E1" w:rsidR="0091720C" w:rsidRPr="00592CF6" w:rsidRDefault="00592CF6" w:rsidP="00592CF6">
      <w:pPr>
        <w:pStyle w:val="Nadpis3"/>
      </w:pPr>
      <w:r w:rsidRPr="00592CF6">
        <w:t>Vysvětlení nezbytnosti navrhované právní úpravy, odůvodnění jejích hlavních principů</w:t>
      </w:r>
      <w:r w:rsidR="0091720C" w:rsidRPr="00592CF6">
        <w:t xml:space="preserve"> </w:t>
      </w:r>
    </w:p>
    <w:p w14:paraId="4A405EC8" w14:textId="5714AAC7" w:rsidR="006A646B" w:rsidRDefault="006A646B" w:rsidP="006A646B">
      <w:pPr>
        <w:rPr>
          <w:rFonts w:eastAsia="MS Mincho"/>
        </w:rPr>
      </w:pPr>
      <w:r>
        <w:rPr>
          <w:rFonts w:eastAsia="MS Mincho"/>
        </w:rPr>
        <w:t xml:space="preserve">Návrh vyhlášky je zpracován v návaznosti </w:t>
      </w:r>
      <w:r w:rsidR="00DF10D5">
        <w:rPr>
          <w:rFonts w:eastAsia="MS Mincho"/>
        </w:rPr>
        <w:t>přijetí</w:t>
      </w:r>
      <w:r w:rsidRPr="006A646B">
        <w:rPr>
          <w:rFonts w:eastAsia="MS Mincho"/>
        </w:rPr>
        <w:t xml:space="preserve"> zákona</w:t>
      </w:r>
      <w:r w:rsidR="00FC2F47">
        <w:rPr>
          <w:rFonts w:eastAsia="MS Mincho"/>
        </w:rPr>
        <w:t xml:space="preserve"> č. 374/2021 Sb.</w:t>
      </w:r>
      <w:r w:rsidRPr="006A646B">
        <w:rPr>
          <w:rFonts w:eastAsia="MS Mincho"/>
        </w:rPr>
        <w:t>, kterým se mění zákon č. 127/2005 Sb., o elektronických komunikacích a o změně některých souvisejících zákonů (zákon o elektronických komunikacích), ve znění pozdějších předpisů, a některé další zákony</w:t>
      </w:r>
      <w:r>
        <w:rPr>
          <w:rFonts w:eastAsia="MS Mincho"/>
        </w:rPr>
        <w:t xml:space="preserve"> (dále jen „novela“). Cílem novely je zapracovat do českého právního řádu požadavky </w:t>
      </w:r>
      <w:r>
        <w:rPr>
          <w:rFonts w:eastAsia="MS Mincho"/>
          <w:bCs/>
        </w:rPr>
        <w:t>s</w:t>
      </w:r>
      <w:r w:rsidRPr="005E7737">
        <w:rPr>
          <w:rFonts w:eastAsia="MS Mincho"/>
          <w:bCs/>
        </w:rPr>
        <w:t>měrnice Evropského parlamentu a Rady (EU) 2018/1972 ze dne 11. prosince 2018, kterou se stanoví evropský kodex pro elektronické komunikace</w:t>
      </w:r>
      <w:r>
        <w:rPr>
          <w:rFonts w:eastAsia="MS Mincho"/>
          <w:bCs/>
        </w:rPr>
        <w:t xml:space="preserve"> (dále jen „Kodex pro elektronické komunikace“). V návaznosti na novelu je zapotřebí upravit některé otázky podzákonným právním předpisem.</w:t>
      </w:r>
    </w:p>
    <w:p w14:paraId="6345898E" w14:textId="0C4692D2" w:rsidR="00276600" w:rsidRDefault="006A646B" w:rsidP="00592CF6">
      <w:pPr>
        <w:rPr>
          <w:rFonts w:eastAsia="MS Mincho"/>
        </w:rPr>
      </w:pPr>
      <w:r>
        <w:rPr>
          <w:rFonts w:eastAsia="MS Mincho"/>
        </w:rPr>
        <w:t xml:space="preserve">Novela upravuje v návaznosti na požadavky evropského práva mimo jiné právo účastníka na náhradu v souvislosti s přenesením čísla nebo změnou poskytovatele služby přístupu k internetu. </w:t>
      </w:r>
      <w:r w:rsidR="00592CF6">
        <w:rPr>
          <w:rFonts w:eastAsia="MS Mincho"/>
        </w:rPr>
        <w:t xml:space="preserve">Dle zákonného zmocnění, které je obsaženo v </w:t>
      </w:r>
      <w:r>
        <w:rPr>
          <w:rFonts w:eastAsia="MS Mincho"/>
        </w:rPr>
        <w:t xml:space="preserve">§ 150 odst. 6 a v </w:t>
      </w:r>
      <w:r w:rsidR="00592CF6">
        <w:rPr>
          <w:rFonts w:eastAsia="MS Mincho"/>
        </w:rPr>
        <w:t xml:space="preserve">§ 34 odst. 11 a § 34a odst. 11 </w:t>
      </w:r>
      <w:r>
        <w:rPr>
          <w:rFonts w:eastAsia="MS Mincho"/>
        </w:rPr>
        <w:t>zákon</w:t>
      </w:r>
      <w:r w:rsidR="002F29E5">
        <w:rPr>
          <w:rFonts w:eastAsia="MS Mincho"/>
        </w:rPr>
        <w:t>a</w:t>
      </w:r>
      <w:r>
        <w:rPr>
          <w:rFonts w:eastAsia="MS Mincho"/>
        </w:rPr>
        <w:t xml:space="preserve"> o elektronických komunikacích</w:t>
      </w:r>
      <w:r w:rsidR="00592CF6">
        <w:rPr>
          <w:rFonts w:eastAsia="MS Mincho"/>
        </w:rPr>
        <w:t>, se má jednat o paušální, pevně stanovenou náhradu, na niž vzniká nárok pří zpoždění nebo zneužití postupů souvisejících se změnou nebo při nedodržení dohodnutých termínů opravy a instalace. Prováděné ustanovení též upravuje rozmezí denních sazeb, které činí 100 až 1</w:t>
      </w:r>
      <w:r w:rsidR="00807379">
        <w:rPr>
          <w:rFonts w:eastAsia="MS Mincho"/>
        </w:rPr>
        <w:t xml:space="preserve"> </w:t>
      </w:r>
      <w:r w:rsidR="00592CF6">
        <w:rPr>
          <w:rFonts w:eastAsia="MS Mincho"/>
        </w:rPr>
        <w:t xml:space="preserve">000 Kč. </w:t>
      </w:r>
      <w:r>
        <w:rPr>
          <w:rFonts w:eastAsia="MS Mincho"/>
        </w:rPr>
        <w:t>V prováděcím právním předpisu</w:t>
      </w:r>
      <w:r w:rsidR="00592CF6">
        <w:rPr>
          <w:rFonts w:eastAsia="MS Mincho"/>
        </w:rPr>
        <w:t xml:space="preserve"> </w:t>
      </w:r>
      <w:r>
        <w:rPr>
          <w:rFonts w:eastAsia="MS Mincho"/>
        </w:rPr>
        <w:t>je tedy nutno spojit jednotlivé případy s konkrétními denními sazbami. Novela</w:t>
      </w:r>
      <w:r w:rsidR="00592CF6">
        <w:rPr>
          <w:rFonts w:eastAsia="MS Mincho"/>
        </w:rPr>
        <w:t xml:space="preserve"> dále stanoví, že vyhláška upraví i způsob uveřejnění informací o právu na tuto paušální náhradu.</w:t>
      </w:r>
    </w:p>
    <w:p w14:paraId="377BC582" w14:textId="77777777" w:rsidR="00015978" w:rsidRDefault="006A646B" w:rsidP="00592CF6">
      <w:pPr>
        <w:rPr>
          <w:rFonts w:eastAsia="MS Mincho"/>
        </w:rPr>
      </w:pPr>
      <w:r>
        <w:rPr>
          <w:rFonts w:eastAsia="MS Mincho"/>
        </w:rPr>
        <w:t xml:space="preserve">Hlavní cílem této vyhlášky je tedy provést příslušná ustanovení zákona o elektronických komunikacích, a to </w:t>
      </w:r>
      <w:r w:rsidR="00BE1FE9">
        <w:rPr>
          <w:rFonts w:eastAsia="MS Mincho"/>
        </w:rPr>
        <w:t>stanovením jednotlivých denních sazeb paušální náhrady v závislosti na závažnosti jednotlivých případů a určením způsobu uveřejnění informace o právu na tuto náhradu.</w:t>
      </w:r>
    </w:p>
    <w:p w14:paraId="7E5C5D4D" w14:textId="2846BEAF" w:rsidR="006A646B" w:rsidRPr="00EC753D" w:rsidRDefault="00015978" w:rsidP="00592CF6">
      <w:pPr>
        <w:rPr>
          <w:rFonts w:eastAsia="MS Mincho"/>
        </w:rPr>
      </w:pPr>
      <w:r>
        <w:rPr>
          <w:rFonts w:eastAsia="MS Mincho"/>
        </w:rPr>
        <w:t>Obecně je hlavním motivem příslušné evropské úpravy</w:t>
      </w:r>
      <w:r w:rsidR="00E4780D">
        <w:rPr>
          <w:rFonts w:eastAsia="MS Mincho"/>
        </w:rPr>
        <w:t xml:space="preserve"> </w:t>
      </w:r>
      <w:r w:rsidR="00E4780D">
        <w:rPr>
          <w:rFonts w:eastAsia="MS Mincho"/>
          <w:bCs/>
          <w:iCs/>
        </w:rPr>
        <w:t xml:space="preserve">posílit práva </w:t>
      </w:r>
      <w:r>
        <w:rPr>
          <w:rFonts w:eastAsia="MS Mincho"/>
          <w:bCs/>
          <w:iCs/>
        </w:rPr>
        <w:t>účastníků</w:t>
      </w:r>
      <w:r w:rsidR="00E4780D">
        <w:rPr>
          <w:rFonts w:eastAsia="MS Mincho"/>
          <w:bCs/>
          <w:iCs/>
        </w:rPr>
        <w:t xml:space="preserve"> v souvislosti s přenosem čísla nebo změnou poskytovatele služby přístupu k</w:t>
      </w:r>
      <w:r>
        <w:rPr>
          <w:rFonts w:eastAsia="MS Mincho"/>
          <w:bCs/>
          <w:iCs/>
        </w:rPr>
        <w:t> </w:t>
      </w:r>
      <w:r w:rsidR="00E4780D">
        <w:rPr>
          <w:rFonts w:eastAsia="MS Mincho"/>
          <w:bCs/>
          <w:iCs/>
        </w:rPr>
        <w:t>internetu</w:t>
      </w:r>
      <w:r>
        <w:rPr>
          <w:rFonts w:eastAsia="MS Mincho"/>
          <w:bCs/>
          <w:iCs/>
        </w:rPr>
        <w:t xml:space="preserve"> a zajistit jim snadné a rychlé odškodnění</w:t>
      </w:r>
      <w:r w:rsidR="00E4780D">
        <w:rPr>
          <w:rFonts w:eastAsia="MS Mincho"/>
          <w:bCs/>
          <w:iCs/>
        </w:rPr>
        <w:t>.</w:t>
      </w:r>
    </w:p>
    <w:p w14:paraId="685D7E7A" w14:textId="310D32AC" w:rsidR="009F3FA7" w:rsidRPr="00EC753D" w:rsidRDefault="00592CF6" w:rsidP="00592CF6">
      <w:pPr>
        <w:pStyle w:val="Nadpis3"/>
      </w:pPr>
      <w:r>
        <w:t>Zhodnocení souladu navrhované právní úpravy se zákonem, k jehož provedení je navržena, včetně souladu se zákonným zmocněním k jejímu vydání</w:t>
      </w:r>
    </w:p>
    <w:p w14:paraId="13EBA889" w14:textId="4D208377" w:rsidR="006D71C2" w:rsidRDefault="006D71C2" w:rsidP="003B2F4C">
      <w:r>
        <w:t xml:space="preserve">Návrh vyhlášky je plně v souladu se zákonem o elektronických </w:t>
      </w:r>
      <w:r w:rsidR="008B757F">
        <w:t xml:space="preserve">komunikacích ve znění novely, </w:t>
      </w:r>
      <w:r>
        <w:t xml:space="preserve">k jehož provedení má být vydán. Návrh upravuje výši paušální náhrady pro jednotlivé případy přenosu či změny poskytovatele tak, jak jsou vymezeny </w:t>
      </w:r>
      <w:r>
        <w:rPr>
          <w:rFonts w:eastAsia="MS Mincho"/>
        </w:rPr>
        <w:t>§ 34 odst. 11 a § 34a odst. 11 zákona o elektronických komunikacích ve znění novely. V souladu s těmito ustanoveními je paušální náhrada stanovena v denních sazbách v rozmezí 100 až 1 000 Kč za den. Způsob uveřejnění informací je rovněž vyhláškou určen. Návrh plně respektuje terminologii používanou zákonem o elektronických komunikacích.</w:t>
      </w:r>
    </w:p>
    <w:p w14:paraId="3D0CD0DC" w14:textId="18347742" w:rsidR="00592CF6" w:rsidRDefault="00592CF6" w:rsidP="00592CF6">
      <w:pPr>
        <w:pStyle w:val="Nadpis3"/>
      </w:pPr>
      <w:r>
        <w:t>Zhodnocení souladu navrhované právní úpravy s předpisy Evropské unie, judikaturou soudních orgánů Evropské unie a obecnými právní</w:t>
      </w:r>
      <w:r w:rsidR="00E4780D">
        <w:t>mi zásadami práva Evropské unie</w:t>
      </w:r>
    </w:p>
    <w:p w14:paraId="631B153D" w14:textId="6B499CB2" w:rsidR="006C4543" w:rsidRDefault="004E7CA7" w:rsidP="00742061">
      <w:pPr>
        <w:rPr>
          <w:rFonts w:eastAsia="MS Mincho"/>
          <w:bCs/>
        </w:rPr>
      </w:pPr>
      <w:r>
        <w:rPr>
          <w:rFonts w:eastAsia="MS Mincho"/>
          <w:bCs/>
        </w:rPr>
        <w:lastRenderedPageBreak/>
        <w:t xml:space="preserve">Vyhláška má být vydána v návaznosti na požadavky evropského práva, konkrétně na </w:t>
      </w:r>
      <w:r w:rsidR="006D71C2">
        <w:rPr>
          <w:rFonts w:eastAsia="MS Mincho"/>
          <w:bCs/>
        </w:rPr>
        <w:t>Kodex pro elektronické komunikace</w:t>
      </w:r>
      <w:r>
        <w:rPr>
          <w:rFonts w:eastAsia="MS Mincho"/>
          <w:bCs/>
        </w:rPr>
        <w:t>.</w:t>
      </w:r>
      <w:r w:rsidR="006D71C2">
        <w:rPr>
          <w:rFonts w:eastAsia="MS Mincho"/>
          <w:bCs/>
        </w:rPr>
        <w:t xml:space="preserve"> </w:t>
      </w:r>
      <w:r w:rsidR="006C4543">
        <w:rPr>
          <w:rFonts w:eastAsia="MS Mincho"/>
          <w:bCs/>
        </w:rPr>
        <w:t>Požadavky Kodexu pro elektronické komunikace byly transponovány zákonem č. 374/2021 Sb. zejména do zákona o elektronických komunikacích. Předložená vyhláška přímo nezapracovává žádné požadavky plynoucí z tohoto ani z jiného evropského předpisu, konkretizuje však povinnosti uložené transpoziční úpravou, resp. Kodexem pro elektronické komunikace.</w:t>
      </w:r>
    </w:p>
    <w:p w14:paraId="0153751A" w14:textId="7E216B37" w:rsidR="00592CF6" w:rsidRDefault="006D71C2" w:rsidP="00742061">
      <w:pPr>
        <w:rPr>
          <w:rFonts w:eastAsia="MS Mincho"/>
          <w:bCs/>
        </w:rPr>
      </w:pPr>
      <w:r>
        <w:rPr>
          <w:rFonts w:eastAsia="MS Mincho"/>
          <w:bCs/>
        </w:rPr>
        <w:t xml:space="preserve">Podle článku 106 odst. 7 až 9 Kodexu pro elektronické komunikace mají členské státy stanovit: (i) pravidla pro sankce pro případ nedodržení povinností poskytovatelů stanovených tímto článkem, včetně zpoždění nebo zneužití </w:t>
      </w:r>
      <w:r w:rsidR="00742061">
        <w:rPr>
          <w:rFonts w:eastAsia="MS Mincho"/>
          <w:bCs/>
        </w:rPr>
        <w:t>přenesení</w:t>
      </w:r>
      <w:r>
        <w:rPr>
          <w:rFonts w:eastAsia="MS Mincho"/>
          <w:bCs/>
        </w:rPr>
        <w:t xml:space="preserve"> čísla ze strany poskytovatelů či jejich jménem</w:t>
      </w:r>
      <w:r w:rsidR="00742061">
        <w:rPr>
          <w:rFonts w:eastAsia="MS Mincho"/>
          <w:bCs/>
        </w:rPr>
        <w:t>, a (</w:t>
      </w:r>
      <w:proofErr w:type="spellStart"/>
      <w:r w:rsidR="00742061">
        <w:rPr>
          <w:rFonts w:eastAsia="MS Mincho"/>
          <w:bCs/>
        </w:rPr>
        <w:t>ii</w:t>
      </w:r>
      <w:proofErr w:type="spellEnd"/>
      <w:r w:rsidR="00742061">
        <w:rPr>
          <w:rFonts w:eastAsia="MS Mincho"/>
          <w:bCs/>
        </w:rPr>
        <w:t>) pravidla pro snadné a včasné odškodnění koncových uživatelů</w:t>
      </w:r>
      <w:r w:rsidR="00742061" w:rsidRPr="00742061">
        <w:rPr>
          <w:rFonts w:eastAsia="MS Mincho"/>
          <w:bCs/>
        </w:rPr>
        <w:t xml:space="preserve"> pro</w:t>
      </w:r>
      <w:r w:rsidR="00742061">
        <w:rPr>
          <w:rFonts w:eastAsia="MS Mincho"/>
          <w:bCs/>
        </w:rPr>
        <w:t xml:space="preserve"> </w:t>
      </w:r>
      <w:r w:rsidR="00742061" w:rsidRPr="00742061">
        <w:rPr>
          <w:rFonts w:eastAsia="MS Mincho"/>
          <w:bCs/>
        </w:rPr>
        <w:t>případ nedodržení povinností poskytovatelů stanovených tímto článkem, jakož i pro případy zpoždění nebo zneužití</w:t>
      </w:r>
      <w:r w:rsidR="00742061">
        <w:rPr>
          <w:rFonts w:eastAsia="MS Mincho"/>
          <w:bCs/>
        </w:rPr>
        <w:t xml:space="preserve"> </w:t>
      </w:r>
      <w:r w:rsidR="00742061" w:rsidRPr="00742061">
        <w:rPr>
          <w:rFonts w:eastAsia="MS Mincho"/>
          <w:bCs/>
        </w:rPr>
        <w:t>postupů přenesení čísla a změny poskytovatele a nedodržení dohodnutých termínů opravy a instalace</w:t>
      </w:r>
      <w:r w:rsidR="00742061">
        <w:rPr>
          <w:rFonts w:eastAsia="MS Mincho"/>
          <w:bCs/>
        </w:rPr>
        <w:t>. Dále mají členské státy zajistit, (</w:t>
      </w:r>
      <w:proofErr w:type="spellStart"/>
      <w:r w:rsidR="00742061">
        <w:rPr>
          <w:rFonts w:eastAsia="MS Mincho"/>
          <w:bCs/>
        </w:rPr>
        <w:t>iii</w:t>
      </w:r>
      <w:proofErr w:type="spellEnd"/>
      <w:r w:rsidR="00742061">
        <w:rPr>
          <w:rFonts w:eastAsia="MS Mincho"/>
          <w:bCs/>
        </w:rPr>
        <w:t>)</w:t>
      </w:r>
      <w:r w:rsidR="00742061" w:rsidRPr="00742061">
        <w:rPr>
          <w:rFonts w:eastAsia="MS Mincho"/>
          <w:bCs/>
        </w:rPr>
        <w:t>, aby byli koncoví uživatelé odpovídajícím</w:t>
      </w:r>
      <w:r w:rsidR="00742061">
        <w:rPr>
          <w:rFonts w:eastAsia="MS Mincho"/>
          <w:bCs/>
        </w:rPr>
        <w:t xml:space="preserve"> </w:t>
      </w:r>
      <w:r w:rsidR="00742061" w:rsidRPr="00742061">
        <w:rPr>
          <w:rFonts w:eastAsia="MS Mincho"/>
          <w:bCs/>
        </w:rPr>
        <w:t xml:space="preserve">způsobem informování o právu na </w:t>
      </w:r>
      <w:r w:rsidR="00742061">
        <w:rPr>
          <w:rFonts w:eastAsia="MS Mincho"/>
          <w:bCs/>
        </w:rPr>
        <w:t xml:space="preserve">toto </w:t>
      </w:r>
      <w:r w:rsidR="00742061" w:rsidRPr="00742061">
        <w:rPr>
          <w:rFonts w:eastAsia="MS Mincho"/>
          <w:bCs/>
        </w:rPr>
        <w:t>odškodnění</w:t>
      </w:r>
      <w:r w:rsidR="00742061">
        <w:rPr>
          <w:rFonts w:eastAsia="MS Mincho"/>
          <w:bCs/>
        </w:rPr>
        <w:t>. Tato ustanovení jsou na národní úrovni promítnuta v § 34 odst. 11 a § 34a odst. 11 zákona o elektronických</w:t>
      </w:r>
      <w:r w:rsidR="008B757F">
        <w:rPr>
          <w:rFonts w:eastAsia="MS Mincho"/>
          <w:bCs/>
        </w:rPr>
        <w:t xml:space="preserve"> komunikacích</w:t>
      </w:r>
      <w:r w:rsidR="00742061">
        <w:rPr>
          <w:rFonts w:eastAsia="MS Mincho"/>
          <w:bCs/>
        </w:rPr>
        <w:t xml:space="preserve"> ve znění novely.</w:t>
      </w:r>
    </w:p>
    <w:p w14:paraId="0D6D69BC" w14:textId="6A95ED69" w:rsidR="00742061" w:rsidRPr="00592CF6" w:rsidRDefault="00742061" w:rsidP="00742061">
      <w:r>
        <w:t>Návrh vyhlášky není v rozporu s judikaturou soudních orgánů Evropské unie a je v souladu s obecnými zásadami práva Evropské unie.</w:t>
      </w:r>
    </w:p>
    <w:p w14:paraId="342CC87A" w14:textId="5EF28022" w:rsidR="0091720C" w:rsidRPr="00EC753D" w:rsidRDefault="00592CF6" w:rsidP="00592CF6">
      <w:pPr>
        <w:pStyle w:val="Nadpis3"/>
      </w:pPr>
      <w:r>
        <w:t>Předpokládaný hospodářský a finanční dopad navrhované právní úpravy na státní rozpočet, ostatní veřejné rozpočty, na podnikatelské prostředí České republiky, dále sociální dopady, včetně dopadů na rodiny a dopadů na specifické skupiny obyvatel, zejména osoby sociálně slabé, osoby se zdravotním postižením a národnostní menšiny, a dopady na životní prostředí</w:t>
      </w:r>
    </w:p>
    <w:p w14:paraId="68E34431" w14:textId="502932A2" w:rsidR="00FE1596" w:rsidRDefault="006B5E30" w:rsidP="003B2F4C">
      <w:pPr>
        <w:rPr>
          <w:rFonts w:eastAsia="MS Mincho"/>
          <w:bCs/>
          <w:iCs/>
        </w:rPr>
      </w:pPr>
      <w:bookmarkStart w:id="0" w:name="_Hlk38096906"/>
      <w:r>
        <w:rPr>
          <w:rFonts w:eastAsia="MS Mincho"/>
          <w:bCs/>
          <w:iCs/>
        </w:rPr>
        <w:t xml:space="preserve">Přijetí vyhlášky nemá hospodářský ani finanční dopad na státní rozpočet ani na ostatní veřejné rozpočty. </w:t>
      </w:r>
      <w:r w:rsidR="00FE1596">
        <w:rPr>
          <w:rFonts w:eastAsia="MS Mincho"/>
          <w:bCs/>
          <w:iCs/>
        </w:rPr>
        <w:t>Dopad návrhu na veřejné rozpočty může být potenciálně pozitivní v případech, kdy jsou služby poskytovány státu nebo jiným veřejnoprávním subjektům, avšak tento dopad je odvislý od skutečnosti, zda skutečně dojde k porušení povinnosti ze strany podnikatelů, přičemž i tak by se z hlediska celkového př</w:t>
      </w:r>
      <w:r w:rsidR="003E72CC">
        <w:rPr>
          <w:rFonts w:eastAsia="MS Mincho"/>
          <w:bCs/>
          <w:iCs/>
        </w:rPr>
        <w:t>í</w:t>
      </w:r>
      <w:r w:rsidR="00FE1596">
        <w:rPr>
          <w:rFonts w:eastAsia="MS Mincho"/>
          <w:bCs/>
          <w:iCs/>
        </w:rPr>
        <w:t xml:space="preserve">jmu veřejných rozpočtů jednalo o zcela zanedbatelnou částku. </w:t>
      </w:r>
    </w:p>
    <w:p w14:paraId="3371DB6C" w14:textId="5323B069" w:rsidR="00DB5571" w:rsidRDefault="004E7CA7" w:rsidP="003B2F4C">
      <w:pPr>
        <w:rPr>
          <w:rFonts w:eastAsia="MS Mincho"/>
          <w:bCs/>
          <w:iCs/>
        </w:rPr>
      </w:pPr>
      <w:r>
        <w:rPr>
          <w:rFonts w:eastAsia="MS Mincho"/>
          <w:bCs/>
          <w:iCs/>
        </w:rPr>
        <w:t xml:space="preserve">Navrhovaná úprava je přijímána s cílem posílit práva </w:t>
      </w:r>
      <w:r w:rsidR="008B757F">
        <w:rPr>
          <w:rFonts w:eastAsia="MS Mincho"/>
          <w:bCs/>
          <w:iCs/>
        </w:rPr>
        <w:t>účastníků</w:t>
      </w:r>
      <w:r>
        <w:rPr>
          <w:rFonts w:eastAsia="MS Mincho"/>
          <w:bCs/>
          <w:iCs/>
        </w:rPr>
        <w:t xml:space="preserve"> v souvislosti s přenosem čísla nebo změnou poskytovatele služby přístupu k internetu. Navrhovaná úprava zřejmě vyústí v četnější uplatňování práv </w:t>
      </w:r>
      <w:r w:rsidR="006B5E30">
        <w:rPr>
          <w:rFonts w:eastAsia="MS Mincho"/>
          <w:bCs/>
          <w:iCs/>
        </w:rPr>
        <w:t>účastníků</w:t>
      </w:r>
      <w:r>
        <w:rPr>
          <w:rFonts w:eastAsia="MS Mincho"/>
          <w:bCs/>
          <w:iCs/>
        </w:rPr>
        <w:t xml:space="preserve">, což pro podnikatele představuje </w:t>
      </w:r>
      <w:r w:rsidR="008B757F">
        <w:rPr>
          <w:rFonts w:eastAsia="MS Mincho"/>
          <w:bCs/>
          <w:iCs/>
        </w:rPr>
        <w:t xml:space="preserve">jisté </w:t>
      </w:r>
      <w:r>
        <w:rPr>
          <w:rFonts w:eastAsia="MS Mincho"/>
          <w:bCs/>
          <w:iCs/>
        </w:rPr>
        <w:t xml:space="preserve">náklady. Vzhledem k tomu, že navrhovaný postup má usnadnit a zrychlit kompenzaci </w:t>
      </w:r>
      <w:r w:rsidR="006B5E30">
        <w:rPr>
          <w:rFonts w:eastAsia="MS Mincho"/>
          <w:bCs/>
          <w:iCs/>
        </w:rPr>
        <w:t>účastníků</w:t>
      </w:r>
      <w:r>
        <w:rPr>
          <w:rFonts w:eastAsia="MS Mincho"/>
          <w:bCs/>
          <w:iCs/>
        </w:rPr>
        <w:t>, lze v navrhované úpravě spatřovat i pozitivum pro podnikatele. Podnikatelé také budou muset požadovaným způsobem uveřejnit informace o právu na paušální náhradu</w:t>
      </w:r>
      <w:r w:rsidR="008B757F">
        <w:rPr>
          <w:rFonts w:eastAsia="MS Mincho"/>
          <w:bCs/>
          <w:iCs/>
        </w:rPr>
        <w:t>, což by však nemělo představovat výrazný náklad, neboť již v současné době musí plnit řadu informačních povinností</w:t>
      </w:r>
      <w:r>
        <w:rPr>
          <w:rFonts w:eastAsia="MS Mincho"/>
          <w:bCs/>
          <w:iCs/>
        </w:rPr>
        <w:t>.</w:t>
      </w:r>
      <w:r w:rsidR="00FE1596">
        <w:rPr>
          <w:rFonts w:eastAsia="MS Mincho"/>
          <w:bCs/>
          <w:iCs/>
        </w:rPr>
        <w:t xml:space="preserve"> </w:t>
      </w:r>
      <w:r w:rsidR="00303091">
        <w:rPr>
          <w:rFonts w:eastAsia="MS Mincho"/>
          <w:bCs/>
          <w:iCs/>
        </w:rPr>
        <w:t xml:space="preserve">Dle návrhu má být tato povinnost splněna prostřednictvím webových stránek podnikatelů, a to vždy, pokud podnikatel informuje o </w:t>
      </w:r>
      <w:r w:rsidR="00303091" w:rsidRPr="00580AF5">
        <w:rPr>
          <w:rFonts w:eastAsiaTheme="minorHAnsi" w:cstheme="minorBidi"/>
        </w:rPr>
        <w:t xml:space="preserve">postupu při </w:t>
      </w:r>
      <w:r w:rsidR="00303091">
        <w:rPr>
          <w:rFonts w:eastAsiaTheme="minorHAnsi" w:cstheme="minorBidi"/>
        </w:rPr>
        <w:t>přenesení</w:t>
      </w:r>
      <w:r w:rsidR="00303091" w:rsidRPr="00580AF5">
        <w:rPr>
          <w:rFonts w:eastAsiaTheme="minorHAnsi" w:cstheme="minorBidi"/>
        </w:rPr>
        <w:t xml:space="preserve"> čísla nebo změně poskytovatele služby přístupu k</w:t>
      </w:r>
      <w:r w:rsidR="00303091">
        <w:rPr>
          <w:rFonts w:eastAsiaTheme="minorHAnsi" w:cstheme="minorBidi"/>
        </w:rPr>
        <w:t> </w:t>
      </w:r>
      <w:r w:rsidR="00303091" w:rsidRPr="00580AF5">
        <w:rPr>
          <w:rFonts w:eastAsiaTheme="minorHAnsi" w:cstheme="minorBidi"/>
        </w:rPr>
        <w:t>internetu</w:t>
      </w:r>
      <w:r w:rsidR="00303091">
        <w:rPr>
          <w:rFonts w:eastAsiaTheme="minorHAnsi" w:cstheme="minorBidi"/>
        </w:rPr>
        <w:t>.</w:t>
      </w:r>
      <w:r w:rsidR="00303091">
        <w:rPr>
          <w:rFonts w:eastAsia="MS Mincho"/>
          <w:bCs/>
          <w:iCs/>
        </w:rPr>
        <w:t xml:space="preserve"> </w:t>
      </w:r>
      <w:r w:rsidR="00FE1596">
        <w:rPr>
          <w:rFonts w:eastAsia="MS Mincho"/>
          <w:bCs/>
          <w:iCs/>
        </w:rPr>
        <w:t>Jde tedy o jednorázový náklad související s doplněním webových stránek a informačních dokumentů.</w:t>
      </w:r>
    </w:p>
    <w:p w14:paraId="2CD1C7CE" w14:textId="3B62C5B3" w:rsidR="00DB7EA6" w:rsidRPr="00EC753D" w:rsidRDefault="004E7CA7" w:rsidP="003B2F4C">
      <w:r>
        <w:rPr>
          <w:rFonts w:eastAsia="MS Mincho"/>
          <w:bCs/>
          <w:iCs/>
        </w:rPr>
        <w:t xml:space="preserve">Navrhovaná právní úprava je přijímána s cílem posílit práva </w:t>
      </w:r>
      <w:r w:rsidR="006B5E30">
        <w:rPr>
          <w:rFonts w:eastAsia="MS Mincho"/>
          <w:bCs/>
          <w:iCs/>
        </w:rPr>
        <w:t>účastníků</w:t>
      </w:r>
      <w:r>
        <w:rPr>
          <w:rFonts w:eastAsia="MS Mincho"/>
          <w:bCs/>
          <w:iCs/>
        </w:rPr>
        <w:t xml:space="preserve">, tedy i spotřebitelů, v souvislosti s přenosem čísla nebo změnou poskytovatele služby přístupu k internetu. Stanovení paušální náhrady za vyjmenovaná pochybení usnadní a zrychlí kompenzaci spotřebitelů, kteří byli postupem negativně dotčeni. </w:t>
      </w:r>
      <w:r w:rsidRPr="00CE08BA">
        <w:rPr>
          <w:rFonts w:eastAsia="MS Mincho"/>
          <w:bCs/>
          <w:iCs/>
        </w:rPr>
        <w:t>Právo na náhradu</w:t>
      </w:r>
      <w:r>
        <w:rPr>
          <w:rFonts w:eastAsia="MS Mincho"/>
          <w:bCs/>
          <w:iCs/>
        </w:rPr>
        <w:t xml:space="preserve"> </w:t>
      </w:r>
      <w:r w:rsidRPr="00CE08BA">
        <w:rPr>
          <w:rFonts w:eastAsia="MS Mincho"/>
          <w:bCs/>
          <w:iCs/>
        </w:rPr>
        <w:t>škody podle občanského zákoníku v rozsahu převyšujícím pa</w:t>
      </w:r>
      <w:r>
        <w:rPr>
          <w:rFonts w:eastAsia="MS Mincho"/>
          <w:bCs/>
          <w:iCs/>
        </w:rPr>
        <w:t xml:space="preserve">ušální náhradu tím není dotčeno. Dopady na spotřebitele </w:t>
      </w:r>
      <w:r>
        <w:rPr>
          <w:rFonts w:eastAsia="MS Mincho"/>
          <w:bCs/>
          <w:iCs/>
        </w:rPr>
        <w:lastRenderedPageBreak/>
        <w:t>tedy budou pozitivní.</w:t>
      </w:r>
      <w:r w:rsidR="008B757F">
        <w:t xml:space="preserve"> Specificky na </w:t>
      </w:r>
      <w:r w:rsidR="0091720C" w:rsidRPr="00EC753D">
        <w:t xml:space="preserve">sociálně slabé </w:t>
      </w:r>
      <w:r w:rsidR="00DB7EA6" w:rsidRPr="00EC753D">
        <w:t>osoby</w:t>
      </w:r>
      <w:r w:rsidR="006B5E30">
        <w:t>, osoby se zdravotním postižením</w:t>
      </w:r>
      <w:r w:rsidR="00DB7EA6" w:rsidRPr="00EC753D">
        <w:t xml:space="preserve"> </w:t>
      </w:r>
      <w:r w:rsidR="0091720C" w:rsidRPr="00EC753D">
        <w:t>ani na</w:t>
      </w:r>
      <w:r w:rsidR="00F9526F" w:rsidRPr="00EC753D">
        <w:t> </w:t>
      </w:r>
      <w:r w:rsidR="0091720C" w:rsidRPr="00EC753D">
        <w:t>národnostní menšiny</w:t>
      </w:r>
      <w:r w:rsidR="008B757F">
        <w:t xml:space="preserve"> návrh dopad nemá</w:t>
      </w:r>
      <w:r w:rsidR="0091720C" w:rsidRPr="00EC753D">
        <w:t>.</w:t>
      </w:r>
      <w:r w:rsidR="00F9526F" w:rsidRPr="00EC753D">
        <w:t xml:space="preserve"> </w:t>
      </w:r>
    </w:p>
    <w:p w14:paraId="22F38078" w14:textId="20B8AB31" w:rsidR="0091720C" w:rsidRPr="00EC753D" w:rsidRDefault="004E7CA7" w:rsidP="003B2F4C">
      <w:r>
        <w:t>Návrh nemá dopad</w:t>
      </w:r>
      <w:r w:rsidR="000845CE" w:rsidRPr="00EC753D">
        <w:t xml:space="preserve"> na životní prostředí.</w:t>
      </w:r>
    </w:p>
    <w:p w14:paraId="3B34A7D2" w14:textId="72AD528D" w:rsidR="0091720C" w:rsidRPr="00EC753D" w:rsidRDefault="00592CF6" w:rsidP="00592CF6">
      <w:pPr>
        <w:pStyle w:val="Nadpis3"/>
        <w:rPr>
          <w:lang w:eastAsia="en-US"/>
        </w:rPr>
      </w:pPr>
      <w:bookmarkStart w:id="1" w:name="_Hlk38093908"/>
      <w:bookmarkStart w:id="2" w:name="_Hlk38094038"/>
      <w:bookmarkEnd w:id="0"/>
      <w:r>
        <w:t>Zhodnocení současného stavu a dopadů navrhovaného řešení ve vztahu k zákazu diskriminace a ve vztahu k rovnosti mužů a žen</w:t>
      </w:r>
    </w:p>
    <w:p w14:paraId="6E170511" w14:textId="77777777" w:rsidR="00D859B8" w:rsidRPr="00EC753D" w:rsidRDefault="00D859B8" w:rsidP="003B2F4C">
      <w:bookmarkStart w:id="3" w:name="_Hlk38097426"/>
      <w:r w:rsidRPr="00EC753D">
        <w:t>Navržená právní úprava neupravuje vztahy, které by se dotýkaly zákazu diskriminace ve smyslu antidiskriminačního zákona (tj. nerovného zacházení či znevýhodnění některé osoby z důvodu rasy, etnického původu, národnosti, pohlaví, sexuální orientace, věku, zdravotního postižení, náboženského vyznání, víry či světového názoru). Lze proto konstatovat, že právní úprava obsažená v návrhu vyhlášky nemá žádné dopady ve vztahu k zákazu diskriminace.</w:t>
      </w:r>
    </w:p>
    <w:p w14:paraId="042A5EF5" w14:textId="28DA3710" w:rsidR="00D859B8" w:rsidRPr="00EC753D" w:rsidRDefault="00756B63" w:rsidP="003B2F4C">
      <w:r w:rsidRPr="00EC753D">
        <w:t xml:space="preserve">Navržená právní úprava nemá bezprostřední, ani sekundární dopady na rovnost mužů a žen a nevede k diskriminaci jednoho z pohlaví, neboť nijak nerozlišuje, ani nezvýhodňuje </w:t>
      </w:r>
      <w:r w:rsidR="00970D76">
        <w:t xml:space="preserve">– přímo ani nepřímo – </w:t>
      </w:r>
      <w:r w:rsidRPr="00EC753D">
        <w:t xml:space="preserve">jedno z pohlaví a nestanoví pro ně odlišné podmínky. </w:t>
      </w:r>
    </w:p>
    <w:bookmarkEnd w:id="3"/>
    <w:p w14:paraId="7E2E2ABC" w14:textId="77777777" w:rsidR="0091720C" w:rsidRPr="00EC753D" w:rsidRDefault="0091720C" w:rsidP="00592CF6">
      <w:pPr>
        <w:pStyle w:val="Nadpis3"/>
      </w:pPr>
      <w:r w:rsidRPr="00EC753D">
        <w:t>Zhodnocení dopadů navrhovaného řešení ve vztahu k ochraně soukromí a osobních údajů</w:t>
      </w:r>
    </w:p>
    <w:p w14:paraId="5B422978" w14:textId="5C53B807" w:rsidR="00884A58" w:rsidRPr="00EC753D" w:rsidRDefault="00884A58" w:rsidP="003B2F4C">
      <w:pPr>
        <w:rPr>
          <w:lang w:eastAsia="en-US"/>
        </w:rPr>
      </w:pPr>
      <w:bookmarkStart w:id="4" w:name="_Hlk38097586"/>
      <w:r w:rsidRPr="00EC753D">
        <w:rPr>
          <w:lang w:eastAsia="en-US"/>
        </w:rPr>
        <w:t>Předložený návrh se specificky nedotýká ochrany soukromí a osobních údajů a v této oblasti stávající úpravu nikterak nemění. Dopady na problematiku ochrany soukromí a osobních údajů se tudíž nepředpokládají. Navrhovaná právní úprava je v</w:t>
      </w:r>
      <w:r w:rsidR="006B5E30">
        <w:rPr>
          <w:lang w:eastAsia="en-US"/>
        </w:rPr>
        <w:t> </w:t>
      </w:r>
      <w:r w:rsidRPr="00EC753D">
        <w:rPr>
          <w:lang w:eastAsia="en-US"/>
        </w:rPr>
        <w:t>souladu</w:t>
      </w:r>
      <w:r w:rsidR="006B5E30">
        <w:rPr>
          <w:lang w:eastAsia="en-US"/>
        </w:rPr>
        <w:t xml:space="preserve"> s </w:t>
      </w:r>
      <w:r w:rsidR="006B5E30">
        <w:rPr>
          <w:rFonts w:cs="Arial"/>
        </w:rPr>
        <w:t>nařízením Evropského parlamentu a Rady</w:t>
      </w:r>
      <w:r w:rsidR="006B5E30" w:rsidRPr="00DB6AD9">
        <w:rPr>
          <w:rFonts w:cs="Arial"/>
        </w:rPr>
        <w:t xml:space="preserve"> (EU) 2016/679</w:t>
      </w:r>
      <w:r w:rsidR="006B5E30">
        <w:rPr>
          <w:rFonts w:cs="Arial"/>
        </w:rPr>
        <w:t xml:space="preserve"> </w:t>
      </w:r>
      <w:r w:rsidR="006B5E30" w:rsidRPr="00DB6AD9">
        <w:rPr>
          <w:rFonts w:cs="Arial"/>
        </w:rPr>
        <w:t>ze dne 27. dubna 2016</w:t>
      </w:r>
      <w:r w:rsidR="006B5E30">
        <w:rPr>
          <w:rFonts w:cs="Arial"/>
        </w:rPr>
        <w:t xml:space="preserve"> </w:t>
      </w:r>
      <w:r w:rsidR="006B5E30" w:rsidRPr="00DB6AD9">
        <w:rPr>
          <w:rFonts w:cs="Arial"/>
        </w:rPr>
        <w:t>o ochraně fyzických osob v souvislosti se zpracováním osobních údajů a o volném pohybu těchto údajů a o zrušení směrnice 95/46/ES (obecné nařízení o ochraně osobních údajů)</w:t>
      </w:r>
      <w:r w:rsidR="006B5E30">
        <w:rPr>
          <w:rFonts w:cs="Arial"/>
        </w:rPr>
        <w:t xml:space="preserve"> a</w:t>
      </w:r>
      <w:r w:rsidRPr="00EC753D">
        <w:rPr>
          <w:lang w:eastAsia="en-US"/>
        </w:rPr>
        <w:t xml:space="preserve"> se zákonem č. 110/2019 Sb., o zpracování osobních údajů.</w:t>
      </w:r>
    </w:p>
    <w:bookmarkEnd w:id="4"/>
    <w:p w14:paraId="5E7C00B6" w14:textId="77777777" w:rsidR="0091720C" w:rsidRPr="00EC753D" w:rsidRDefault="0091720C" w:rsidP="00592CF6">
      <w:pPr>
        <w:pStyle w:val="Nadpis3"/>
        <w:rPr>
          <w:iCs/>
          <w:lang w:eastAsia="en-US"/>
        </w:rPr>
      </w:pPr>
      <w:r w:rsidRPr="00EC753D">
        <w:rPr>
          <w:iCs/>
          <w:lang w:eastAsia="en-US"/>
        </w:rPr>
        <w:t>Z</w:t>
      </w:r>
      <w:r w:rsidRPr="00EC753D">
        <w:rPr>
          <w:lang w:eastAsia="en-US"/>
        </w:rPr>
        <w:t>hodnocení korupčních rizik (CIA)</w:t>
      </w:r>
    </w:p>
    <w:p w14:paraId="563423DA" w14:textId="30FBFAC2" w:rsidR="0091720C" w:rsidRPr="00EC753D" w:rsidRDefault="0091720C" w:rsidP="003B2F4C">
      <w:r w:rsidRPr="00EC753D">
        <w:t>S navrhovanou úpravou nejsou spojena žádná korupční rizika.</w:t>
      </w:r>
      <w:r w:rsidR="0085091C">
        <w:t xml:space="preserve"> Návrh vyhlášky upravuje soukromoprávní nároky osob a netýká se kompetencí orgánů veřejné moci.</w:t>
      </w:r>
    </w:p>
    <w:p w14:paraId="0772078E" w14:textId="77777777" w:rsidR="0091720C" w:rsidRPr="00EC753D" w:rsidRDefault="0091720C" w:rsidP="00592CF6">
      <w:pPr>
        <w:pStyle w:val="Nadpis3"/>
      </w:pPr>
      <w:r w:rsidRPr="00EC753D">
        <w:t>Zhodnocení dopadů na bezpečnost nebo obranu státu</w:t>
      </w:r>
    </w:p>
    <w:p w14:paraId="3C988DEE" w14:textId="77777777" w:rsidR="0091720C" w:rsidRPr="00EC753D" w:rsidRDefault="0091720C" w:rsidP="003B2F4C">
      <w:r w:rsidRPr="00EC753D">
        <w:t>S navrhovanou úpravou nejsou spojeny žádné dopady na bezpečnost nebo obranu státu.</w:t>
      </w:r>
    </w:p>
    <w:bookmarkEnd w:id="1"/>
    <w:p w14:paraId="59D542FE" w14:textId="77777777" w:rsidR="0091720C" w:rsidRPr="003B2F4C" w:rsidRDefault="0091720C" w:rsidP="00592CF6">
      <w:pPr>
        <w:pStyle w:val="Nadpis3"/>
      </w:pPr>
      <w:r w:rsidRPr="003B2F4C">
        <w:t>Závěrečná zpráva z hodnocení dopadů regulace (RIA)</w:t>
      </w:r>
    </w:p>
    <w:p w14:paraId="6577F019" w14:textId="3A8966F3" w:rsidR="00047DA1" w:rsidRPr="00EC753D" w:rsidRDefault="0091720C" w:rsidP="003B2F4C">
      <w:bookmarkStart w:id="5" w:name="_Hlk38092836"/>
      <w:r w:rsidRPr="00EC753D">
        <w:t xml:space="preserve">Na základě žádosti Ministerstva spravedlnosti </w:t>
      </w:r>
      <w:r w:rsidR="00047DA1" w:rsidRPr="00EC753D">
        <w:t>byla u</w:t>
      </w:r>
      <w:r w:rsidRPr="00EC753D">
        <w:t>dělena výjimka z povinnosti zpracovat závěrečnou zprávu z hodnocení dopadů regulace (RIA)</w:t>
      </w:r>
      <w:r w:rsidR="00047DA1" w:rsidRPr="00EC753D">
        <w:t>,</w:t>
      </w:r>
      <w:r w:rsidRPr="00EC753D">
        <w:t xml:space="preserve"> a to dopis</w:t>
      </w:r>
      <w:r w:rsidR="006E500E" w:rsidRPr="00EC753D">
        <w:t>em</w:t>
      </w:r>
      <w:r w:rsidRPr="00EC753D">
        <w:t xml:space="preserve"> Úřadu vlády ze dne</w:t>
      </w:r>
      <w:r w:rsidR="00771C23" w:rsidRPr="00EC753D">
        <w:t xml:space="preserve"> </w:t>
      </w:r>
      <w:r w:rsidR="003B2F4C">
        <w:t>24</w:t>
      </w:r>
      <w:r w:rsidR="00771C23" w:rsidRPr="00EC753D">
        <w:t>. </w:t>
      </w:r>
      <w:r w:rsidR="003B2F4C">
        <w:t>září</w:t>
      </w:r>
      <w:r w:rsidR="00771C23" w:rsidRPr="00EC753D">
        <w:t xml:space="preserve"> 202</w:t>
      </w:r>
      <w:r w:rsidR="003B2F4C">
        <w:t>1</w:t>
      </w:r>
      <w:r w:rsidR="00771C23" w:rsidRPr="00EC753D">
        <w:t>,</w:t>
      </w:r>
      <w:r w:rsidR="006E500E" w:rsidRPr="00EC753D">
        <w:t xml:space="preserve"> </w:t>
      </w:r>
      <w:r w:rsidRPr="00EC753D">
        <w:t>č.</w:t>
      </w:r>
      <w:r w:rsidR="006E500E" w:rsidRPr="00EC753D">
        <w:t> </w:t>
      </w:r>
      <w:r w:rsidRPr="00EC753D">
        <w:t>j.</w:t>
      </w:r>
      <w:r w:rsidR="006E500E" w:rsidRPr="00EC753D">
        <w:t> </w:t>
      </w:r>
      <w:r w:rsidR="003B2F4C" w:rsidRPr="003B2F4C">
        <w:t>35844/2021-UVCR</w:t>
      </w:r>
      <w:r w:rsidR="006E500E" w:rsidRPr="00EC753D">
        <w:t>.</w:t>
      </w:r>
    </w:p>
    <w:bookmarkEnd w:id="2"/>
    <w:bookmarkEnd w:id="5"/>
    <w:p w14:paraId="30FEE3A1" w14:textId="7CE7AAF2" w:rsidR="000934CC" w:rsidRDefault="000934CC">
      <w:pPr>
        <w:spacing w:before="0" w:after="160" w:line="259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22A3D06A" w14:textId="1102B8C3" w:rsidR="000D17A6" w:rsidRPr="003B2F4C" w:rsidRDefault="000D17A6" w:rsidP="003B2F4C">
      <w:pPr>
        <w:pStyle w:val="Nadpis1"/>
      </w:pPr>
      <w:r w:rsidRPr="003B2F4C">
        <w:lastRenderedPageBreak/>
        <w:t>B. ZVLÁŠTNÍ ČÁST</w:t>
      </w:r>
    </w:p>
    <w:p w14:paraId="4EDA7DB4" w14:textId="77777777" w:rsidR="005C792C" w:rsidRPr="00EC753D" w:rsidRDefault="005C792C" w:rsidP="003B2F4C"/>
    <w:p w14:paraId="017F40F6" w14:textId="0E5E6634" w:rsidR="000D17A6" w:rsidRPr="003B2F4C" w:rsidRDefault="000D17A6" w:rsidP="003B2F4C">
      <w:pPr>
        <w:pStyle w:val="Nadpis2"/>
      </w:pPr>
      <w:r w:rsidRPr="003B2F4C">
        <w:t>K </w:t>
      </w:r>
      <w:r w:rsidR="003B2F4C" w:rsidRPr="003B2F4C">
        <w:t>§ 1</w:t>
      </w:r>
      <w:r w:rsidRPr="003B2F4C">
        <w:t xml:space="preserve"> </w:t>
      </w:r>
    </w:p>
    <w:p w14:paraId="0A7F7256" w14:textId="77777777" w:rsidR="00230DD5" w:rsidRDefault="005E1B9A" w:rsidP="00230DD5">
      <w:r>
        <w:t>Ustanovení upravuje výši paušální náhrady při zpoždění s přenesením čísla nebo změnou poskytovatele služby přístupu k internetu</w:t>
      </w:r>
      <w:r w:rsidR="00634EDC" w:rsidRPr="00EC753D">
        <w:t>.</w:t>
      </w:r>
      <w:r>
        <w:t xml:space="preserve"> V souladu s § 34 odst. 11 a § 34a odst. 11 zákona o elektronických komunikacích je náhrada stanovena denní sazbou.</w:t>
      </w:r>
    </w:p>
    <w:p w14:paraId="7CC6BB65" w14:textId="4EE8850F" w:rsidR="00230DD5" w:rsidRDefault="00230DD5" w:rsidP="00230DD5">
      <w:r>
        <w:t>Základní sazbu poskytovanou při zpoždění s přenesením čísla nebo změnou poskytovatele služby přístupu k internetu se navrhuje stanovit ve výši 200 Kč za každý započatý den</w:t>
      </w:r>
      <w:r w:rsidR="003E72CC">
        <w:t xml:space="preserve"> prodlení</w:t>
      </w:r>
      <w:r>
        <w:t xml:space="preserve">. </w:t>
      </w:r>
      <w:r w:rsidRPr="006A6520">
        <w:t xml:space="preserve">Náhrada má za cíl především kompenzovat účastníkovi náklady či nepohodlí, které mu vznikly v důsledku porušení povinnosti poskytovatele služby. </w:t>
      </w:r>
      <w:r w:rsidR="008002C5">
        <w:t>V rozsahu, ve kterém není škoda vzniklá účastníkovi kryta paušální náhradou, může požadovat náhradu podle občanského zákoníku.</w:t>
      </w:r>
    </w:p>
    <w:p w14:paraId="31385C6A" w14:textId="77DC5DF4" w:rsidR="00230DD5" w:rsidRDefault="00230DD5" w:rsidP="00230DD5">
      <w:pPr>
        <w:spacing w:line="0" w:lineRule="atLeast"/>
      </w:pPr>
      <w:r>
        <w:t>Stanovením sazby</w:t>
      </w:r>
      <w:r w:rsidR="00F8698C">
        <w:t xml:space="preserve"> ve spodní části zákonem stanoveného rozmezí by mělo dojít i k odlišení těchto případů od případů zneužití přenosu či změny, jak jsou upraveny v § 2 návrhu. Současně je třeba vzít v potaz, že </w:t>
      </w:r>
      <w:r w:rsidR="0066437E">
        <w:t>společně</w:t>
      </w:r>
      <w:r w:rsidR="00F8698C">
        <w:t xml:space="preserve"> s náhradou podle tohoto ustanovení bude často účastníku vznikat i právo na náhradu podle § 3 návrhu.</w:t>
      </w:r>
    </w:p>
    <w:p w14:paraId="3A321267" w14:textId="3AE2FE08" w:rsidR="00AD6924" w:rsidRDefault="00AD6924" w:rsidP="00807379">
      <w:pPr>
        <w:spacing w:line="0" w:lineRule="atLeast"/>
      </w:pPr>
      <w:r>
        <w:t>Ve druhém odstavci se navrhuje upravit sankční zvýšení sazby v případě, že prodlení trvá již delší dobu</w:t>
      </w:r>
      <w:r w:rsidR="009B506C">
        <w:t>, a to na dvojnásobek základní sazby</w:t>
      </w:r>
      <w:r>
        <w:t>. Zvýšenou sazbu se navrhuje aplikovat od šestého dne, po který prodlení trvá.</w:t>
      </w:r>
      <w:r w:rsidR="00230DD5">
        <w:t xml:space="preserve"> </w:t>
      </w:r>
      <w:r w:rsidR="00230DD5" w:rsidRPr="006A6520">
        <w:t>Navýšení sazby po uplynutí určité doby trvání prodlení odráží další komplikace na straně účastníka a současně motivuje poskytovatele služby, aby případné pochybení odstranil ještě předtím, než dojde ke zvýšení sazby.</w:t>
      </w:r>
    </w:p>
    <w:p w14:paraId="4537A031" w14:textId="5B8149D8" w:rsidR="003965BD" w:rsidRDefault="001034B0" w:rsidP="003B2F4C">
      <w:r>
        <w:t>Dle prováděné právní úpravy náleží účastníku náhrada od podnikatele, v </w:t>
      </w:r>
      <w:proofErr w:type="gramStart"/>
      <w:r>
        <w:t>důsledku</w:t>
      </w:r>
      <w:proofErr w:type="gramEnd"/>
      <w:r>
        <w:t xml:space="preserve"> jehož jednání došlo ke zpoždění. </w:t>
      </w:r>
      <w:r w:rsidR="003965BD" w:rsidRPr="006A6520">
        <w:t xml:space="preserve">Lze očekávat, že na základě nové právní úpravy, která zvyšuje informovanost účastníka, by tento měl být zejména před zahájením procesu přenesení čísla i změny poskytovatele </w:t>
      </w:r>
      <w:r w:rsidR="003965BD">
        <w:t xml:space="preserve">služby přístupu k </w:t>
      </w:r>
      <w:r w:rsidR="003965BD" w:rsidRPr="006A6520">
        <w:t>internetu detailně informován o jeho průběhu, měl by tedy ve standardních případech být schopen určit, který z podnikatelů je odpovědný za vzniklé prodlení. Pakliže se podnikatel, vůči němuž bylo právo na náhradu uplatněno, domnívá, že pochybení nenastalo na jeho straně, bude to muset být objasněno</w:t>
      </w:r>
      <w:r>
        <w:t xml:space="preserve"> v případném následném sporu</w:t>
      </w:r>
      <w:r w:rsidR="003965BD" w:rsidRPr="006A6520">
        <w:t>.</w:t>
      </w:r>
    </w:p>
    <w:p w14:paraId="37861800" w14:textId="061583E0" w:rsidR="00A2540E" w:rsidRDefault="00CB1431" w:rsidP="003B2F4C">
      <w:r>
        <w:t>Ve třetím odstavci se navrhuje upravit pravidlo vztahující se k tzv. hromadným objednávkám, v </w:t>
      </w:r>
      <w:proofErr w:type="gramStart"/>
      <w:r>
        <w:t>rámci</w:t>
      </w:r>
      <w:proofErr w:type="gramEnd"/>
      <w:r>
        <w:t xml:space="preserve"> nichž dochází k přenosu více čísel. Obecně lze vycházet z předpokladu, že dojde-li k prodlení u více čísel, vzniká účastníkovi újma vyšší. Současně však nemusí vždy platit, že celková újma vznikající účastníkovi roste poměrně s počtem čísel, ohledně nichž došlo k prodlení. S ohledem </w:t>
      </w:r>
      <w:r w:rsidR="00807379">
        <w:t xml:space="preserve">zejména </w:t>
      </w:r>
      <w:r>
        <w:t xml:space="preserve">na možné nepřiměřené zatížení odpovědného poskytovatele se navrhuje </w:t>
      </w:r>
      <w:r w:rsidR="00807379">
        <w:t>uplatňovat</w:t>
      </w:r>
      <w:r>
        <w:t xml:space="preserve"> </w:t>
      </w:r>
      <w:r w:rsidR="00807379">
        <w:t>od určitého počtu čísel sníženou sazbu.</w:t>
      </w:r>
      <w:r>
        <w:t xml:space="preserve"> </w:t>
      </w:r>
      <w:r w:rsidR="00807379">
        <w:t>Sníženou sazbu se navrhuje aplikovat na 11. a následující čísla.</w:t>
      </w:r>
      <w:r w:rsidR="00A2540E">
        <w:t xml:space="preserve"> </w:t>
      </w:r>
      <w:r w:rsidR="001842B7">
        <w:t>Lze předpokládat, že tato hranice zahrne především služby poskytované spotřebitelům v rámci jedné domácnosti či širší rodiny. U vyššího počtu čísel se bude jednat spíše o</w:t>
      </w:r>
      <w:r w:rsidR="00FF01E7">
        <w:t xml:space="preserve"> účastníky-</w:t>
      </w:r>
      <w:r w:rsidR="001842B7">
        <w:t xml:space="preserve">podnikatele či právnické osoby, u nichž již kumulativní újma nemusí dosahovat takové intenzity, nadto jsou zde dány předpoklady snazšího přístupu k náhradě </w:t>
      </w:r>
      <w:r w:rsidR="000934CC">
        <w:t xml:space="preserve">újmy převyšující paušální náhradu </w:t>
      </w:r>
      <w:r w:rsidR="001842B7">
        <w:t xml:space="preserve">podle obecných předpisů. </w:t>
      </w:r>
      <w:r w:rsidR="00A2540E">
        <w:t xml:space="preserve">Dopad na celkovou výši náhrady </w:t>
      </w:r>
      <w:r w:rsidR="004A69EF">
        <w:t xml:space="preserve">demonstruje </w:t>
      </w:r>
      <w:r w:rsidR="00A2540E">
        <w:t xml:space="preserve">následující </w:t>
      </w:r>
      <w:r w:rsidR="004A69EF">
        <w:t>tabulka</w:t>
      </w:r>
      <w:r w:rsidR="00A2540E">
        <w:t>:</w:t>
      </w:r>
    </w:p>
    <w:p w14:paraId="32F68DE6" w14:textId="77777777" w:rsidR="00A2540E" w:rsidRDefault="00A2540E" w:rsidP="003B2F4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2"/>
        <w:gridCol w:w="1004"/>
        <w:gridCol w:w="1004"/>
        <w:gridCol w:w="1004"/>
        <w:gridCol w:w="1005"/>
        <w:gridCol w:w="1005"/>
        <w:gridCol w:w="1005"/>
        <w:gridCol w:w="1005"/>
        <w:gridCol w:w="1006"/>
      </w:tblGrid>
      <w:tr w:rsidR="00254165" w14:paraId="51B87C30" w14:textId="27FD50C3" w:rsidTr="004A69EF">
        <w:tc>
          <w:tcPr>
            <w:tcW w:w="1011" w:type="dxa"/>
          </w:tcPr>
          <w:p w14:paraId="48943C6B" w14:textId="77777777" w:rsidR="00254165" w:rsidRDefault="00254165" w:rsidP="000B34C4">
            <w:pPr>
              <w:spacing w:before="0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délka prodlení/</w:t>
            </w:r>
          </w:p>
          <w:p w14:paraId="34103EFA" w14:textId="6A408752" w:rsidR="00254165" w:rsidRPr="000B34C4" w:rsidRDefault="00254165" w:rsidP="000B34C4">
            <w:pPr>
              <w:spacing w:before="0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počet čísel</w:t>
            </w:r>
          </w:p>
        </w:tc>
        <w:tc>
          <w:tcPr>
            <w:tcW w:w="1006" w:type="dxa"/>
          </w:tcPr>
          <w:p w14:paraId="6E4CBA8F" w14:textId="77777777" w:rsidR="00254165" w:rsidRPr="000B34C4" w:rsidRDefault="00254165" w:rsidP="000B34C4">
            <w:pPr>
              <w:spacing w:before="0"/>
              <w:jc w:val="center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1 číslo</w:t>
            </w:r>
          </w:p>
        </w:tc>
        <w:tc>
          <w:tcPr>
            <w:tcW w:w="1006" w:type="dxa"/>
          </w:tcPr>
          <w:p w14:paraId="109DF391" w14:textId="77777777" w:rsidR="00254165" w:rsidRPr="000B34C4" w:rsidRDefault="00254165" w:rsidP="000B34C4">
            <w:pPr>
              <w:spacing w:before="0"/>
              <w:jc w:val="center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10 čísel</w:t>
            </w:r>
          </w:p>
        </w:tc>
        <w:tc>
          <w:tcPr>
            <w:tcW w:w="1006" w:type="dxa"/>
          </w:tcPr>
          <w:p w14:paraId="4478D88D" w14:textId="0647EF78" w:rsidR="00254165" w:rsidRPr="000B34C4" w:rsidRDefault="00254165" w:rsidP="000B34C4">
            <w:pPr>
              <w:spacing w:before="0"/>
              <w:jc w:val="center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15 čísel</w:t>
            </w:r>
          </w:p>
        </w:tc>
        <w:tc>
          <w:tcPr>
            <w:tcW w:w="1006" w:type="dxa"/>
          </w:tcPr>
          <w:p w14:paraId="1695BFA5" w14:textId="63D02DC5" w:rsidR="00254165" w:rsidRPr="000B34C4" w:rsidRDefault="00254165" w:rsidP="000B34C4">
            <w:pPr>
              <w:spacing w:before="0"/>
              <w:jc w:val="center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50 čísel</w:t>
            </w: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14:paraId="09E5D8BD" w14:textId="77777777" w:rsidR="00254165" w:rsidRPr="000B34C4" w:rsidRDefault="00254165" w:rsidP="000B34C4">
            <w:pPr>
              <w:spacing w:before="0"/>
              <w:jc w:val="center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100 čísel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</w:tcBorders>
          </w:tcPr>
          <w:p w14:paraId="32D4CD97" w14:textId="49A20628" w:rsidR="00254165" w:rsidRPr="00254165" w:rsidRDefault="00254165" w:rsidP="00254165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čísel – snížená sazba</w:t>
            </w:r>
          </w:p>
        </w:tc>
        <w:tc>
          <w:tcPr>
            <w:tcW w:w="1006" w:type="dxa"/>
            <w:tcBorders>
              <w:top w:val="single" w:sz="12" w:space="0" w:color="auto"/>
            </w:tcBorders>
          </w:tcPr>
          <w:p w14:paraId="5CF27F2D" w14:textId="0E2815B1" w:rsidR="00254165" w:rsidRPr="000B34C4" w:rsidRDefault="00254165" w:rsidP="000B34C4">
            <w:pPr>
              <w:spacing w:before="0"/>
              <w:jc w:val="center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50 čísel – snížená sazba</w:t>
            </w:r>
          </w:p>
        </w:tc>
        <w:tc>
          <w:tcPr>
            <w:tcW w:w="1007" w:type="dxa"/>
            <w:tcBorders>
              <w:top w:val="single" w:sz="12" w:space="0" w:color="auto"/>
              <w:right w:val="single" w:sz="12" w:space="0" w:color="auto"/>
            </w:tcBorders>
          </w:tcPr>
          <w:p w14:paraId="3C100382" w14:textId="2266D6B6" w:rsidR="00254165" w:rsidRPr="000B34C4" w:rsidRDefault="00254165" w:rsidP="000B34C4">
            <w:pPr>
              <w:spacing w:before="0"/>
              <w:jc w:val="center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100 čísel – snížená sazba</w:t>
            </w:r>
          </w:p>
        </w:tc>
      </w:tr>
      <w:tr w:rsidR="00254165" w14:paraId="796745A5" w14:textId="4D6374AF" w:rsidTr="004A69EF">
        <w:tc>
          <w:tcPr>
            <w:tcW w:w="1011" w:type="dxa"/>
          </w:tcPr>
          <w:p w14:paraId="2D8119C0" w14:textId="77777777" w:rsidR="00254165" w:rsidRPr="000B34C4" w:rsidRDefault="00254165" w:rsidP="000B34C4">
            <w:pPr>
              <w:spacing w:before="0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1 den</w:t>
            </w:r>
          </w:p>
        </w:tc>
        <w:tc>
          <w:tcPr>
            <w:tcW w:w="1006" w:type="dxa"/>
          </w:tcPr>
          <w:p w14:paraId="4CC5AC32" w14:textId="77777777" w:rsidR="00254165" w:rsidRPr="000B34C4" w:rsidRDefault="00254165" w:rsidP="000B34C4">
            <w:pPr>
              <w:spacing w:before="0"/>
              <w:jc w:val="right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200 Kč</w:t>
            </w:r>
          </w:p>
        </w:tc>
        <w:tc>
          <w:tcPr>
            <w:tcW w:w="1006" w:type="dxa"/>
          </w:tcPr>
          <w:p w14:paraId="566BE503" w14:textId="77777777" w:rsidR="00254165" w:rsidRPr="000B34C4" w:rsidRDefault="00254165" w:rsidP="000B34C4">
            <w:pPr>
              <w:spacing w:before="0"/>
              <w:jc w:val="right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2 000 Kč</w:t>
            </w:r>
          </w:p>
        </w:tc>
        <w:tc>
          <w:tcPr>
            <w:tcW w:w="1006" w:type="dxa"/>
          </w:tcPr>
          <w:p w14:paraId="225991A0" w14:textId="4E83CFBC" w:rsidR="00254165" w:rsidRPr="000B34C4" w:rsidRDefault="00254165" w:rsidP="000B34C4">
            <w:pPr>
              <w:spacing w:befor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 Kč</w:t>
            </w:r>
          </w:p>
        </w:tc>
        <w:tc>
          <w:tcPr>
            <w:tcW w:w="1006" w:type="dxa"/>
          </w:tcPr>
          <w:p w14:paraId="043D7EAF" w14:textId="6B1867F8" w:rsidR="00254165" w:rsidRPr="000B34C4" w:rsidRDefault="00254165" w:rsidP="000B34C4">
            <w:pPr>
              <w:spacing w:before="0"/>
              <w:jc w:val="right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10 000 Kč</w:t>
            </w: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14:paraId="4631A3D7" w14:textId="04E55A7D" w:rsidR="00254165" w:rsidRPr="000B34C4" w:rsidRDefault="00254165" w:rsidP="000B34C4">
            <w:pPr>
              <w:spacing w:before="0"/>
              <w:jc w:val="right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20 000 Kč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3189715D" w14:textId="0F87FD7C" w:rsidR="00254165" w:rsidRPr="00254165" w:rsidRDefault="00254165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2 500 Kč</w:t>
            </w:r>
          </w:p>
        </w:tc>
        <w:tc>
          <w:tcPr>
            <w:tcW w:w="1006" w:type="dxa"/>
          </w:tcPr>
          <w:p w14:paraId="1DE226FD" w14:textId="28DFECBA" w:rsidR="00254165" w:rsidRPr="000B34C4" w:rsidRDefault="00254165" w:rsidP="000B34C4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0B34C4">
              <w:rPr>
                <w:b/>
                <w:bCs/>
                <w:sz w:val="22"/>
                <w:szCs w:val="22"/>
              </w:rPr>
              <w:t>6 000 Kč</w:t>
            </w: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14:paraId="7B802AF9" w14:textId="2A5FFCD4" w:rsidR="00254165" w:rsidRPr="000B34C4" w:rsidRDefault="00254165" w:rsidP="000B34C4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0B34C4">
              <w:rPr>
                <w:b/>
                <w:bCs/>
                <w:sz w:val="22"/>
                <w:szCs w:val="22"/>
              </w:rPr>
              <w:t>11 000 Kč</w:t>
            </w:r>
          </w:p>
        </w:tc>
      </w:tr>
      <w:tr w:rsidR="00254165" w14:paraId="15986FD3" w14:textId="7EFD84A5" w:rsidTr="004A69EF">
        <w:tc>
          <w:tcPr>
            <w:tcW w:w="1011" w:type="dxa"/>
          </w:tcPr>
          <w:p w14:paraId="09E7C348" w14:textId="77777777" w:rsidR="00254165" w:rsidRPr="000B34C4" w:rsidRDefault="00254165" w:rsidP="000B34C4">
            <w:pPr>
              <w:spacing w:before="0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lastRenderedPageBreak/>
              <w:t>6 dnů</w:t>
            </w:r>
          </w:p>
        </w:tc>
        <w:tc>
          <w:tcPr>
            <w:tcW w:w="1006" w:type="dxa"/>
          </w:tcPr>
          <w:p w14:paraId="1B3B49D8" w14:textId="77777777" w:rsidR="00254165" w:rsidRPr="000B34C4" w:rsidRDefault="00254165" w:rsidP="000B34C4">
            <w:pPr>
              <w:spacing w:before="0"/>
              <w:jc w:val="right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1 400 Kč</w:t>
            </w:r>
          </w:p>
        </w:tc>
        <w:tc>
          <w:tcPr>
            <w:tcW w:w="1006" w:type="dxa"/>
          </w:tcPr>
          <w:p w14:paraId="4C8CAF25" w14:textId="7CF3E1ED" w:rsidR="00254165" w:rsidRPr="000B34C4" w:rsidRDefault="00254165" w:rsidP="000B34C4">
            <w:pPr>
              <w:spacing w:before="0"/>
              <w:jc w:val="right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14 000 Kč</w:t>
            </w:r>
          </w:p>
        </w:tc>
        <w:tc>
          <w:tcPr>
            <w:tcW w:w="1006" w:type="dxa"/>
          </w:tcPr>
          <w:p w14:paraId="35A35CA5" w14:textId="5FD08771" w:rsidR="00254165" w:rsidRPr="000B34C4" w:rsidRDefault="00254165" w:rsidP="000B34C4">
            <w:pPr>
              <w:spacing w:befor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21 000 Kč</w:t>
            </w:r>
          </w:p>
        </w:tc>
        <w:tc>
          <w:tcPr>
            <w:tcW w:w="1006" w:type="dxa"/>
          </w:tcPr>
          <w:p w14:paraId="4C2809D0" w14:textId="61347CC4" w:rsidR="00254165" w:rsidRPr="000B34C4" w:rsidRDefault="00254165" w:rsidP="000B34C4">
            <w:pPr>
              <w:spacing w:before="0"/>
              <w:jc w:val="right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70 000 Kč</w:t>
            </w: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14:paraId="370D5591" w14:textId="6B621A67" w:rsidR="00254165" w:rsidRPr="000B34C4" w:rsidRDefault="00254165" w:rsidP="000B34C4">
            <w:pPr>
              <w:spacing w:before="0"/>
              <w:jc w:val="right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140 000 Kč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19ECEB39" w14:textId="4767C11F" w:rsidR="00254165" w:rsidRPr="00254165" w:rsidRDefault="00254165" w:rsidP="00254165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17 500 Kč</w:t>
            </w:r>
          </w:p>
        </w:tc>
        <w:tc>
          <w:tcPr>
            <w:tcW w:w="1006" w:type="dxa"/>
          </w:tcPr>
          <w:p w14:paraId="4ABA54FA" w14:textId="00CED5CE" w:rsidR="00254165" w:rsidRPr="000B34C4" w:rsidRDefault="00254165" w:rsidP="000B34C4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0B34C4">
              <w:rPr>
                <w:b/>
                <w:bCs/>
                <w:sz w:val="22"/>
                <w:szCs w:val="22"/>
              </w:rPr>
              <w:t>42 000 Kč</w:t>
            </w: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14:paraId="5ED6A740" w14:textId="3E939880" w:rsidR="00254165" w:rsidRPr="000B34C4" w:rsidRDefault="00254165" w:rsidP="000B34C4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0B34C4">
              <w:rPr>
                <w:b/>
                <w:bCs/>
                <w:sz w:val="22"/>
                <w:szCs w:val="22"/>
              </w:rPr>
              <w:t>77 000 Kč</w:t>
            </w:r>
          </w:p>
        </w:tc>
      </w:tr>
      <w:tr w:rsidR="00254165" w14:paraId="5A9F9657" w14:textId="6BDB1F15" w:rsidTr="004A69EF">
        <w:tc>
          <w:tcPr>
            <w:tcW w:w="1011" w:type="dxa"/>
          </w:tcPr>
          <w:p w14:paraId="1406A475" w14:textId="77777777" w:rsidR="00254165" w:rsidRPr="000B34C4" w:rsidRDefault="00254165" w:rsidP="000B34C4">
            <w:pPr>
              <w:spacing w:before="0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15 dnů</w:t>
            </w:r>
          </w:p>
        </w:tc>
        <w:tc>
          <w:tcPr>
            <w:tcW w:w="1006" w:type="dxa"/>
          </w:tcPr>
          <w:p w14:paraId="5DDFD5D3" w14:textId="77777777" w:rsidR="00254165" w:rsidRPr="000B34C4" w:rsidRDefault="00254165" w:rsidP="000B34C4">
            <w:pPr>
              <w:spacing w:before="0"/>
              <w:jc w:val="right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5 000 Kč</w:t>
            </w:r>
          </w:p>
        </w:tc>
        <w:tc>
          <w:tcPr>
            <w:tcW w:w="1006" w:type="dxa"/>
          </w:tcPr>
          <w:p w14:paraId="6F1AD7C4" w14:textId="7F69C49F" w:rsidR="00254165" w:rsidRPr="000B34C4" w:rsidRDefault="00254165" w:rsidP="000B34C4">
            <w:pPr>
              <w:spacing w:before="0"/>
              <w:jc w:val="right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50 000 Kč</w:t>
            </w:r>
          </w:p>
        </w:tc>
        <w:tc>
          <w:tcPr>
            <w:tcW w:w="1006" w:type="dxa"/>
          </w:tcPr>
          <w:p w14:paraId="67D82D11" w14:textId="531B8D16" w:rsidR="00254165" w:rsidRPr="000B34C4" w:rsidRDefault="00254165" w:rsidP="000B34C4">
            <w:pPr>
              <w:spacing w:befor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75 000 Kč</w:t>
            </w:r>
          </w:p>
        </w:tc>
        <w:tc>
          <w:tcPr>
            <w:tcW w:w="1006" w:type="dxa"/>
          </w:tcPr>
          <w:p w14:paraId="73D46B6B" w14:textId="5725FFEE" w:rsidR="00254165" w:rsidRPr="000B34C4" w:rsidRDefault="00254165" w:rsidP="000B34C4">
            <w:pPr>
              <w:spacing w:before="0"/>
              <w:jc w:val="right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250 000 Kč</w:t>
            </w: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14:paraId="3729D365" w14:textId="69720FF3" w:rsidR="00254165" w:rsidRPr="000B34C4" w:rsidRDefault="00254165" w:rsidP="000B34C4">
            <w:pPr>
              <w:spacing w:before="0"/>
              <w:jc w:val="right"/>
              <w:rPr>
                <w:sz w:val="22"/>
                <w:szCs w:val="22"/>
              </w:rPr>
            </w:pPr>
            <w:r w:rsidRPr="000B34C4">
              <w:rPr>
                <w:sz w:val="22"/>
                <w:szCs w:val="22"/>
              </w:rPr>
              <w:t>500 000 kč</w:t>
            </w:r>
          </w:p>
        </w:tc>
        <w:tc>
          <w:tcPr>
            <w:tcW w:w="1006" w:type="dxa"/>
            <w:tcBorders>
              <w:left w:val="single" w:sz="12" w:space="0" w:color="auto"/>
              <w:bottom w:val="single" w:sz="12" w:space="0" w:color="auto"/>
            </w:tcBorders>
          </w:tcPr>
          <w:p w14:paraId="337D05FF" w14:textId="6C567A60" w:rsidR="00254165" w:rsidRPr="00254165" w:rsidRDefault="000A5763" w:rsidP="00254165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62 5</w:t>
            </w:r>
            <w:r w:rsidR="00254165">
              <w:rPr>
                <w:b/>
                <w:bCs/>
                <w:sz w:val="22"/>
                <w:szCs w:val="22"/>
              </w:rPr>
              <w:t>00 Kč</w:t>
            </w:r>
          </w:p>
        </w:tc>
        <w:tc>
          <w:tcPr>
            <w:tcW w:w="1006" w:type="dxa"/>
            <w:tcBorders>
              <w:bottom w:val="single" w:sz="12" w:space="0" w:color="auto"/>
            </w:tcBorders>
          </w:tcPr>
          <w:p w14:paraId="5B1BFA65" w14:textId="3108A3B4" w:rsidR="00254165" w:rsidRPr="000B34C4" w:rsidRDefault="00254165" w:rsidP="000B34C4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0B34C4">
              <w:rPr>
                <w:b/>
                <w:bCs/>
                <w:sz w:val="22"/>
                <w:szCs w:val="22"/>
              </w:rPr>
              <w:t>150 000 Kč</w:t>
            </w:r>
          </w:p>
        </w:tc>
        <w:tc>
          <w:tcPr>
            <w:tcW w:w="1007" w:type="dxa"/>
            <w:tcBorders>
              <w:bottom w:val="single" w:sz="12" w:space="0" w:color="auto"/>
              <w:right w:val="single" w:sz="12" w:space="0" w:color="auto"/>
            </w:tcBorders>
          </w:tcPr>
          <w:p w14:paraId="50446ADB" w14:textId="37FE7BAB" w:rsidR="00254165" w:rsidRPr="000B34C4" w:rsidRDefault="00254165" w:rsidP="000B34C4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0B34C4">
              <w:rPr>
                <w:b/>
                <w:bCs/>
                <w:sz w:val="22"/>
                <w:szCs w:val="22"/>
              </w:rPr>
              <w:t>275 000 Kč</w:t>
            </w:r>
          </w:p>
        </w:tc>
      </w:tr>
    </w:tbl>
    <w:p w14:paraId="11BDA930" w14:textId="77777777" w:rsidR="00A2540E" w:rsidRDefault="00A2540E" w:rsidP="003B2F4C"/>
    <w:p w14:paraId="67A075C8" w14:textId="37311F95" w:rsidR="001034B0" w:rsidRDefault="001034B0" w:rsidP="003B2F4C">
      <w:r>
        <w:t>Účastník nemá právo na náhradu v případě, že zpo</w:t>
      </w:r>
      <w:r w:rsidR="00230DD5">
        <w:t xml:space="preserve">ždění nastane v důsledku neposkytnutí součinnosti ze strany účastníka (srov. § 1968 </w:t>
      </w:r>
      <w:r w:rsidR="008002C5">
        <w:t>občanského zákoníku</w:t>
      </w:r>
      <w:r w:rsidR="00230DD5">
        <w:t>).</w:t>
      </w:r>
    </w:p>
    <w:p w14:paraId="75125B0F" w14:textId="32C3B286" w:rsidR="002536ED" w:rsidRPr="00EC753D" w:rsidRDefault="002536ED" w:rsidP="003B2F4C">
      <w:pPr>
        <w:rPr>
          <w:highlight w:val="yellow"/>
        </w:rPr>
      </w:pPr>
    </w:p>
    <w:p w14:paraId="18A484E4" w14:textId="04A4EEDC" w:rsidR="002536ED" w:rsidRPr="00EC753D" w:rsidRDefault="002536ED" w:rsidP="003B2F4C">
      <w:pPr>
        <w:pStyle w:val="Nadpis2"/>
      </w:pPr>
      <w:r w:rsidRPr="00EC753D">
        <w:t>K </w:t>
      </w:r>
      <w:r w:rsidR="003B2F4C">
        <w:t>§ 2</w:t>
      </w:r>
    </w:p>
    <w:p w14:paraId="71F33A1B" w14:textId="2BA9CDAA" w:rsidR="00C56216" w:rsidRDefault="00AD6924" w:rsidP="003B2F4C">
      <w:r>
        <w:t xml:space="preserve">Ustanovení upravuje výši paušální náhrady při </w:t>
      </w:r>
      <w:r w:rsidR="00862758">
        <w:rPr>
          <w:rFonts w:eastAsiaTheme="minorHAnsi" w:cstheme="minorBidi"/>
        </w:rPr>
        <w:t xml:space="preserve">zneužití přenosu čísla </w:t>
      </w:r>
      <w:r w:rsidR="00862758" w:rsidRPr="003F3BF4">
        <w:rPr>
          <w:rFonts w:eastAsiaTheme="minorHAnsi" w:cstheme="minorBidi"/>
        </w:rPr>
        <w:t>v důsledku porušení povinnosti přejímajícího nebo opouštěného poskytovatele služby</w:t>
      </w:r>
      <w:r w:rsidR="00862758">
        <w:rPr>
          <w:rFonts w:eastAsiaTheme="minorHAnsi" w:cstheme="minorBidi"/>
        </w:rPr>
        <w:t xml:space="preserve"> nebo zneužití změny </w:t>
      </w:r>
      <w:r w:rsidR="00862758" w:rsidRPr="009F0EE2">
        <w:rPr>
          <w:rFonts w:eastAsiaTheme="minorHAnsi" w:cstheme="minorBidi"/>
        </w:rPr>
        <w:t>poskytovatele služby přístupu k</w:t>
      </w:r>
      <w:r w:rsidR="00862758">
        <w:rPr>
          <w:rFonts w:eastAsiaTheme="minorHAnsi" w:cstheme="minorBidi"/>
        </w:rPr>
        <w:t> </w:t>
      </w:r>
      <w:r w:rsidR="00862758" w:rsidRPr="009F0EE2">
        <w:rPr>
          <w:rFonts w:eastAsiaTheme="minorHAnsi" w:cstheme="minorBidi"/>
        </w:rPr>
        <w:t>internetu</w:t>
      </w:r>
      <w:r w:rsidR="00862758">
        <w:rPr>
          <w:rFonts w:eastAsiaTheme="minorHAnsi" w:cstheme="minorBidi"/>
        </w:rPr>
        <w:t xml:space="preserve"> v důsledku porušení povinnosti přejímajícího nebo opouštěného poskytovatele služby</w:t>
      </w:r>
      <w:r>
        <w:t xml:space="preserve">. V souladu s § 34 odst. 11 a § 34a odst. 11 zákona o elektronických komunikacích je náhrada stanovena denní sazbou. </w:t>
      </w:r>
      <w:r w:rsidR="00862758">
        <w:t xml:space="preserve">Zneužití přenosu či změny představuje závažnější případ ve srovnání se zbylými. Může spočívat v různých protiprávních praktikách vyskytujících se v souvislosti s přenosem čísla či změnou poskytovatele služby. Jedná se zejména o praktiku tzv. </w:t>
      </w:r>
      <w:proofErr w:type="spellStart"/>
      <w:r w:rsidR="00862758">
        <w:t>slammingu</w:t>
      </w:r>
      <w:proofErr w:type="spellEnd"/>
      <w:r w:rsidR="00862758">
        <w:t>, kterou lze obecně popsat jako úmyslné převedení služby na nového poskytovatele bez vědomí či souhlasu účastník</w:t>
      </w:r>
      <w:r w:rsidR="00B26D5B">
        <w:t xml:space="preserve">a (např. i v důsledku omylu). S přihlédnutím k tomu, že </w:t>
      </w:r>
      <w:r w:rsidR="00081868">
        <w:t>v tuto chvíli nejsou k dispozici data o rozšířenosti tohoto problému, navrhuje se sazbu stanovit ve spodní část</w:t>
      </w:r>
      <w:r w:rsidR="0066437E">
        <w:t>i</w:t>
      </w:r>
      <w:r w:rsidR="00081868">
        <w:t xml:space="preserve"> horní poloviny zákonem stanoveného rozpětí. Pokud by se v praxi ukázala tato částka jako neplnící svou regulační úlohu, bude přistoupeno k jejímu zvýšení.</w:t>
      </w:r>
    </w:p>
    <w:p w14:paraId="2922FAE0" w14:textId="77777777" w:rsidR="00AD6924" w:rsidRPr="00EC753D" w:rsidRDefault="00AD6924" w:rsidP="003B2F4C"/>
    <w:p w14:paraId="22E20471" w14:textId="38CE784F" w:rsidR="002536ED" w:rsidRPr="00EC753D" w:rsidRDefault="002536ED" w:rsidP="003B2F4C">
      <w:pPr>
        <w:pStyle w:val="Nadpis2"/>
      </w:pPr>
      <w:r w:rsidRPr="00EC753D">
        <w:t>K </w:t>
      </w:r>
      <w:r w:rsidR="003B2F4C">
        <w:t>§ 3</w:t>
      </w:r>
    </w:p>
    <w:p w14:paraId="0E7BFFE4" w14:textId="7581F493" w:rsidR="002536ED" w:rsidRDefault="00AD6924" w:rsidP="003B2F4C">
      <w:r>
        <w:t>Ustanovení upravuje výši paušální náhrady při nedodržení termínů opravy a instalace. V souladu s § 34 odst. 11 a § 34a odst. 11 zákona o elektronických komunikacích je náhrada stanovena denní sazbou.</w:t>
      </w:r>
      <w:r w:rsidR="009B506C">
        <w:t xml:space="preserve"> Shodně jako v případě zpoždění s přenesením čísla nebo změnou poskytovatele služby přístupu k internetu se navrhuje stanovit sazbu ve výši 200 Kč</w:t>
      </w:r>
      <w:r w:rsidR="00680697">
        <w:t>, která přibližně odpovídá průměrné hodinové mzdě</w:t>
      </w:r>
      <w:r w:rsidR="009B506C">
        <w:t xml:space="preserve">. Současně se však navrhuje přijmout pravidlo, jehož cílem je vyrovnání podmínek pro obě smluvní strany. Podnikatelé si v obchodních podmínkách nezřídka kdy zakládají právo na peněžité plnění (smluvní pokutu) pro případ, že dojde k nedodržení termínu opravy a instalace z důvodu na straně účastníka. V zájmu narovnání těchto vztahů se navrhuje alespoň pro první den trvání prodlení aplikovat tutéž sazbu, kterou by podnikatel </w:t>
      </w:r>
      <w:r w:rsidR="006B04B8">
        <w:t xml:space="preserve">mohl </w:t>
      </w:r>
      <w:r w:rsidR="009B506C">
        <w:t>požadovat po účastníku v případě, že by prodlení nastalo z příčin na jeho straně. V souladu s § 34 odst. 11 a § 34a odst. 11 zákona o elektronických komunikacích je třeba toto peněžité plnění omezit maximální výší 1 000 Kč (současně je třeba zohlednit, že dle vyhlášky se nejedná o jednorázovou platbu, ale účastníku bude dále náležet náhrada ve výši 200 Kč denně, příp. i 400 Kč denně).</w:t>
      </w:r>
    </w:p>
    <w:p w14:paraId="5649F05B" w14:textId="41D456E8" w:rsidR="00AD6924" w:rsidRDefault="00AD6924" w:rsidP="003B2F4C">
      <w:r>
        <w:t>Ve druhém odstavci se navrhuje upravit sankční zvýšení sazby v případě, že prodlení trvá již delší dobu</w:t>
      </w:r>
      <w:r w:rsidR="009B506C">
        <w:t>, a to na dvojnásobek základní sazby</w:t>
      </w:r>
      <w:r>
        <w:t>. Shodně jako v případě zpoždění s přenesením čísla nebo změnou poskytovatele služby přístupu k internetu se navrhuje zvýšení aplikovat od šestého dne, po který prodlení trvá.</w:t>
      </w:r>
      <w:r w:rsidR="008002C5">
        <w:t xml:space="preserve"> </w:t>
      </w:r>
      <w:r w:rsidR="008002C5" w:rsidRPr="006A6520">
        <w:t>Navýšení sazby po uplynutí určité doby trvání prodlení odráží další komplikace na straně účastníka a současně motivuje poskytovatele služby, aby případné pochybení odstranil ještě předtím, než dojde ke zvýšení sazby.</w:t>
      </w:r>
    </w:p>
    <w:p w14:paraId="3CB775A3" w14:textId="3FEFADAD" w:rsidR="00230DD5" w:rsidRPr="00EC753D" w:rsidRDefault="00230DD5" w:rsidP="003B2F4C">
      <w:r>
        <w:t xml:space="preserve">Účastník nemá právo na náhradu v případě, že zpoždění nastane v důsledku neposkytnutí součinnosti ze strany účastníka (srov. § 1968 </w:t>
      </w:r>
      <w:r w:rsidR="008002C5">
        <w:t>občanského zákoníku</w:t>
      </w:r>
      <w:r>
        <w:t>).</w:t>
      </w:r>
    </w:p>
    <w:p w14:paraId="1F04129A" w14:textId="77777777" w:rsidR="00BE3B39" w:rsidRPr="00EC753D" w:rsidRDefault="00BE3B39" w:rsidP="003B2F4C"/>
    <w:p w14:paraId="4A6DB0A6" w14:textId="62382026" w:rsidR="002536ED" w:rsidRPr="00EC753D" w:rsidRDefault="003B2F4C" w:rsidP="003B2F4C">
      <w:pPr>
        <w:pStyle w:val="Nadpis2"/>
      </w:pPr>
      <w:r>
        <w:t>K § 4</w:t>
      </w:r>
    </w:p>
    <w:p w14:paraId="0D93EB84" w14:textId="650C41B7" w:rsidR="0018732B" w:rsidRDefault="00AD6924" w:rsidP="003B2F4C">
      <w:r>
        <w:t xml:space="preserve">Ustanovení upravuje způsob uveřejnění informací o právu na paušální náhradu podle této vyhlášky. Podnikatel zajištující veřejnou komunikační síť nebo poskytující veřejně dostupnou službu elektronických komunikací a poskytovatel služby přístupu k internetu jsou povinni uveřejnit informaci o právu na paušální náhradu včetně její výše podle této vyhlášky na svých internetových stránkách. Musí tak učinit jasným, srozumitelným a snadno </w:t>
      </w:r>
      <w:r w:rsidR="00DC6593">
        <w:t xml:space="preserve">přístupným </w:t>
      </w:r>
      <w:r>
        <w:t>způsobem. To bude naplněno zejména v případě, bude-li informace poskytnuta v souvislosti s informacemi o změně poskytovatele služby.</w:t>
      </w:r>
    </w:p>
    <w:p w14:paraId="646F4A4D" w14:textId="53FB8D71" w:rsidR="00DC6593" w:rsidRPr="00EC753D" w:rsidRDefault="00DC6593" w:rsidP="003B2F4C">
      <w:r>
        <w:t xml:space="preserve">Požadavek na </w:t>
      </w:r>
      <w:r w:rsidR="00DD411B">
        <w:t xml:space="preserve">poskytování informací „jasným a srozumitelným způsobem“ je zaužívaným termínem v oblasti evropského spotřebitelského práva (srov. např. horizontální směrnici č. 2011/83/EU o právech spotřebitelů). Z určitého zobecnění judikatury Soudního dvora Evropské unie vyplývá, že </w:t>
      </w:r>
      <w:r w:rsidR="003122B9">
        <w:t xml:space="preserve">informace </w:t>
      </w:r>
      <w:r w:rsidR="00DD411B">
        <w:t>mají být poskytnuty takovým způsobem,</w:t>
      </w:r>
      <w:r w:rsidR="003122B9">
        <w:t xml:space="preserve"> </w:t>
      </w:r>
      <w:r w:rsidR="00DD411B">
        <w:t xml:space="preserve">který umožňuje průměrnému spotřebiteli, tj. běžně informovanému a přiměřeně pozornému a obezřetnému, vyhodnotit jejich obsah. </w:t>
      </w:r>
      <w:r>
        <w:t xml:space="preserve">Jako rozumný se jeví výklad v odborné literatuře, podle kterého povinnost podat informaci jasným a srozumitelným způsobem znamená, že průměrný spotřebitel musí být schopen pochopit informaci bez podstatného </w:t>
      </w:r>
      <w:r w:rsidR="00B34A0B">
        <w:t>úsilí,</w:t>
      </w:r>
      <w:r>
        <w:t xml:space="preserve"> a především bez nutnosti vyhledat právní poradenství (viz </w:t>
      </w:r>
      <w:proofErr w:type="spellStart"/>
      <w:r w:rsidRPr="006079B5">
        <w:rPr>
          <w:i/>
        </w:rPr>
        <w:t>Jansen</w:t>
      </w:r>
      <w:proofErr w:type="spellEnd"/>
      <w:r w:rsidRPr="006079B5">
        <w:rPr>
          <w:i/>
        </w:rPr>
        <w:t xml:space="preserve"> N., Zimmermann R.</w:t>
      </w:r>
      <w:r>
        <w:t xml:space="preserve">: </w:t>
      </w:r>
      <w:proofErr w:type="spellStart"/>
      <w:r>
        <w:t>Commentaries</w:t>
      </w:r>
      <w:proofErr w:type="spellEnd"/>
      <w:r>
        <w:t xml:space="preserve"> on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, Oxford University </w:t>
      </w:r>
      <w:proofErr w:type="spellStart"/>
      <w:r>
        <w:t>Press</w:t>
      </w:r>
      <w:proofErr w:type="spellEnd"/>
      <w:r>
        <w:t xml:space="preserve"> [2018], s. 429).</w:t>
      </w:r>
      <w:r w:rsidR="006C4543" w:rsidRPr="006C4543">
        <w:t xml:space="preserve"> </w:t>
      </w:r>
      <w:r w:rsidR="006C4543">
        <w:t>Text by tedy neměl být formulován složitým a matoucím jazykem, neměl by být zbytečně obsáhlý, což může ztěžovat orientaci adresátů, a měl by být snadno čitelný i z hlediska velikost použitého písma</w:t>
      </w:r>
      <w:r w:rsidR="003122B9">
        <w:t xml:space="preserve"> či barvy</w:t>
      </w:r>
      <w:r w:rsidR="006C4543">
        <w:t>.</w:t>
      </w:r>
    </w:p>
    <w:p w14:paraId="5FBB81C2" w14:textId="343A142B" w:rsidR="00A55A85" w:rsidRPr="00EC753D" w:rsidRDefault="00A55A85" w:rsidP="003B2F4C"/>
    <w:p w14:paraId="25A20524" w14:textId="224208A3" w:rsidR="00DD7FB3" w:rsidRPr="00EC753D" w:rsidRDefault="003B2F4C" w:rsidP="003B2F4C">
      <w:pPr>
        <w:pStyle w:val="Nadpis2"/>
      </w:pPr>
      <w:r>
        <w:t>K § 5 – účinnost</w:t>
      </w:r>
    </w:p>
    <w:p w14:paraId="3CFC0EA8" w14:textId="46A9C8EE" w:rsidR="00D81576" w:rsidRPr="003B2F4C" w:rsidRDefault="003B2F4C" w:rsidP="003B2F4C">
      <w:r w:rsidRPr="003B2F4C">
        <w:t>Účinnost vyhlášky se navrhuje navázat na datum nabytí účinnosti novely zákona o elektronických komunikacích, z níž potřeba přijetí tohoto prováděcího předpisu vyvstala.</w:t>
      </w:r>
    </w:p>
    <w:sectPr w:rsidR="00D81576" w:rsidRPr="003B2F4C" w:rsidSect="003B2F4C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6267E" w14:textId="77777777" w:rsidR="001842B7" w:rsidRDefault="001842B7" w:rsidP="003B2F4C">
      <w:r>
        <w:separator/>
      </w:r>
    </w:p>
  </w:endnote>
  <w:endnote w:type="continuationSeparator" w:id="0">
    <w:p w14:paraId="43F721BC" w14:textId="77777777" w:rsidR="001842B7" w:rsidRDefault="001842B7" w:rsidP="003B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12B77" w14:textId="0E167AF4" w:rsidR="001842B7" w:rsidRDefault="001842B7" w:rsidP="00BE1FE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14AD551E" w14:textId="77777777" w:rsidR="001842B7" w:rsidRDefault="001842B7" w:rsidP="003B2F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7042691"/>
      <w:docPartObj>
        <w:docPartGallery w:val="Page Numbers (Bottom of Page)"/>
        <w:docPartUnique/>
      </w:docPartObj>
    </w:sdtPr>
    <w:sdtEndPr/>
    <w:sdtContent>
      <w:p w14:paraId="5A76C3DD" w14:textId="22D856CA" w:rsidR="001842B7" w:rsidRDefault="001842B7" w:rsidP="00BE1FE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09B1090" w14:textId="77777777" w:rsidR="001842B7" w:rsidRDefault="001842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5D348" w14:textId="77777777" w:rsidR="001842B7" w:rsidRDefault="001842B7" w:rsidP="003B2F4C">
      <w:r>
        <w:separator/>
      </w:r>
    </w:p>
  </w:footnote>
  <w:footnote w:type="continuationSeparator" w:id="0">
    <w:p w14:paraId="0F654155" w14:textId="77777777" w:rsidR="001842B7" w:rsidRDefault="001842B7" w:rsidP="003B2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8BB2A" w14:textId="417E844F" w:rsidR="001842B7" w:rsidRPr="003B2F4C" w:rsidRDefault="001842B7" w:rsidP="003B2F4C">
    <w:pPr>
      <w:pStyle w:val="Zhlav"/>
      <w:jc w:val="right"/>
      <w:rPr>
        <w:b/>
      </w:rPr>
    </w:pPr>
    <w:r>
      <w:rPr>
        <w:b/>
      </w:rPr>
      <w:t>III.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04F4D"/>
    <w:multiLevelType w:val="multilevel"/>
    <w:tmpl w:val="FAB8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846B47"/>
    <w:multiLevelType w:val="hybridMultilevel"/>
    <w:tmpl w:val="BDCE3412"/>
    <w:lvl w:ilvl="0" w:tplc="06E863FC">
      <w:start w:val="1"/>
      <w:numFmt w:val="decimal"/>
      <w:pStyle w:val="Nadpis3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F3617A"/>
    <w:multiLevelType w:val="hybridMultilevel"/>
    <w:tmpl w:val="D012C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0C"/>
    <w:rsid w:val="000054EC"/>
    <w:rsid w:val="00015978"/>
    <w:rsid w:val="00022226"/>
    <w:rsid w:val="00022804"/>
    <w:rsid w:val="00032679"/>
    <w:rsid w:val="000343ED"/>
    <w:rsid w:val="00042C89"/>
    <w:rsid w:val="00044423"/>
    <w:rsid w:val="00047DA1"/>
    <w:rsid w:val="00054C9F"/>
    <w:rsid w:val="0005509E"/>
    <w:rsid w:val="000571AB"/>
    <w:rsid w:val="00057AC1"/>
    <w:rsid w:val="00061522"/>
    <w:rsid w:val="00070655"/>
    <w:rsid w:val="00071FFD"/>
    <w:rsid w:val="0007328B"/>
    <w:rsid w:val="0007789F"/>
    <w:rsid w:val="00080662"/>
    <w:rsid w:val="000807C2"/>
    <w:rsid w:val="00081868"/>
    <w:rsid w:val="000845CE"/>
    <w:rsid w:val="000934CC"/>
    <w:rsid w:val="0009606B"/>
    <w:rsid w:val="000A0FF6"/>
    <w:rsid w:val="000A1C75"/>
    <w:rsid w:val="000A5763"/>
    <w:rsid w:val="000B34C4"/>
    <w:rsid w:val="000B660E"/>
    <w:rsid w:val="000C1303"/>
    <w:rsid w:val="000C3940"/>
    <w:rsid w:val="000C4F57"/>
    <w:rsid w:val="000D17A6"/>
    <w:rsid w:val="000D6029"/>
    <w:rsid w:val="000E1D8B"/>
    <w:rsid w:val="000F7B24"/>
    <w:rsid w:val="001034B0"/>
    <w:rsid w:val="00104B9B"/>
    <w:rsid w:val="00117FD1"/>
    <w:rsid w:val="001232F7"/>
    <w:rsid w:val="00146430"/>
    <w:rsid w:val="001567D8"/>
    <w:rsid w:val="00163A89"/>
    <w:rsid w:val="0018295B"/>
    <w:rsid w:val="00183837"/>
    <w:rsid w:val="00183B50"/>
    <w:rsid w:val="001842B7"/>
    <w:rsid w:val="00184B6F"/>
    <w:rsid w:val="0018732B"/>
    <w:rsid w:val="001A0D69"/>
    <w:rsid w:val="001A21E4"/>
    <w:rsid w:val="001A2206"/>
    <w:rsid w:val="001A2929"/>
    <w:rsid w:val="001A60EB"/>
    <w:rsid w:val="001B3498"/>
    <w:rsid w:val="001B5444"/>
    <w:rsid w:val="001B71C9"/>
    <w:rsid w:val="001C0AD9"/>
    <w:rsid w:val="001C5254"/>
    <w:rsid w:val="001C639F"/>
    <w:rsid w:val="001C70E0"/>
    <w:rsid w:val="001D50D3"/>
    <w:rsid w:val="001E1DA2"/>
    <w:rsid w:val="001E4055"/>
    <w:rsid w:val="001E66AB"/>
    <w:rsid w:val="001F45DC"/>
    <w:rsid w:val="001F53BD"/>
    <w:rsid w:val="001F64B8"/>
    <w:rsid w:val="00207508"/>
    <w:rsid w:val="00215CDE"/>
    <w:rsid w:val="00216265"/>
    <w:rsid w:val="00220260"/>
    <w:rsid w:val="00220B00"/>
    <w:rsid w:val="0022150B"/>
    <w:rsid w:val="00222FA8"/>
    <w:rsid w:val="00224F85"/>
    <w:rsid w:val="002251B3"/>
    <w:rsid w:val="00230DD5"/>
    <w:rsid w:val="002422F3"/>
    <w:rsid w:val="002536ED"/>
    <w:rsid w:val="00254165"/>
    <w:rsid w:val="002622B2"/>
    <w:rsid w:val="00264A78"/>
    <w:rsid w:val="002667AE"/>
    <w:rsid w:val="00276600"/>
    <w:rsid w:val="00280B25"/>
    <w:rsid w:val="002835B8"/>
    <w:rsid w:val="00283E63"/>
    <w:rsid w:val="00285057"/>
    <w:rsid w:val="002862A5"/>
    <w:rsid w:val="00286CC1"/>
    <w:rsid w:val="00291A7A"/>
    <w:rsid w:val="002932A1"/>
    <w:rsid w:val="0029567A"/>
    <w:rsid w:val="002A4CB3"/>
    <w:rsid w:val="002A6B06"/>
    <w:rsid w:val="002B037A"/>
    <w:rsid w:val="002D575F"/>
    <w:rsid w:val="002D5AE7"/>
    <w:rsid w:val="002E1D6C"/>
    <w:rsid w:val="002E7BFC"/>
    <w:rsid w:val="002F29E5"/>
    <w:rsid w:val="00303091"/>
    <w:rsid w:val="00303839"/>
    <w:rsid w:val="00307248"/>
    <w:rsid w:val="003122B9"/>
    <w:rsid w:val="00312807"/>
    <w:rsid w:val="003138E7"/>
    <w:rsid w:val="00314B70"/>
    <w:rsid w:val="003209CD"/>
    <w:rsid w:val="00324082"/>
    <w:rsid w:val="00332D1D"/>
    <w:rsid w:val="00335C50"/>
    <w:rsid w:val="00351037"/>
    <w:rsid w:val="003660D8"/>
    <w:rsid w:val="00370CBB"/>
    <w:rsid w:val="00372E15"/>
    <w:rsid w:val="00373DED"/>
    <w:rsid w:val="003865E7"/>
    <w:rsid w:val="003907BC"/>
    <w:rsid w:val="00393352"/>
    <w:rsid w:val="003946C4"/>
    <w:rsid w:val="003965BD"/>
    <w:rsid w:val="003A0EEB"/>
    <w:rsid w:val="003A77FA"/>
    <w:rsid w:val="003B2F4C"/>
    <w:rsid w:val="003B2FB4"/>
    <w:rsid w:val="003D0076"/>
    <w:rsid w:val="003D339C"/>
    <w:rsid w:val="003D397D"/>
    <w:rsid w:val="003D4B53"/>
    <w:rsid w:val="003E54E8"/>
    <w:rsid w:val="003E72CC"/>
    <w:rsid w:val="003F10EE"/>
    <w:rsid w:val="003F2484"/>
    <w:rsid w:val="004041F8"/>
    <w:rsid w:val="00412092"/>
    <w:rsid w:val="004130E5"/>
    <w:rsid w:val="00416CCC"/>
    <w:rsid w:val="0041775C"/>
    <w:rsid w:val="00425317"/>
    <w:rsid w:val="00425478"/>
    <w:rsid w:val="00441C80"/>
    <w:rsid w:val="00442307"/>
    <w:rsid w:val="004431F3"/>
    <w:rsid w:val="0045127C"/>
    <w:rsid w:val="00452B7F"/>
    <w:rsid w:val="00456081"/>
    <w:rsid w:val="004564EF"/>
    <w:rsid w:val="00456C6B"/>
    <w:rsid w:val="00457DDC"/>
    <w:rsid w:val="00472656"/>
    <w:rsid w:val="00482B4F"/>
    <w:rsid w:val="00486CF8"/>
    <w:rsid w:val="00494ABA"/>
    <w:rsid w:val="00494CC0"/>
    <w:rsid w:val="00495E38"/>
    <w:rsid w:val="004967DB"/>
    <w:rsid w:val="00497642"/>
    <w:rsid w:val="00497C16"/>
    <w:rsid w:val="004A0518"/>
    <w:rsid w:val="004A69EF"/>
    <w:rsid w:val="004B2F94"/>
    <w:rsid w:val="004B3754"/>
    <w:rsid w:val="004B6FFA"/>
    <w:rsid w:val="004C3737"/>
    <w:rsid w:val="004C4332"/>
    <w:rsid w:val="004E4E5C"/>
    <w:rsid w:val="004E66A3"/>
    <w:rsid w:val="004E7426"/>
    <w:rsid w:val="004E7CA7"/>
    <w:rsid w:val="0050040F"/>
    <w:rsid w:val="0051198F"/>
    <w:rsid w:val="00512A45"/>
    <w:rsid w:val="00513D19"/>
    <w:rsid w:val="00522BA9"/>
    <w:rsid w:val="0052312E"/>
    <w:rsid w:val="0052530A"/>
    <w:rsid w:val="00525D13"/>
    <w:rsid w:val="0052638F"/>
    <w:rsid w:val="005275B0"/>
    <w:rsid w:val="00535D5C"/>
    <w:rsid w:val="00536E1E"/>
    <w:rsid w:val="00537886"/>
    <w:rsid w:val="00540EE3"/>
    <w:rsid w:val="0054587C"/>
    <w:rsid w:val="005500CB"/>
    <w:rsid w:val="0055254C"/>
    <w:rsid w:val="005641DC"/>
    <w:rsid w:val="00570A03"/>
    <w:rsid w:val="00573B9D"/>
    <w:rsid w:val="00583CF7"/>
    <w:rsid w:val="0059276E"/>
    <w:rsid w:val="00592CF6"/>
    <w:rsid w:val="00592E09"/>
    <w:rsid w:val="00593465"/>
    <w:rsid w:val="005937EF"/>
    <w:rsid w:val="00593B74"/>
    <w:rsid w:val="005A0B2C"/>
    <w:rsid w:val="005A2710"/>
    <w:rsid w:val="005B092C"/>
    <w:rsid w:val="005B098C"/>
    <w:rsid w:val="005B2E34"/>
    <w:rsid w:val="005B70E5"/>
    <w:rsid w:val="005C792C"/>
    <w:rsid w:val="005E1B9A"/>
    <w:rsid w:val="005E67F7"/>
    <w:rsid w:val="005E7737"/>
    <w:rsid w:val="005F2206"/>
    <w:rsid w:val="005F65B9"/>
    <w:rsid w:val="005F7951"/>
    <w:rsid w:val="00602224"/>
    <w:rsid w:val="00617108"/>
    <w:rsid w:val="00621D5C"/>
    <w:rsid w:val="00627713"/>
    <w:rsid w:val="00627FD9"/>
    <w:rsid w:val="00634EDC"/>
    <w:rsid w:val="00637321"/>
    <w:rsid w:val="00646A30"/>
    <w:rsid w:val="006524A7"/>
    <w:rsid w:val="006579AD"/>
    <w:rsid w:val="0066437E"/>
    <w:rsid w:val="00672548"/>
    <w:rsid w:val="00674DE2"/>
    <w:rsid w:val="00676393"/>
    <w:rsid w:val="00677434"/>
    <w:rsid w:val="00680174"/>
    <w:rsid w:val="00680697"/>
    <w:rsid w:val="006831DD"/>
    <w:rsid w:val="00697409"/>
    <w:rsid w:val="00697E7C"/>
    <w:rsid w:val="006A646B"/>
    <w:rsid w:val="006B04B8"/>
    <w:rsid w:val="006B084D"/>
    <w:rsid w:val="006B4E13"/>
    <w:rsid w:val="006B5E30"/>
    <w:rsid w:val="006C1718"/>
    <w:rsid w:val="006C4543"/>
    <w:rsid w:val="006C4555"/>
    <w:rsid w:val="006D0D8B"/>
    <w:rsid w:val="006D3271"/>
    <w:rsid w:val="006D3822"/>
    <w:rsid w:val="006D71C2"/>
    <w:rsid w:val="006D7C52"/>
    <w:rsid w:val="006E500E"/>
    <w:rsid w:val="006E5473"/>
    <w:rsid w:val="006F2563"/>
    <w:rsid w:val="006F33D3"/>
    <w:rsid w:val="00703306"/>
    <w:rsid w:val="00705257"/>
    <w:rsid w:val="00713953"/>
    <w:rsid w:val="00721085"/>
    <w:rsid w:val="0072316C"/>
    <w:rsid w:val="00723482"/>
    <w:rsid w:val="007321A6"/>
    <w:rsid w:val="00736998"/>
    <w:rsid w:val="00742061"/>
    <w:rsid w:val="0074650A"/>
    <w:rsid w:val="00753D0A"/>
    <w:rsid w:val="00756B63"/>
    <w:rsid w:val="00765873"/>
    <w:rsid w:val="00771C23"/>
    <w:rsid w:val="0077437E"/>
    <w:rsid w:val="0077669F"/>
    <w:rsid w:val="00782A6C"/>
    <w:rsid w:val="007835DC"/>
    <w:rsid w:val="007927F8"/>
    <w:rsid w:val="00796EE8"/>
    <w:rsid w:val="007A4966"/>
    <w:rsid w:val="007B5DEB"/>
    <w:rsid w:val="007C7C55"/>
    <w:rsid w:val="007D15B0"/>
    <w:rsid w:val="007D24F2"/>
    <w:rsid w:val="007D77B5"/>
    <w:rsid w:val="007E5429"/>
    <w:rsid w:val="007F16EB"/>
    <w:rsid w:val="007F2142"/>
    <w:rsid w:val="007F5D24"/>
    <w:rsid w:val="007F6D3F"/>
    <w:rsid w:val="008002C5"/>
    <w:rsid w:val="00803830"/>
    <w:rsid w:val="00804EF7"/>
    <w:rsid w:val="00807379"/>
    <w:rsid w:val="008215D3"/>
    <w:rsid w:val="0082539C"/>
    <w:rsid w:val="008307AB"/>
    <w:rsid w:val="00831DDC"/>
    <w:rsid w:val="0084073E"/>
    <w:rsid w:val="0085045E"/>
    <w:rsid w:val="0085091C"/>
    <w:rsid w:val="00851E0E"/>
    <w:rsid w:val="00852504"/>
    <w:rsid w:val="00857E27"/>
    <w:rsid w:val="008620EE"/>
    <w:rsid w:val="00862758"/>
    <w:rsid w:val="00867EAD"/>
    <w:rsid w:val="00884A58"/>
    <w:rsid w:val="008A09FD"/>
    <w:rsid w:val="008A101E"/>
    <w:rsid w:val="008B19AC"/>
    <w:rsid w:val="008B19B6"/>
    <w:rsid w:val="008B757F"/>
    <w:rsid w:val="008C612F"/>
    <w:rsid w:val="008E2421"/>
    <w:rsid w:val="008E3366"/>
    <w:rsid w:val="008E3853"/>
    <w:rsid w:val="008E7A9F"/>
    <w:rsid w:val="008F1232"/>
    <w:rsid w:val="008F2161"/>
    <w:rsid w:val="00905564"/>
    <w:rsid w:val="0091720C"/>
    <w:rsid w:val="00924777"/>
    <w:rsid w:val="00934144"/>
    <w:rsid w:val="009374B9"/>
    <w:rsid w:val="009401D2"/>
    <w:rsid w:val="009501BD"/>
    <w:rsid w:val="009601F7"/>
    <w:rsid w:val="00961D0A"/>
    <w:rsid w:val="00967D32"/>
    <w:rsid w:val="00970D76"/>
    <w:rsid w:val="0097167B"/>
    <w:rsid w:val="00972A82"/>
    <w:rsid w:val="00977621"/>
    <w:rsid w:val="00995685"/>
    <w:rsid w:val="009A0B51"/>
    <w:rsid w:val="009A42C5"/>
    <w:rsid w:val="009A785E"/>
    <w:rsid w:val="009B0EB2"/>
    <w:rsid w:val="009B112F"/>
    <w:rsid w:val="009B18AD"/>
    <w:rsid w:val="009B3D39"/>
    <w:rsid w:val="009B506C"/>
    <w:rsid w:val="009B631C"/>
    <w:rsid w:val="009B7F15"/>
    <w:rsid w:val="009C09CB"/>
    <w:rsid w:val="009C4E35"/>
    <w:rsid w:val="009C511D"/>
    <w:rsid w:val="009C716F"/>
    <w:rsid w:val="009D0463"/>
    <w:rsid w:val="009D6AA7"/>
    <w:rsid w:val="009E2053"/>
    <w:rsid w:val="009E5A17"/>
    <w:rsid w:val="009E74CA"/>
    <w:rsid w:val="009F37AD"/>
    <w:rsid w:val="009F3FA7"/>
    <w:rsid w:val="009F48FB"/>
    <w:rsid w:val="009F7153"/>
    <w:rsid w:val="00A02988"/>
    <w:rsid w:val="00A077A2"/>
    <w:rsid w:val="00A10FE0"/>
    <w:rsid w:val="00A147DA"/>
    <w:rsid w:val="00A2249F"/>
    <w:rsid w:val="00A24AAF"/>
    <w:rsid w:val="00A24D63"/>
    <w:rsid w:val="00A2540E"/>
    <w:rsid w:val="00A3221A"/>
    <w:rsid w:val="00A401E0"/>
    <w:rsid w:val="00A430BD"/>
    <w:rsid w:val="00A55A85"/>
    <w:rsid w:val="00A64946"/>
    <w:rsid w:val="00A70727"/>
    <w:rsid w:val="00A765A6"/>
    <w:rsid w:val="00A856DF"/>
    <w:rsid w:val="00A948BE"/>
    <w:rsid w:val="00AA5895"/>
    <w:rsid w:val="00AB178C"/>
    <w:rsid w:val="00AB4871"/>
    <w:rsid w:val="00AB534D"/>
    <w:rsid w:val="00AC165C"/>
    <w:rsid w:val="00AC2E4C"/>
    <w:rsid w:val="00AD39FB"/>
    <w:rsid w:val="00AD6924"/>
    <w:rsid w:val="00AE31C3"/>
    <w:rsid w:val="00AF1512"/>
    <w:rsid w:val="00AF16D3"/>
    <w:rsid w:val="00AF7EDA"/>
    <w:rsid w:val="00B2187B"/>
    <w:rsid w:val="00B24FF4"/>
    <w:rsid w:val="00B26D5B"/>
    <w:rsid w:val="00B2766C"/>
    <w:rsid w:val="00B34A0B"/>
    <w:rsid w:val="00B65037"/>
    <w:rsid w:val="00B708F0"/>
    <w:rsid w:val="00B71B2B"/>
    <w:rsid w:val="00B720C2"/>
    <w:rsid w:val="00B736B6"/>
    <w:rsid w:val="00B76768"/>
    <w:rsid w:val="00B83E75"/>
    <w:rsid w:val="00B87993"/>
    <w:rsid w:val="00B92095"/>
    <w:rsid w:val="00B9216F"/>
    <w:rsid w:val="00B97B39"/>
    <w:rsid w:val="00BA165F"/>
    <w:rsid w:val="00BA4511"/>
    <w:rsid w:val="00BD113F"/>
    <w:rsid w:val="00BD3293"/>
    <w:rsid w:val="00BD5FD0"/>
    <w:rsid w:val="00BE1FE9"/>
    <w:rsid w:val="00BE3B39"/>
    <w:rsid w:val="00BE5CD0"/>
    <w:rsid w:val="00BE65E7"/>
    <w:rsid w:val="00BE76EA"/>
    <w:rsid w:val="00BF0438"/>
    <w:rsid w:val="00BF50A4"/>
    <w:rsid w:val="00BF7B3A"/>
    <w:rsid w:val="00C04A04"/>
    <w:rsid w:val="00C04D91"/>
    <w:rsid w:val="00C27AFB"/>
    <w:rsid w:val="00C30D9C"/>
    <w:rsid w:val="00C35152"/>
    <w:rsid w:val="00C41468"/>
    <w:rsid w:val="00C427DC"/>
    <w:rsid w:val="00C43AAE"/>
    <w:rsid w:val="00C56216"/>
    <w:rsid w:val="00C702C7"/>
    <w:rsid w:val="00C75CFF"/>
    <w:rsid w:val="00C83E09"/>
    <w:rsid w:val="00C84134"/>
    <w:rsid w:val="00C9336B"/>
    <w:rsid w:val="00CA1522"/>
    <w:rsid w:val="00CA4CE1"/>
    <w:rsid w:val="00CB1431"/>
    <w:rsid w:val="00CB35B7"/>
    <w:rsid w:val="00CB4C5E"/>
    <w:rsid w:val="00CB6E93"/>
    <w:rsid w:val="00CC4DAA"/>
    <w:rsid w:val="00CC7EC4"/>
    <w:rsid w:val="00CD5ECC"/>
    <w:rsid w:val="00CD7968"/>
    <w:rsid w:val="00CF0DCD"/>
    <w:rsid w:val="00CF3127"/>
    <w:rsid w:val="00D01ED0"/>
    <w:rsid w:val="00D05E37"/>
    <w:rsid w:val="00D12DA0"/>
    <w:rsid w:val="00D17580"/>
    <w:rsid w:val="00D17790"/>
    <w:rsid w:val="00D17F9F"/>
    <w:rsid w:val="00D217AB"/>
    <w:rsid w:val="00D22933"/>
    <w:rsid w:val="00D242E4"/>
    <w:rsid w:val="00D249F6"/>
    <w:rsid w:val="00D24F21"/>
    <w:rsid w:val="00D27B39"/>
    <w:rsid w:val="00D5239A"/>
    <w:rsid w:val="00D53763"/>
    <w:rsid w:val="00D6277F"/>
    <w:rsid w:val="00D66DB3"/>
    <w:rsid w:val="00D728D7"/>
    <w:rsid w:val="00D81576"/>
    <w:rsid w:val="00D821F6"/>
    <w:rsid w:val="00D84D41"/>
    <w:rsid w:val="00D859B8"/>
    <w:rsid w:val="00D87F6C"/>
    <w:rsid w:val="00D917E8"/>
    <w:rsid w:val="00D91B09"/>
    <w:rsid w:val="00DA4E8E"/>
    <w:rsid w:val="00DB5571"/>
    <w:rsid w:val="00DB7EA6"/>
    <w:rsid w:val="00DC507B"/>
    <w:rsid w:val="00DC6593"/>
    <w:rsid w:val="00DD36F6"/>
    <w:rsid w:val="00DD3FDA"/>
    <w:rsid w:val="00DD411B"/>
    <w:rsid w:val="00DD51DD"/>
    <w:rsid w:val="00DD7FB3"/>
    <w:rsid w:val="00DF0970"/>
    <w:rsid w:val="00DF10D5"/>
    <w:rsid w:val="00DF7480"/>
    <w:rsid w:val="00E01A8F"/>
    <w:rsid w:val="00E067DF"/>
    <w:rsid w:val="00E12D5A"/>
    <w:rsid w:val="00E237B4"/>
    <w:rsid w:val="00E2628F"/>
    <w:rsid w:val="00E26AAF"/>
    <w:rsid w:val="00E30079"/>
    <w:rsid w:val="00E31572"/>
    <w:rsid w:val="00E42B4B"/>
    <w:rsid w:val="00E4780D"/>
    <w:rsid w:val="00E51F6C"/>
    <w:rsid w:val="00E57586"/>
    <w:rsid w:val="00E60C92"/>
    <w:rsid w:val="00E6193B"/>
    <w:rsid w:val="00E61AA8"/>
    <w:rsid w:val="00E647FD"/>
    <w:rsid w:val="00E64EFE"/>
    <w:rsid w:val="00E71EB4"/>
    <w:rsid w:val="00E73957"/>
    <w:rsid w:val="00E7485B"/>
    <w:rsid w:val="00E95570"/>
    <w:rsid w:val="00E95838"/>
    <w:rsid w:val="00EA1B1D"/>
    <w:rsid w:val="00EB56F4"/>
    <w:rsid w:val="00EB76C6"/>
    <w:rsid w:val="00EC04CE"/>
    <w:rsid w:val="00EC54C0"/>
    <w:rsid w:val="00EC753D"/>
    <w:rsid w:val="00ED3054"/>
    <w:rsid w:val="00ED7C68"/>
    <w:rsid w:val="00EE0D41"/>
    <w:rsid w:val="00EF09B8"/>
    <w:rsid w:val="00EF2CCE"/>
    <w:rsid w:val="00EF4031"/>
    <w:rsid w:val="00F06B42"/>
    <w:rsid w:val="00F06F06"/>
    <w:rsid w:val="00F10066"/>
    <w:rsid w:val="00F14185"/>
    <w:rsid w:val="00F142D8"/>
    <w:rsid w:val="00F152B2"/>
    <w:rsid w:val="00F17377"/>
    <w:rsid w:val="00F23CE6"/>
    <w:rsid w:val="00F27FB5"/>
    <w:rsid w:val="00F34518"/>
    <w:rsid w:val="00F45518"/>
    <w:rsid w:val="00F4600D"/>
    <w:rsid w:val="00F565A1"/>
    <w:rsid w:val="00F643C5"/>
    <w:rsid w:val="00F73432"/>
    <w:rsid w:val="00F84BA1"/>
    <w:rsid w:val="00F8698C"/>
    <w:rsid w:val="00F87DC4"/>
    <w:rsid w:val="00F931F6"/>
    <w:rsid w:val="00F9526F"/>
    <w:rsid w:val="00F967BE"/>
    <w:rsid w:val="00F96DF2"/>
    <w:rsid w:val="00FA09C0"/>
    <w:rsid w:val="00FA4B7C"/>
    <w:rsid w:val="00FB17D6"/>
    <w:rsid w:val="00FC028A"/>
    <w:rsid w:val="00FC20BF"/>
    <w:rsid w:val="00FC2F47"/>
    <w:rsid w:val="00FC7BAE"/>
    <w:rsid w:val="00FD6423"/>
    <w:rsid w:val="00FE1596"/>
    <w:rsid w:val="00FE3456"/>
    <w:rsid w:val="00FE4006"/>
    <w:rsid w:val="00FE5314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200A1BC"/>
  <w15:chartTrackingRefBased/>
  <w15:docId w15:val="{F8F6E773-FBDD-4DE4-A10C-4B1960E5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F4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B2F4C"/>
    <w:p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2F4C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2CF6"/>
    <w:pPr>
      <w:numPr>
        <w:numId w:val="3"/>
      </w:numPr>
      <w:spacing w:before="480" w:after="240"/>
      <w:ind w:left="357" w:hanging="357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172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72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72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720C"/>
    <w:rPr>
      <w:rFonts w:ascii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172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38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39"/>
    <w:rPr>
      <w:rFonts w:ascii="Segoe UI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rsid w:val="000C4F57"/>
  </w:style>
  <w:style w:type="character" w:customStyle="1" w:styleId="TextpoznpodarouChar">
    <w:name w:val="Text pozn. pod čarou Char"/>
    <w:basedOn w:val="Standardnpsmoodstavce"/>
    <w:link w:val="Textpoznpodarou"/>
    <w:rsid w:val="000C4F5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C4F5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01E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1ED0"/>
  </w:style>
  <w:style w:type="character" w:customStyle="1" w:styleId="TextkomenteChar">
    <w:name w:val="Text komentáře Char"/>
    <w:basedOn w:val="Standardnpsmoodstavce"/>
    <w:link w:val="Textkomente"/>
    <w:uiPriority w:val="99"/>
    <w:rsid w:val="00D01ED0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1E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1ED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043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AC2E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customStyle="1" w:styleId="xmsonormal">
    <w:name w:val="x_msonormal"/>
    <w:basedOn w:val="Normln"/>
    <w:rsid w:val="0041775C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3B2F4C"/>
    <w:rPr>
      <w:rFonts w:ascii="Times New Roman" w:hAnsi="Times New Roman" w:cs="Times New Roman"/>
      <w:b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B2F4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92CF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2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97E40-6214-45C2-99EB-21A83015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2503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Forejt</dc:creator>
  <cp:keywords/>
  <dc:description/>
  <cp:lastModifiedBy>Záleská Barbora</cp:lastModifiedBy>
  <cp:revision>8</cp:revision>
  <dcterms:created xsi:type="dcterms:W3CDTF">2021-11-25T14:40:00Z</dcterms:created>
  <dcterms:modified xsi:type="dcterms:W3CDTF">2021-11-25T17:05:00Z</dcterms:modified>
</cp:coreProperties>
</file>