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A65C3" w:rsidR="002C20CF" w:rsidP="00154B73" w:rsidRDefault="000F404E" w14:paraId="5A2E7EC5" w14:textId="228BBD1D">
      <w:pPr>
        <w:pStyle w:val="K-Nadpis1"/>
      </w:pPr>
      <w:r w:rsidRPr="00CA65C3">
        <w:t>3</w:t>
      </w:r>
      <w:r w:rsidRPr="00CA65C3" w:rsidR="00154B73">
        <w:t xml:space="preserve">.1 </w:t>
      </w:r>
      <w:r w:rsidRPr="00CA65C3">
        <w:t xml:space="preserve">INOVACE VE VZDĚLÁVÁNÍ V KONTEXTU DIGITALIZACE </w:t>
      </w:r>
      <w:r w:rsidRPr="00CA65C3" w:rsidR="00154B73">
        <w:t>(</w:t>
      </w:r>
      <w:r w:rsidRPr="00CA65C3">
        <w:t>MŠMT</w:t>
      </w:r>
      <w:r w:rsidRPr="00CA65C3" w:rsidR="00154B73">
        <w:t>)</w:t>
      </w:r>
      <w:r w:rsidRPr="00CA65C3" w:rsidR="002C20CF">
        <w:t xml:space="preserve"> </w:t>
      </w:r>
    </w:p>
    <w:p w:rsidRPr="00CA65C3" w:rsidR="002C20CF" w:rsidP="002C4FCC" w:rsidRDefault="002C20CF" w14:paraId="00F5B6F2" w14:textId="570D07A4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CA65C3">
        <w:rPr>
          <w:rStyle w:val="K-Nadpis2Char"/>
          <w:b/>
          <w:bCs/>
        </w:rPr>
        <w:t xml:space="preserve">1. </w:t>
      </w:r>
      <w:r w:rsidRPr="00CA65C3" w:rsidR="00EF374D">
        <w:rPr>
          <w:rStyle w:val="K-Nadpis2Char"/>
          <w:b/>
          <w:bCs/>
        </w:rPr>
        <w:t>Popis</w:t>
      </w:r>
      <w:r w:rsidRPr="00CA65C3">
        <w:rPr>
          <w:rStyle w:val="K-Nadpis2Char"/>
          <w:b/>
          <w:bCs/>
        </w:rPr>
        <w:t xml:space="preserve"> </w:t>
      </w:r>
      <w:r w:rsidRPr="00CA65C3" w:rsidR="00EF374D">
        <w:rPr>
          <w:rStyle w:val="K-Nadpis2Char"/>
          <w:b/>
          <w:bCs/>
        </w:rPr>
        <w:t>komponenty</w:t>
      </w:r>
    </w:p>
    <w:p w:rsidRPr="0064124C" w:rsidR="00F017B5" w:rsidP="00F017B5" w:rsidRDefault="00F017B5" w14:paraId="18E06756" w14:textId="5909444F">
      <w:pPr>
        <w:pStyle w:val="Default"/>
        <w:spacing w:after="120"/>
        <w:jc w:val="both"/>
        <w:rPr>
          <w:b/>
          <w:bCs/>
          <w:sz w:val="23"/>
          <w:szCs w:val="23"/>
        </w:rPr>
      </w:pPr>
      <w:r w:rsidRPr="0064124C">
        <w:rPr>
          <w:rStyle w:val="K-TabulkaChar"/>
        </w:rPr>
        <w:t xml:space="preserve">Souhrnný box pro komponentu </w:t>
      </w:r>
      <w:r>
        <w:rPr>
          <w:rStyle w:val="K-TabulkaChar"/>
        </w:rPr>
        <w:t>3</w:t>
      </w:r>
      <w:r w:rsidRPr="0064124C">
        <w:rPr>
          <w:rStyle w:val="K-TabulkaChar"/>
        </w:rPr>
        <w:t xml:space="preserve">.1 </w:t>
      </w:r>
      <w:r>
        <w:rPr>
          <w:rStyle w:val="K-TabulkaChar"/>
        </w:rPr>
        <w:t>Inovace ve vzdělávání v kontextu digitalizace</w:t>
      </w:r>
    </w:p>
    <w:p w:rsidRPr="0064124C" w:rsidR="00F017B5" w:rsidP="00F017B5" w:rsidRDefault="00F017B5" w14:paraId="73E91D5D" w14:textId="0670DE20">
      <w:pPr>
        <w:pStyle w:val="Default"/>
        <w:spacing w:after="120"/>
        <w:jc w:val="both"/>
        <w:rPr>
          <w:rStyle w:val="K-TextChar"/>
          <w:b/>
        </w:rPr>
      </w:pPr>
      <w:r w:rsidRPr="0064124C">
        <w:rPr>
          <w:rStyle w:val="K-TextChar"/>
          <w:b/>
        </w:rPr>
        <w:t xml:space="preserve">Oblast politiky/obor zájmu: </w:t>
      </w:r>
      <w:r w:rsidRPr="00656F3F">
        <w:rPr>
          <w:rStyle w:val="K-TextChar"/>
          <w:i/>
          <w:color w:val="808080" w:themeColor="background1" w:themeShade="80"/>
          <w:lang w:val="en-GB"/>
        </w:rPr>
        <w:t>Skills, Education and training</w:t>
      </w:r>
    </w:p>
    <w:p w:rsidRPr="00CA65C3" w:rsidR="38D1E7E5" w:rsidP="3A830DEE" w:rsidRDefault="38D1E7E5" w14:paraId="2FFFAB28" w14:textId="5DFD33ED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38D1E7E5">
        <w:rPr>
          <w:rFonts w:ascii="Times New Roman" w:hAnsi="Times New Roman" w:eastAsia="Calibri" w:cs="Times New Roman"/>
          <w:sz w:val="23"/>
          <w:szCs w:val="23"/>
        </w:rPr>
        <w:t xml:space="preserve">Komponenta obsahuje iniciativy adresující nedostatečnou úroveň digitálních dovedností žáků i pedagogů.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8D1E7E5">
        <w:rPr>
          <w:rFonts w:ascii="Times New Roman" w:hAnsi="Times New Roman" w:eastAsia="Calibri" w:cs="Times New Roman"/>
          <w:sz w:val="23"/>
          <w:szCs w:val="23"/>
        </w:rPr>
        <w:t xml:space="preserve">souladu se Strategií vzdělávací politiky do roku 2030+ se soustředí na proměnu obsahu, podporu digitální a informační gramotnosti a informatického myšlení. Dále na zlepšení úrovně vybavení škol a založení fondu mobilních digitálních zařízení, čímž přispěje k prevenci tzv. digitální propasti. V neposlední řadě cílí na podporu digitálních kompetencí pedagogů jako nutný předpoklad pro inovaci výuky a získání </w:t>
      </w:r>
      <w:bookmarkStart w:name="_GoBack" w:id="0"/>
      <w:bookmarkEnd w:id="0"/>
      <w:r w:rsidRPr="3A830DEE" w:rsidR="38D1E7E5">
        <w:rPr>
          <w:rFonts w:ascii="Times New Roman" w:hAnsi="Times New Roman" w:eastAsia="Calibri" w:cs="Times New Roman"/>
          <w:sz w:val="23"/>
          <w:szCs w:val="23"/>
        </w:rPr>
        <w:t>potřebných dovedností žáky.</w:t>
      </w:r>
    </w:p>
    <w:p w:rsidRPr="00CA65C3" w:rsidR="4350775C" w:rsidP="3A830DEE" w:rsidRDefault="4350775C" w14:paraId="2680A675" w14:textId="386F84D6">
      <w:pPr>
        <w:pStyle w:val="00Body"/>
        <w:jc w:val="both"/>
        <w:rPr>
          <w:rFonts w:ascii="Times New Roman" w:hAnsi="Times New Roman" w:eastAsia="Calibri"/>
          <w:color w:val="000000" w:themeColor="text1"/>
          <w:sz w:val="23"/>
          <w:szCs w:val="23"/>
          <w:lang w:val="cs-CZ"/>
        </w:rPr>
      </w:pP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Strategie vzdělávací politiky do roku 2030+ si vzala za cíl, aby vhodné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věku adekvátní využívání digitálních technologií bylo samozřejmostí ve všech oblastech vzdělávání. Mělo by se stát smysluplnou součástí výuky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podporovat jak informatické myšlení, tak digitální gramotnost žáků.  Digitální technologie by se měly stát integrální součástí života školy.  Pro zajištění vysoké kvality digitálního vzdělávání je důležité zaměřit se na 3 aspekty: i) Vnitřní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vnější konektivita škol</w:t>
      </w:r>
      <w:r w:rsidRPr="3A830DEE" w:rsidR="00B708D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vybavení škol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IT správa</w:t>
      </w:r>
      <w:r w:rsidRPr="3A830DEE" w:rsidR="00B708D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, </w:t>
      </w:r>
      <w:r w:rsidRPr="3A830DEE" w:rsidR="00B708D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který </w:t>
      </w:r>
      <w:r w:rsidRPr="3A830DEE" w:rsidR="00B708D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je</w:t>
      </w:r>
      <w:r w:rsidRPr="3A830DEE" w:rsidR="00B708D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však</w:t>
      </w:r>
      <w:r w:rsidRPr="3A830DEE" w:rsidR="00B708D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podporován</w:t>
      </w:r>
      <w:r w:rsidRPr="3A830DEE" w:rsidR="00B708DC">
        <w:rPr>
          <w:rFonts w:ascii="Times New Roman" w:hAnsi="Times New Roman"/>
          <w:sz w:val="23"/>
          <w:szCs w:val="23"/>
        </w:rPr>
        <w:t xml:space="preserve"> z 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jiných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komponent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Národního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plánu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obnovy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i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> z 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dalších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dotačních</w:t>
      </w:r>
      <w:proofErr w:type="spellEnd"/>
      <w:r w:rsidRPr="3A830DEE" w:rsidR="00B708D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3A830DEE" w:rsidR="00B708DC">
        <w:rPr>
          <w:rFonts w:ascii="Times New Roman" w:hAnsi="Times New Roman"/>
          <w:sz w:val="23"/>
          <w:szCs w:val="23"/>
        </w:rPr>
        <w:t>titulů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; 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ii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) Digitální kompetence učitelů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žáků; 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iii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) Kvalitní digitální obsah, kurikulum. Tyto tři aspekty jsou vzájemně propojeny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bez jejich komplementarity nelze zajistit vysoce kvalitní vzdělávání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návaznosti na dynamické změny ve společnosti. Tento předpoklad je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souladu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s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Evropskou komisí nově zveřejněným Akčním plánem pro digitální vzdělávání (DEAP, Digital 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Education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Action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Plan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), který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k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digitálnímu vzdělávání přistupuje holisticky.</w:t>
      </w:r>
    </w:p>
    <w:p w:rsidRPr="00CA65C3" w:rsidR="4350775C" w:rsidP="3A830DEE" w:rsidRDefault="4350775C" w14:paraId="0940BBD4" w14:textId="389DE137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4350775C">
        <w:rPr>
          <w:rFonts w:ascii="Times New Roman" w:hAnsi="Times New Roman" w:eastAsia="Calibri" w:cs="Times New Roman"/>
          <w:sz w:val="23"/>
          <w:szCs w:val="23"/>
        </w:rPr>
        <w:t>Cílem Strategie 2030+ je základními a nepostradatelnými kompetencemi vybavený a motivovaný jedinec, který dokáže v co nejvyšší míře využít svůj potenciál v dynamicky se měnícím světě ve prospěch jak svého vlastního rozvoje, tak s ohledem na druhé a ve prospěch rozvoje celé společnosti, stejně jako flexibilnější otevřený vzdělávací systém, který reaguje na měnící se vnější prostředí, je strategicky řízen na základě dat, poskytuje relevantní obsah vzdělávání v celoživotní perspektivě a umožňuje přístup ke vzdělávání online.</w:t>
      </w:r>
    </w:p>
    <w:p w:rsidRPr="00CA65C3" w:rsidR="4350775C" w:rsidP="3A830DEE" w:rsidRDefault="4350775C" w14:paraId="3330E9DC" w14:textId="05B0F1F1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4350775C">
        <w:rPr>
          <w:rFonts w:ascii="Times New Roman" w:hAnsi="Times New Roman" w:eastAsia="Calibri" w:cs="Times New Roman"/>
          <w:sz w:val="23"/>
          <w:szCs w:val="23"/>
        </w:rPr>
        <w:t>Základními a nezbytnými kompetencemi a dovednostmi vybavení jedinci, kteří jsou schopni reagovat na výzvy v dnešním dynamickém světě, přispějí ke dvojité zelené a digitální transformaci. Budou schopni díky základním digitálním dovednostem zodpovědně využívat digitální technologie, ale zároveň se díky pokročilým digitálním dovednostem podílet na jejich tvorbě za využívání inovací a nových technologií.</w:t>
      </w:r>
    </w:p>
    <w:p w:rsidRPr="00CA65C3" w:rsidR="4350775C" w:rsidP="3A830DEE" w:rsidRDefault="4350775C" w14:paraId="21FBE29E" w14:textId="54F26CA3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Dále díky pokročilé digitalizaci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tím spojené transformaci vzdělávacího systému očekáváme, že se bude zvyšovat podíl pracovních míst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sektorech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vyšší přidanou hodnotou,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naopak se bude snižovat podíl pracovních míst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sekundárním sektoru, především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>těžkém průmyslu.</w:t>
      </w:r>
    </w:p>
    <w:p w:rsidRPr="00CA65C3" w:rsidR="4350775C" w:rsidP="3A830DEE" w:rsidRDefault="4350775C" w14:paraId="49512486" w14:textId="50612960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Dále očekáváme, že se díky pokročilým digitálním dovednostem žáků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 xml:space="preserve">studentů naplno rozvine potenciál pro tvorbu inovací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350775C">
        <w:rPr>
          <w:rFonts w:ascii="Times New Roman" w:hAnsi="Times New Roman" w:eastAsia="Calibri" w:cs="Times New Roman"/>
          <w:sz w:val="23"/>
          <w:szCs w:val="23"/>
        </w:rPr>
        <w:t>oblasti trvale udržitelného podnikání.</w:t>
      </w:r>
    </w:p>
    <w:p w:rsidRPr="00CA65C3" w:rsidR="4350775C" w:rsidP="3A830DEE" w:rsidRDefault="4350775C" w14:paraId="5A2276D7" w14:textId="3D975E88">
      <w:pPr>
        <w:pStyle w:val="00Body"/>
        <w:jc w:val="both"/>
        <w:rPr>
          <w:rFonts w:ascii="Times New Roman" w:hAnsi="Times New Roman" w:eastAsia="Calibri"/>
          <w:color w:val="000000" w:themeColor="text1"/>
          <w:sz w:val="23"/>
          <w:szCs w:val="23"/>
          <w:lang w:val="cs-CZ"/>
        </w:rPr>
      </w:pP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Zároveň je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s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dynamickým rozvojem digitálních technologií nutné věnovat se prevenci tzv. digitální propasti (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digital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gap/</w:t>
      </w:r>
      <w:proofErr w:type="spellStart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divide</w:t>
      </w:r>
      <w:proofErr w:type="spellEnd"/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). Pokud žák nemá dostatečné digitální kompetence, přístup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k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digitálním technologiím nebo připojení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k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internetu, hrozí mu tzv. digitální vyloučení. Úkolem vzdělávacího 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systému je minimalizovat či předcházet tzv. digitální propasti mezi žáky bez ohledu na jejich socioekonomické, zdravotní nebo jiné znevýhodnění,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to pomocí podpory nediskriminačního přístupu ke kvalitnímu vzdělávání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vytvořením podmínek vedoucích ke zvyšování jeho digitálních kompetencí ve škole,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to nejen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rámci výuky (například školní kluby, přístupné technologie žákům atd.). Pokud budou digitální technologie dostupné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350775C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budou ve vzdělávání na všech školách využívány vhodným způsobem, mohou ke snižování vzdělávacích nerovností významně přispívat.</w:t>
      </w:r>
    </w:p>
    <w:p w:rsidRPr="00CA65C3" w:rsidR="366AC567" w:rsidP="3A830DEE" w:rsidRDefault="366AC567" w14:paraId="3FC68186" w14:textId="2144E266">
      <w:pPr>
        <w:pStyle w:val="Default"/>
        <w:spacing w:after="120"/>
        <w:jc w:val="both"/>
        <w:rPr>
          <w:rStyle w:val="K-TextInfoChar"/>
          <w:sz w:val="23"/>
          <w:szCs w:val="23"/>
        </w:rPr>
      </w:pPr>
    </w:p>
    <w:p w:rsidRPr="00CA65C3" w:rsidR="00EF374D" w:rsidP="00F017B5" w:rsidRDefault="00EF374D" w14:paraId="4109ACF6" w14:textId="73FAE66A">
      <w:pPr>
        <w:pStyle w:val="Default"/>
        <w:spacing w:after="120"/>
        <w:jc w:val="both"/>
        <w:rPr>
          <w:rStyle w:val="K-TextChar"/>
          <w:rFonts w:eastAsia="Calibri"/>
          <w:b/>
          <w:bCs/>
        </w:rPr>
      </w:pPr>
      <w:r w:rsidRPr="00CA65C3">
        <w:rPr>
          <w:rStyle w:val="K-TextChar"/>
          <w:b/>
          <w:bCs/>
        </w:rPr>
        <w:t>Cíl:</w:t>
      </w:r>
      <w:r w:rsidRPr="00CA65C3" w:rsidR="00095EBD">
        <w:rPr>
          <w:rStyle w:val="K-TextChar"/>
          <w:b/>
          <w:bCs/>
        </w:rPr>
        <w:t xml:space="preserve"> </w:t>
      </w:r>
      <w:r w:rsidRPr="00CA65C3" w:rsidR="7C66368C">
        <w:rPr>
          <w:rStyle w:val="K-TextChar"/>
          <w:rFonts w:eastAsia="Calibri"/>
          <w:b/>
          <w:bCs/>
        </w:rPr>
        <w:t>Komponenta si klade za cíl následující:</w:t>
      </w:r>
    </w:p>
    <w:p w:rsidRPr="00CA65C3" w:rsidR="7C66368C" w:rsidP="366AC567" w:rsidRDefault="7C66368C" w14:paraId="1EB09B0E" w14:textId="721DF55D">
      <w:pPr>
        <w:pStyle w:val="Odstavecseseznamem"/>
        <w:numPr>
          <w:ilvl w:val="0"/>
          <w:numId w:val="6"/>
        </w:numPr>
        <w:spacing w:after="180" w:line="264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 w:rsidRPr="00CA65C3">
        <w:rPr>
          <w:rFonts w:ascii="Times New Roman" w:hAnsi="Times New Roman" w:eastAsia="Calibri" w:cs="Times New Roman"/>
          <w:sz w:val="24"/>
          <w:szCs w:val="24"/>
        </w:rPr>
        <w:t>Vzdělávací systém rozvíjí kompetence žáků potřebné pro občanský, osobní a pracovní život</w:t>
      </w:r>
    </w:p>
    <w:p w:rsidRPr="00CA65C3" w:rsidR="7C66368C" w:rsidP="366AC567" w:rsidRDefault="7C66368C" w14:paraId="1774222B" w14:textId="07441378">
      <w:pPr>
        <w:pStyle w:val="Odstavecseseznamem"/>
        <w:numPr>
          <w:ilvl w:val="0"/>
          <w:numId w:val="6"/>
        </w:numPr>
        <w:spacing w:after="180" w:line="264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 w:rsidRPr="00CA65C3">
        <w:rPr>
          <w:rFonts w:ascii="Times New Roman" w:hAnsi="Times New Roman" w:eastAsia="Calibri" w:cs="Times New Roman"/>
          <w:sz w:val="24"/>
          <w:szCs w:val="24"/>
        </w:rPr>
        <w:t>Školy budou připraveny na vzdělávání na dálku a budou poskytovat potřebnou podporu žákům, pedagogům a rodičům</w:t>
      </w:r>
    </w:p>
    <w:p w:rsidRPr="00CA65C3" w:rsidR="7C66368C" w:rsidP="366AC567" w:rsidRDefault="7C66368C" w14:paraId="6CF9D1E7" w14:textId="5FF1C60D">
      <w:pPr>
        <w:pStyle w:val="Odstavecseseznamem"/>
        <w:numPr>
          <w:ilvl w:val="0"/>
          <w:numId w:val="6"/>
        </w:numPr>
        <w:spacing w:after="180" w:line="264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 w:rsidRPr="00CA65C3">
        <w:rPr>
          <w:rFonts w:ascii="Times New Roman" w:hAnsi="Times New Roman" w:eastAsia="Calibri" w:cs="Times New Roman"/>
          <w:sz w:val="24"/>
          <w:szCs w:val="24"/>
        </w:rPr>
        <w:t xml:space="preserve">Vzdělávací systém vybaví každého žáka základními </w:t>
      </w:r>
      <w:r w:rsidRPr="00CA65C3" w:rsidR="00C74601">
        <w:rPr>
          <w:rFonts w:ascii="Times New Roman" w:hAnsi="Times New Roman" w:eastAsia="Calibri" w:cs="Times New Roman"/>
          <w:sz w:val="24"/>
          <w:szCs w:val="24"/>
        </w:rPr>
        <w:t>i</w:t>
      </w:r>
      <w:r w:rsidR="00C74601">
        <w:rPr>
          <w:rFonts w:ascii="Times New Roman" w:hAnsi="Times New Roman" w:eastAsia="Calibri" w:cs="Times New Roman"/>
          <w:sz w:val="24"/>
          <w:szCs w:val="24"/>
        </w:rPr>
        <w:t> </w:t>
      </w:r>
      <w:r w:rsidRPr="00CA65C3">
        <w:rPr>
          <w:rFonts w:ascii="Times New Roman" w:hAnsi="Times New Roman" w:eastAsia="Calibri" w:cs="Times New Roman"/>
          <w:sz w:val="24"/>
          <w:szCs w:val="24"/>
        </w:rPr>
        <w:t>pokročilými digitálními kompetencemi, které žáci zodpovědně, samostatně a vhodným způsobem používají v kontextu vzdělávání, práce či zábavy</w:t>
      </w:r>
    </w:p>
    <w:p w:rsidRPr="00CA65C3" w:rsidR="7C66368C" w:rsidP="366AC567" w:rsidRDefault="7C66368C" w14:paraId="3068CF8E" w14:textId="6602144C">
      <w:pPr>
        <w:pStyle w:val="Odstavecseseznamem"/>
        <w:numPr>
          <w:ilvl w:val="0"/>
          <w:numId w:val="6"/>
        </w:numPr>
        <w:spacing w:after="180" w:line="264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 w:rsidRPr="00CA65C3">
        <w:rPr>
          <w:rFonts w:ascii="Times New Roman" w:hAnsi="Times New Roman" w:eastAsia="Calibri" w:cs="Times New Roman"/>
          <w:sz w:val="24"/>
          <w:szCs w:val="24"/>
        </w:rPr>
        <w:t>Žáci mají k dispozici mobilní digitální zařízení pro běžnou výuku a pro vzdělávání na dálku</w:t>
      </w:r>
    </w:p>
    <w:p w:rsidR="0CCE5AA4" w:rsidP="366AC567" w:rsidRDefault="0CCE5AA4" w14:paraId="1D845E85" w14:textId="0430834A">
      <w:pPr>
        <w:pStyle w:val="Default"/>
        <w:spacing w:after="120"/>
        <w:jc w:val="both"/>
        <w:rPr>
          <w:rStyle w:val="K-TextChar"/>
          <w:rFonts w:eastAsia="Calibri"/>
          <w:b/>
          <w:bCs/>
        </w:rPr>
      </w:pPr>
      <w:r w:rsidRPr="00CA65C3">
        <w:rPr>
          <w:rStyle w:val="K-TextChar"/>
          <w:rFonts w:eastAsia="Calibri"/>
          <w:b/>
          <w:bCs/>
        </w:rPr>
        <w:t xml:space="preserve">Globálním cílem komponenty je přispět </w:t>
      </w:r>
      <w:r w:rsidRPr="00CA65C3" w:rsidR="00C74601">
        <w:rPr>
          <w:rStyle w:val="K-TextChar"/>
          <w:rFonts w:eastAsia="Calibri"/>
          <w:b/>
          <w:bCs/>
        </w:rPr>
        <w:t>k</w:t>
      </w:r>
      <w:r w:rsidR="00C74601">
        <w:rPr>
          <w:rStyle w:val="K-TextChar"/>
          <w:rFonts w:eastAsia="Calibri"/>
          <w:b/>
          <w:bCs/>
        </w:rPr>
        <w:t> </w:t>
      </w:r>
      <w:r w:rsidRPr="00CA65C3">
        <w:rPr>
          <w:rStyle w:val="K-TextChar"/>
          <w:rFonts w:eastAsia="Calibri"/>
          <w:b/>
          <w:bCs/>
        </w:rPr>
        <w:t xml:space="preserve">rozvoji digitálního vzdělávání </w:t>
      </w:r>
      <w:r w:rsidRPr="00CA65C3" w:rsidR="00C74601">
        <w:rPr>
          <w:rStyle w:val="K-TextChar"/>
          <w:rFonts w:eastAsia="Calibri"/>
          <w:b/>
          <w:bCs/>
        </w:rPr>
        <w:t>v</w:t>
      </w:r>
      <w:r w:rsidR="00C74601">
        <w:rPr>
          <w:rStyle w:val="K-TextChar"/>
          <w:rFonts w:eastAsia="Calibri"/>
          <w:b/>
          <w:bCs/>
        </w:rPr>
        <w:t> </w:t>
      </w:r>
      <w:r w:rsidRPr="00CA65C3">
        <w:rPr>
          <w:rStyle w:val="K-TextChar"/>
          <w:rFonts w:eastAsia="Calibri"/>
          <w:b/>
          <w:bCs/>
        </w:rPr>
        <w:t xml:space="preserve">souladu </w:t>
      </w:r>
      <w:r w:rsidRPr="00CA65C3" w:rsidR="00C74601">
        <w:rPr>
          <w:rStyle w:val="K-TextChar"/>
          <w:rFonts w:eastAsia="Calibri"/>
          <w:b/>
          <w:bCs/>
        </w:rPr>
        <w:t>s</w:t>
      </w:r>
      <w:r w:rsidR="00C74601">
        <w:rPr>
          <w:rStyle w:val="K-TextChar"/>
          <w:rFonts w:eastAsia="Calibri"/>
          <w:b/>
          <w:bCs/>
        </w:rPr>
        <w:t> </w:t>
      </w:r>
      <w:r w:rsidRPr="00CA65C3" w:rsidR="3B26A627">
        <w:rPr>
          <w:rStyle w:val="K-TextChar"/>
          <w:rFonts w:eastAsia="Calibri"/>
          <w:b/>
          <w:bCs/>
        </w:rPr>
        <w:t>vizí</w:t>
      </w:r>
      <w:r w:rsidRPr="00CA65C3">
        <w:rPr>
          <w:rStyle w:val="K-TextChar"/>
          <w:rFonts w:eastAsia="Calibri"/>
          <w:b/>
          <w:bCs/>
        </w:rPr>
        <w:t xml:space="preserve"> Strategi</w:t>
      </w:r>
      <w:r w:rsidRPr="00CA65C3" w:rsidR="6304013B">
        <w:rPr>
          <w:rStyle w:val="K-TextChar"/>
          <w:rFonts w:eastAsia="Calibri"/>
          <w:b/>
          <w:bCs/>
        </w:rPr>
        <w:t>e</w:t>
      </w:r>
      <w:r w:rsidRPr="00CA65C3">
        <w:rPr>
          <w:rStyle w:val="K-TextChar"/>
          <w:rFonts w:eastAsia="Calibri"/>
          <w:b/>
          <w:bCs/>
        </w:rPr>
        <w:t xml:space="preserve"> vzdělávací politiky 2030+</w:t>
      </w:r>
      <w:r w:rsidRPr="00CA65C3" w:rsidR="398CCCF4">
        <w:rPr>
          <w:rStyle w:val="K-TextChar"/>
          <w:rFonts w:eastAsia="Calibri"/>
          <w:b/>
          <w:bCs/>
        </w:rPr>
        <w:t xml:space="preserve"> </w:t>
      </w:r>
      <w:r w:rsidRPr="00CA65C3" w:rsidR="00C74601">
        <w:rPr>
          <w:rStyle w:val="K-TextChar"/>
          <w:rFonts w:eastAsia="Calibri"/>
          <w:b/>
          <w:bCs/>
        </w:rPr>
        <w:t>a</w:t>
      </w:r>
      <w:r w:rsidR="00C74601">
        <w:rPr>
          <w:rStyle w:val="K-TextChar"/>
          <w:rFonts w:eastAsia="Calibri"/>
          <w:b/>
          <w:bCs/>
        </w:rPr>
        <w:t> </w:t>
      </w:r>
      <w:r w:rsidRPr="00CA65C3" w:rsidR="398CCCF4">
        <w:rPr>
          <w:rStyle w:val="K-TextChar"/>
          <w:rFonts w:eastAsia="Calibri"/>
          <w:b/>
          <w:bCs/>
        </w:rPr>
        <w:t xml:space="preserve">Akčním plánem pro digitální vzdělávání (DEAP). </w:t>
      </w:r>
    </w:p>
    <w:p w:rsidRPr="00CA65C3" w:rsidR="00CA65C3" w:rsidP="366AC567" w:rsidRDefault="00CA65C3" w14:paraId="1A37019F" w14:textId="77777777">
      <w:pPr>
        <w:pStyle w:val="Default"/>
        <w:spacing w:after="120"/>
        <w:jc w:val="both"/>
        <w:rPr>
          <w:rStyle w:val="K-TextChar"/>
          <w:rFonts w:eastAsia="Calibri"/>
          <w:b/>
          <w:bCs/>
        </w:rPr>
      </w:pPr>
    </w:p>
    <w:p w:rsidRPr="00CA65C3" w:rsidR="00EF374D" w:rsidP="00A618CA" w:rsidRDefault="00EF374D" w14:paraId="3F8660F2" w14:textId="3877EEAB">
      <w:pPr>
        <w:pStyle w:val="Default"/>
        <w:spacing w:after="120"/>
        <w:jc w:val="both"/>
        <w:rPr>
          <w:rStyle w:val="K-TextInfoChar"/>
        </w:rPr>
      </w:pPr>
      <w:r w:rsidRPr="00CA65C3">
        <w:rPr>
          <w:rStyle w:val="K-TextChar"/>
          <w:b/>
          <w:bCs/>
        </w:rPr>
        <w:t>Reformy a/nebo investice</w:t>
      </w:r>
      <w:r w:rsidRPr="00CA65C3">
        <w:rPr>
          <w:rStyle w:val="K-TextChar"/>
          <w:b/>
          <w:bCs/>
          <w:vertAlign w:val="superscript"/>
        </w:rPr>
        <w:footnoteReference w:id="1"/>
      </w:r>
      <w:r w:rsidRPr="00CA65C3">
        <w:rPr>
          <w:rStyle w:val="K-TextChar"/>
          <w:b/>
          <w:bCs/>
        </w:rPr>
        <w:t>:</w:t>
      </w:r>
      <w:r w:rsidRPr="00CA65C3" w:rsidR="00095EBD">
        <w:rPr>
          <w:rStyle w:val="K-TextChar"/>
          <w:b/>
          <w:bCs/>
        </w:rPr>
        <w:t xml:space="preserve"> </w:t>
      </w:r>
    </w:p>
    <w:p w:rsidRPr="00672403" w:rsidR="00672403" w:rsidP="003B50D8" w:rsidRDefault="003B50D8" w14:paraId="57D8F0D1" w14:textId="05C3950E">
      <w:pPr>
        <w:pStyle w:val="00Body"/>
        <w:numPr>
          <w:ilvl w:val="1"/>
          <w:numId w:val="31"/>
        </w:numPr>
        <w:jc w:val="both"/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eastAsia="Calibri"/>
          <w:b/>
          <w:bCs/>
          <w:color w:val="000000" w:themeColor="text1"/>
          <w:sz w:val="24"/>
          <w:szCs w:val="24"/>
          <w:lang w:val="cs-CZ"/>
        </w:rPr>
        <w:t xml:space="preserve"> </w:t>
      </w:r>
      <w:r w:rsidRPr="00CA65C3" w:rsidR="4B0E6BBE">
        <w:rPr>
          <w:rFonts w:ascii="Times New Roman" w:hAnsi="Times New Roman" w:eastAsia="Calibri"/>
          <w:b/>
          <w:bCs/>
          <w:color w:val="000000" w:themeColor="text1"/>
          <w:sz w:val="24"/>
          <w:szCs w:val="24"/>
          <w:lang w:val="cs-CZ"/>
        </w:rPr>
        <w:t>Digitalizace stávajících obsahů a forem vzdělávání</w:t>
      </w:r>
      <w:r w:rsidRPr="00CA65C3" w:rsidR="4B0E6BBE">
        <w:rPr>
          <w:rFonts w:ascii="Times New Roman" w:hAnsi="Times New Roman" w:eastAsia="Calibri"/>
          <w:color w:val="000000" w:themeColor="text1"/>
          <w:sz w:val="24"/>
          <w:szCs w:val="24"/>
          <w:lang w:val="cs-CZ"/>
        </w:rPr>
        <w:t xml:space="preserve"> </w:t>
      </w:r>
    </w:p>
    <w:p w:rsidRPr="00672403" w:rsidR="00EF374D" w:rsidP="00672403" w:rsidRDefault="00D01CBE" w14:paraId="0D8E8B94" w14:textId="56B49DF3">
      <w:pPr>
        <w:pStyle w:val="00Body"/>
        <w:jc w:val="both"/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</w:pP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COFOG: </w:t>
      </w:r>
      <w:r w:rsidRPr="00672403" w:rsidR="004D3A0F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Předškolní </w:t>
      </w:r>
      <w:r w:rsidRPr="00672403" w:rsidR="00C74601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a</w:t>
      </w:r>
      <w:r w:rsidR="00C74601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 </w:t>
      </w:r>
      <w:r w:rsidRPr="00672403" w:rsidR="004D3A0F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primární vzdělávání, Sekundární vzdělávání, Vedlejší služby pro vzdělávání</w:t>
      </w:r>
      <w:r w:rsidRPr="00672403" w:rsid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br/>
      </w:r>
      <w:proofErr w:type="spellStart"/>
      <w:r w:rsidRPr="00672403" w:rsidR="00CA65C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Flagships</w:t>
      </w:r>
      <w:proofErr w:type="spellEnd"/>
      <w:r w:rsidRPr="00672403" w:rsidR="00CA65C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: </w:t>
      </w:r>
      <w:proofErr w:type="spellStart"/>
      <w:r w:rsidRPr="00672403" w:rsidR="00CA65C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Reskill</w:t>
      </w:r>
      <w:proofErr w:type="spellEnd"/>
      <w:r w:rsidRPr="00672403" w:rsidR="00CA65C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 and </w:t>
      </w:r>
      <w:proofErr w:type="spellStart"/>
      <w:r w:rsidRPr="00672403" w:rsidR="00CA65C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upskill</w:t>
      </w:r>
      <w:proofErr w:type="spellEnd"/>
    </w:p>
    <w:p w:rsidRPr="00CA65C3" w:rsidR="00EF374D" w:rsidP="3A830DEE" w:rsidRDefault="4B0E6BBE" w14:paraId="790F8361" w14:textId="1427DB8C">
      <w:pPr>
        <w:pStyle w:val="00Body"/>
        <w:jc w:val="both"/>
        <w:rPr>
          <w:rFonts w:ascii="Times New Roman" w:hAnsi="Times New Roman" w:eastAsia="Calibri"/>
          <w:color w:val="000000" w:themeColor="text1"/>
          <w:sz w:val="23"/>
          <w:szCs w:val="23"/>
          <w:lang w:val="cs-CZ"/>
        </w:rPr>
      </w:pP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Strategie 2030+ si za svůj cíl vytyčila proměnu obsahu vzdělávání pro základní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i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střední školy zaměřenou na digitální gramotnost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informatické myšlení, respektive využívání digitálních technologií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zdrojů vůbec. Vzhledem k tomu, že v blízké budoucnosti 90 % pracovních míst ve všech odvětvích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budoucnosti bude vyžadovat určitou formu digitálních dovedností, je nutné zaměřit se na základní digitální dovednosti pro všechny. Školy by však měly motivovat žáky k získání dalších pokročilých dovedností, které budou v průběhu života rozvíjet.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budoucnosti bude čím dál akutnější nedostatek ICT specialistů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s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pokročilými digitálními dovednosti, například z oblasti umělé inteligence nebo 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kyberbezpečnosti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. Tento problém firmy pociťují již teď, kdy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roce 2019 mělo problémy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s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najmutím ICT odborníků 80 % českých firem (2. nejhorší místo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EU). </w:t>
      </w:r>
    </w:p>
    <w:p w:rsidR="00EF374D" w:rsidP="3A830DEE" w:rsidRDefault="4B0E6BBE" w14:paraId="6CC0C9EC" w14:textId="3568E24C">
      <w:pPr>
        <w:pStyle w:val="00Body"/>
        <w:jc w:val="both"/>
        <w:rPr>
          <w:rFonts w:ascii="Times New Roman" w:hAnsi="Times New Roman" w:eastAsia="Calibri"/>
          <w:color w:val="000000" w:themeColor="text1"/>
          <w:sz w:val="23"/>
          <w:szCs w:val="23"/>
          <w:lang w:val="cs-CZ"/>
        </w:rPr>
      </w:pP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Digitální technologie nemají být omezeny jen na výuku informatiky nebo jí blízké oblasti, ale mají se stát integrální součástí celé výuky. Při tak dynamickém vývoji digitálních technologií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zvyšování jejich počtu ve škole však školy potřebují podporu především v oblasti IT správy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podpory pro integraci digitálních technologií do života školy. </w:t>
      </w:r>
    </w:p>
    <w:p w:rsidRPr="00CA65C3" w:rsidR="00EF374D" w:rsidP="003B50D8" w:rsidRDefault="4B0E6BBE" w14:paraId="73003663" w14:textId="7341911C">
      <w:pPr>
        <w:pStyle w:val="Default"/>
        <w:numPr>
          <w:ilvl w:val="1"/>
          <w:numId w:val="31"/>
        </w:numPr>
        <w:spacing w:after="120"/>
        <w:jc w:val="both"/>
        <w:rPr>
          <w:rFonts w:eastAsiaTheme="minorEastAsia"/>
          <w:b/>
          <w:bCs/>
          <w:color w:val="000000" w:themeColor="text1"/>
        </w:rPr>
      </w:pPr>
      <w:r w:rsidRPr="00CA65C3">
        <w:rPr>
          <w:rFonts w:eastAsia="Calibri"/>
          <w:b/>
          <w:bCs/>
          <w:color w:val="000000" w:themeColor="text1"/>
        </w:rPr>
        <w:t>Digitální a informační gramotnost spolu s kritickým myšlením žáků a studentů</w:t>
      </w:r>
    </w:p>
    <w:p w:rsidRPr="00672403" w:rsidR="00672403" w:rsidP="00672403" w:rsidRDefault="00672403" w14:paraId="44CFD7EC" w14:textId="12330E46">
      <w:pPr>
        <w:pStyle w:val="00Body"/>
        <w:jc w:val="both"/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</w:pP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COFOG: Předškolní </w:t>
      </w:r>
      <w:r w:rsidRPr="00672403" w:rsidR="00C74601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a</w:t>
      </w:r>
      <w:r w:rsidR="00C74601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 </w:t>
      </w: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primární vzdělávání, Sekundární vzdělávání, </w:t>
      </w:r>
      <w:r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Terciární</w:t>
      </w: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 vzdělávání</w:t>
      </w: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br/>
      </w:r>
      <w:proofErr w:type="spellStart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Flagships</w:t>
      </w:r>
      <w:proofErr w:type="spellEnd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: </w:t>
      </w:r>
      <w:proofErr w:type="spellStart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Reskill</w:t>
      </w:r>
      <w:proofErr w:type="spellEnd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 and </w:t>
      </w:r>
      <w:proofErr w:type="spellStart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upskill</w:t>
      </w:r>
      <w:proofErr w:type="spellEnd"/>
    </w:p>
    <w:p w:rsidRPr="00CA65C3" w:rsidR="00EF374D" w:rsidP="3A830DEE" w:rsidRDefault="4B0E6BBE" w14:paraId="2C3193CE" w14:textId="5655CD58">
      <w:pPr>
        <w:pStyle w:val="Default"/>
        <w:spacing w:after="120"/>
        <w:jc w:val="both"/>
        <w:rPr>
          <w:rFonts w:ascii="Times New Roman" w:hAnsi="Times New Roman" w:eastAsia="Times New Roman" w:cs="Times New Roman"/>
          <w:color w:val="000000" w:themeColor="text1"/>
          <w:sz w:val="23"/>
          <w:szCs w:val="23"/>
        </w:rPr>
      </w:pP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Strategie 2030+ si za svůj cíl vytyčila zajistit podporu rozvoje digitální gramotnosti všech žáků. Reforma 1.2. je úzce spojena 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s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 </w:t>
      </w: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proměnou obsahu vzdělávání 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a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 </w:t>
      </w: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zaměřená na digitální gramotnost 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a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 </w:t>
      </w: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informatické myšlení (viz předchozí reforma 1.1.). Obsahem této reformy jsou osvětové kampaně pro hlavní cílové skupiny (učitelé, ředitelé, zřizovatelé, žáci 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a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 </w:t>
      </w: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studenti) s cílem vysvětlit proměnu obsahu vzdělávání v návaznosti na digitální transformaci společnosti. Mezi hlavní aktéry v rozvoji základních 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i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 </w:t>
      </w: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pokročilých digitálních dovedností žáků patří učitelé. Proto je obsahem reformy série vzdělávacích kurzů pro pedagogy v oblasti používání základních 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i</w:t>
      </w:r>
      <w:r w:rsidRPr="3A830DEE" w:rsidR="00C74601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 </w:t>
      </w:r>
      <w:r w:rsidRPr="3A830DEE" w:rsidR="4B0E6BBE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pokročilých digitálních technologií s důrazem na jejich didaktické využití ve vzdělávacím procesu.</w:t>
      </w:r>
    </w:p>
    <w:p w:rsidRPr="00672403" w:rsidR="00EF374D" w:rsidP="003B50D8" w:rsidRDefault="003B50D8" w14:paraId="796E5376" w14:textId="1C97D8F6">
      <w:pPr>
        <w:pStyle w:val="00Body"/>
        <w:numPr>
          <w:ilvl w:val="1"/>
          <w:numId w:val="31"/>
        </w:numPr>
        <w:jc w:val="both"/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eastAsia="Calibri"/>
          <w:b/>
          <w:bCs/>
          <w:color w:val="000000" w:themeColor="text1"/>
          <w:sz w:val="24"/>
          <w:szCs w:val="24"/>
          <w:lang w:val="cs-CZ"/>
        </w:rPr>
        <w:t xml:space="preserve"> </w:t>
      </w:r>
      <w:r w:rsidRPr="00CA65C3" w:rsidR="4B0E6BBE">
        <w:rPr>
          <w:rFonts w:ascii="Times New Roman" w:hAnsi="Times New Roman" w:eastAsia="Calibri"/>
          <w:b/>
          <w:bCs/>
          <w:color w:val="000000" w:themeColor="text1"/>
          <w:sz w:val="24"/>
          <w:szCs w:val="24"/>
          <w:lang w:val="cs-CZ"/>
        </w:rPr>
        <w:t>Fond mobilních digitálních zařízení</w:t>
      </w:r>
      <w:r w:rsidRPr="00CA65C3" w:rsidR="4B0E6BBE">
        <w:rPr>
          <w:rFonts w:ascii="Times New Roman" w:hAnsi="Times New Roman" w:eastAsia="Calibri"/>
          <w:color w:val="000000" w:themeColor="text1"/>
          <w:sz w:val="24"/>
          <w:szCs w:val="24"/>
          <w:lang w:val="cs-CZ"/>
        </w:rPr>
        <w:t xml:space="preserve"> </w:t>
      </w:r>
      <w:r w:rsidRPr="00CA65C3" w:rsidR="4B0E6BBE">
        <w:rPr>
          <w:rFonts w:ascii="Times New Roman" w:hAnsi="Times New Roman" w:eastAsia="Calibri"/>
          <w:b/>
          <w:bCs/>
          <w:color w:val="000000" w:themeColor="text1"/>
          <w:sz w:val="24"/>
          <w:szCs w:val="24"/>
          <w:lang w:val="cs-CZ"/>
        </w:rPr>
        <w:t>pro znevýhodněné žáky a digitalizace základních a středních škol</w:t>
      </w:r>
    </w:p>
    <w:p w:rsidRPr="00672403" w:rsidR="00672403" w:rsidP="00672403" w:rsidRDefault="00672403" w14:paraId="4B4280E5" w14:textId="27585AF7">
      <w:pPr>
        <w:pStyle w:val="00Body"/>
        <w:jc w:val="both"/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</w:pP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COFOG: Předškolní </w:t>
      </w:r>
      <w:r w:rsidRPr="00672403" w:rsidR="00C74601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a</w:t>
      </w:r>
      <w:r w:rsidR="00C74601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 </w:t>
      </w: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primární vzdělávání,</w:t>
      </w:r>
      <w:r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 </w:t>
      </w: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Vedlejší služby pro vzdělávání</w:t>
      </w:r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br/>
      </w:r>
      <w:proofErr w:type="spellStart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Flagships</w:t>
      </w:r>
      <w:proofErr w:type="spellEnd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: </w:t>
      </w:r>
      <w:proofErr w:type="spellStart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Reskill</w:t>
      </w:r>
      <w:proofErr w:type="spellEnd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 xml:space="preserve"> and </w:t>
      </w:r>
      <w:proofErr w:type="spellStart"/>
      <w:r w:rsidRPr="00672403">
        <w:rPr>
          <w:rFonts w:ascii="Times New Roman" w:hAnsi="Times New Roman" w:eastAsia="Calibri"/>
          <w:i/>
          <w:color w:val="808080" w:themeColor="background1" w:themeShade="80"/>
          <w:sz w:val="24"/>
          <w:szCs w:val="24"/>
          <w:lang w:val="cs-CZ"/>
        </w:rPr>
        <w:t>upskill</w:t>
      </w:r>
      <w:proofErr w:type="spellEnd"/>
    </w:p>
    <w:p w:rsidRPr="00CA65C3" w:rsidR="00EF374D" w:rsidP="3A830DEE" w:rsidRDefault="4B0E6BBE" w14:paraId="0D7F3CC7" w14:textId="19EAFC20">
      <w:pPr>
        <w:pStyle w:val="00Body"/>
        <w:jc w:val="both"/>
        <w:rPr>
          <w:rFonts w:ascii="Times New Roman" w:hAnsi="Times New Roman" w:eastAsia="Calibri"/>
          <w:color w:val="000000" w:themeColor="text1"/>
          <w:sz w:val="23"/>
          <w:szCs w:val="23"/>
          <w:lang w:val="cs-CZ"/>
        </w:rPr>
      </w:pP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Strategie 2030+ zároveň poukazuje na to, že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s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dynamickým rozvojem digitálních technologií je nutné věnovat se prevenci tzv. digitální propasti (</w:t>
      </w:r>
      <w:proofErr w:type="spellStart"/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digital</w:t>
      </w:r>
      <w:proofErr w:type="spellEnd"/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 gap/</w:t>
      </w:r>
      <w:proofErr w:type="spellStart"/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divide</w:t>
      </w:r>
      <w:proofErr w:type="spellEnd"/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). Pokud žák nemá dostatečné digitální kompetence, přístup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k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digitálním technologiím nebo připojení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k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internetu, hrozí mu tzv. digitální vyloučení. Úkolem vzdělávacího systému je minimalizovat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předcházet tzv. digitální propasti mezi žáky bez ohledu na jejich socioekonomické, zdravotní či jiné znevýhodnění,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to pomocí podpory nediskriminačního přístupu ke kvalitnímu vzdělávání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vytvořením podmínek vedoucích ke zvyšování jejich digitálních kompetencí ve škole,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to nejen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v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rámci výuky (například školní kluby, přístupné technologie žákům atd.). Pokud budou digitální technologie dostupné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budou ve vzdělávání na všech školách využívány vhodným způsobem, mohou ke snižování vzdělávacích nerovností významně přispívat.</w:t>
      </w:r>
    </w:p>
    <w:p w:rsidRPr="00CA65C3" w:rsidR="00EF374D" w:rsidP="3A830DEE" w:rsidRDefault="4B0E6BBE" w14:paraId="5DC8C055" w14:textId="2B037D50">
      <w:pPr>
        <w:pStyle w:val="00Body"/>
        <w:jc w:val="both"/>
        <w:rPr>
          <w:rFonts w:ascii="Times New Roman" w:hAnsi="Times New Roman" w:eastAsia="Calibri"/>
          <w:color w:val="000000" w:themeColor="text1"/>
          <w:sz w:val="23"/>
          <w:szCs w:val="23"/>
          <w:lang w:val="cs-CZ"/>
        </w:rPr>
      </w:pP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Cílem reformy je zajistit</w:t>
      </w:r>
      <w:r w:rsidRPr="3A830DEE" w:rsidR="4B0E6BBE">
        <w:rPr>
          <w:rFonts w:ascii="Times New Roman" w:hAnsi="Times New Roman"/>
          <w:sz w:val="23"/>
          <w:szCs w:val="23"/>
          <w:lang w:val="cs-CZ"/>
        </w:rPr>
        <w:t>, aby bylo digitální vybavení dostupné všem žákům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,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tak předejít digitálnímu vyloučení. Zároveň dojde ke zlepšení vybavení základními digitálními technologiemi základních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a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 xml:space="preserve">středních škol. Školy vytvoří fond mobilních digitálních zařízení pro znevýhodněné žáky 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s</w:t>
      </w:r>
      <w:r w:rsidRPr="3A830DEE" w:rsidR="00C74601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 </w:t>
      </w:r>
      <w:r w:rsidRPr="3A830DEE" w:rsidR="4B0E6BBE">
        <w:rPr>
          <w:rFonts w:ascii="Times New Roman" w:hAnsi="Times New Roman" w:eastAsia="Calibri"/>
          <w:color w:val="000000" w:themeColor="text1" w:themeTint="FF" w:themeShade="FF"/>
          <w:sz w:val="23"/>
          <w:szCs w:val="23"/>
          <w:lang w:val="cs-CZ"/>
        </w:rPr>
        <w:t>cílem, aby všichni žáci měli k dispozici mobilní digitální zařízení pro běžnou výuku a výuku na dálku.</w:t>
      </w:r>
    </w:p>
    <w:p w:rsidRPr="00CA65C3" w:rsidR="366AC567" w:rsidP="366AC567" w:rsidRDefault="366AC567" w14:paraId="26136527" w14:textId="15C95F1A">
      <w:pPr>
        <w:pStyle w:val="Default"/>
        <w:spacing w:after="120"/>
        <w:jc w:val="both"/>
        <w:rPr>
          <w:rFonts w:eastAsia="Calibri"/>
          <w:color w:val="000000" w:themeColor="text1"/>
        </w:rPr>
      </w:pPr>
    </w:p>
    <w:p w:rsidRPr="00F451AB" w:rsidR="002E19BA" w:rsidP="00CA65C3" w:rsidRDefault="00EF374D" w14:paraId="6423CF6C" w14:textId="4353A21C">
      <w:pPr>
        <w:pStyle w:val="Default"/>
        <w:spacing w:after="120"/>
        <w:jc w:val="both"/>
        <w:rPr>
          <w:rStyle w:val="K-TextInfoChar"/>
          <w:b/>
          <w:bCs/>
          <w:i w:val="0"/>
          <w:color w:val="000000"/>
          <w:sz w:val="32"/>
        </w:rPr>
      </w:pPr>
      <w:r w:rsidRPr="00F451AB">
        <w:rPr>
          <w:rStyle w:val="K-TextChar"/>
          <w:b/>
          <w:bCs/>
          <w:sz w:val="32"/>
        </w:rPr>
        <w:t>Odhadované náklad</w:t>
      </w:r>
      <w:r w:rsidRPr="00F451AB" w:rsidR="00A87B13">
        <w:rPr>
          <w:rStyle w:val="K-TextChar"/>
          <w:b/>
          <w:bCs/>
          <w:sz w:val="32"/>
        </w:rPr>
        <w:t>y</w:t>
      </w:r>
      <w:r w:rsidRPr="00F451AB">
        <w:rPr>
          <w:rStyle w:val="K-TextChar"/>
          <w:b/>
          <w:bCs/>
          <w:sz w:val="32"/>
        </w:rPr>
        <w:t>:</w:t>
      </w:r>
      <w:r w:rsidRPr="00F451AB" w:rsidR="002C20CF">
        <w:rPr>
          <w:rStyle w:val="K-TextChar"/>
          <w:b/>
          <w:bCs/>
          <w:sz w:val="32"/>
        </w:rPr>
        <w:t xml:space="preserve"> </w:t>
      </w:r>
      <w:r w:rsidRPr="00F451AB" w:rsidR="00CA65C3">
        <w:rPr>
          <w:rStyle w:val="K-TextChar"/>
          <w:b/>
          <w:bCs/>
          <w:sz w:val="32"/>
        </w:rPr>
        <w:t>6 8</w:t>
      </w:r>
      <w:r w:rsidR="003B50D8">
        <w:rPr>
          <w:rStyle w:val="K-TextChar"/>
          <w:b/>
          <w:bCs/>
          <w:sz w:val="32"/>
        </w:rPr>
        <w:t>0</w:t>
      </w:r>
      <w:r w:rsidRPr="00F451AB" w:rsidR="00CA65C3">
        <w:rPr>
          <w:rStyle w:val="K-TextChar"/>
          <w:b/>
          <w:bCs/>
          <w:sz w:val="32"/>
        </w:rPr>
        <w:t>0 000 000 CZK</w:t>
      </w:r>
      <w:r w:rsidR="003B50D8">
        <w:rPr>
          <w:rStyle w:val="K-TextChar"/>
          <w:b/>
          <w:bCs/>
          <w:sz w:val="32"/>
        </w:rPr>
        <w:br/>
      </w:r>
      <w:r w:rsidRPr="003B50D8" w:rsidR="003B50D8">
        <w:rPr>
          <w:rStyle w:val="K-TextChar"/>
          <w:b/>
          <w:bCs/>
          <w:sz w:val="28"/>
        </w:rPr>
        <w:t>(z toho nadpožadavky 1 300 000 000 CZK)</w:t>
      </w:r>
    </w:p>
    <w:p w:rsidRPr="00CA65C3" w:rsidR="366AC567" w:rsidP="366AC567" w:rsidRDefault="366AC567" w14:paraId="6AFA2090" w14:textId="425AD025">
      <w:pPr>
        <w:pStyle w:val="Default"/>
        <w:spacing w:after="120"/>
        <w:jc w:val="both"/>
        <w:rPr>
          <w:rStyle w:val="K-TextChar"/>
          <w:b/>
          <w:bCs/>
        </w:rPr>
      </w:pPr>
    </w:p>
    <w:p w:rsidRPr="00CA65C3" w:rsidR="002C20CF" w:rsidP="002C4FCC" w:rsidRDefault="002C20CF" w14:paraId="1E505E7D" w14:textId="02D6F524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CA65C3">
        <w:rPr>
          <w:rFonts w:ascii="Times New Roman" w:hAnsi="Times New Roman" w:cs="Times New Roman"/>
          <w:sz w:val="28"/>
          <w:szCs w:val="28"/>
        </w:rPr>
        <w:t xml:space="preserve">2. </w:t>
      </w:r>
      <w:r w:rsidRPr="00CA65C3" w:rsidR="00EF374D">
        <w:rPr>
          <w:rStyle w:val="K-Nadpis2Char"/>
          <w:b/>
          <w:bCs/>
        </w:rPr>
        <w:t xml:space="preserve">Hlavní výzvy </w:t>
      </w:r>
      <w:r w:rsidRPr="00CA65C3" w:rsidR="00C74601">
        <w:rPr>
          <w:rStyle w:val="K-Nadpis2Char"/>
          <w:b/>
          <w:bCs/>
        </w:rPr>
        <w:t>a</w:t>
      </w:r>
      <w:r w:rsidR="00C74601">
        <w:rPr>
          <w:rStyle w:val="K-Nadpis2Char"/>
          <w:b/>
          <w:bCs/>
        </w:rPr>
        <w:t> </w:t>
      </w:r>
      <w:r w:rsidRPr="00CA65C3" w:rsidR="00EF374D">
        <w:rPr>
          <w:rStyle w:val="K-Nadpis2Char"/>
          <w:b/>
          <w:bCs/>
        </w:rPr>
        <w:t>cíle</w:t>
      </w:r>
    </w:p>
    <w:p w:rsidRPr="00CA65C3" w:rsidR="002C20CF" w:rsidP="3A830DEE" w:rsidRDefault="306497DC" w14:paraId="2B2A4E78" w14:textId="04F6B67D">
      <w:pPr>
        <w:spacing w:after="180" w:line="264" w:lineRule="auto"/>
        <w:jc w:val="left"/>
        <w:rPr>
          <w:rFonts w:ascii="Times New Roman" w:hAnsi="Times New Roman" w:eastAsia="Calibri" w:cs="Times New Roman"/>
          <w:sz w:val="23"/>
          <w:szCs w:val="23"/>
        </w:rPr>
      </w:pPr>
      <w:r w:rsidRPr="3A830DEE" w:rsidR="306497DC">
        <w:rPr>
          <w:rFonts w:ascii="Times New Roman" w:hAnsi="Times New Roman" w:eastAsia="Calibri" w:cs="Times New Roman"/>
          <w:sz w:val="23"/>
          <w:szCs w:val="23"/>
        </w:rPr>
        <w:t xml:space="preserve">Komponenta obsahuje iniciativy adresující nedostatečnou úroveň digitálních dovedností žáků i pedagogů. Tyto výzvy se ukázaly být palčivé především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 xml:space="preserve">průběhu </w:t>
      </w:r>
      <w:proofErr w:type="spellStart"/>
      <w:r w:rsidRPr="3A830DEE" w:rsidR="306497DC">
        <w:rPr>
          <w:rFonts w:ascii="Times New Roman" w:hAnsi="Times New Roman" w:eastAsia="Calibri" w:cs="Times New Roman"/>
          <w:sz w:val="23"/>
          <w:szCs w:val="23"/>
        </w:rPr>
        <w:t>koronavirové</w:t>
      </w:r>
      <w:proofErr w:type="spellEnd"/>
      <w:r w:rsidRPr="3A830DEE" w:rsidR="306497DC">
        <w:rPr>
          <w:rFonts w:ascii="Times New Roman" w:hAnsi="Times New Roman" w:eastAsia="Calibri" w:cs="Times New Roman"/>
          <w:sz w:val="23"/>
          <w:szCs w:val="23"/>
        </w:rPr>
        <w:t xml:space="preserve"> krize, jak ukázal</w:t>
      </w:r>
      <w:r w:rsidRPr="3A830DEE" w:rsidR="43638CB2">
        <w:rPr>
          <w:rFonts w:ascii="Times New Roman" w:hAnsi="Times New Roman" w:eastAsia="Calibri" w:cs="Times New Roman"/>
          <w:sz w:val="23"/>
          <w:szCs w:val="23"/>
        </w:rPr>
        <w:t>y</w:t>
      </w:r>
      <w:r w:rsidRPr="3A830DEE" w:rsidR="1025D31F">
        <w:rPr>
          <w:rFonts w:ascii="Times New Roman" w:hAnsi="Times New Roman" w:eastAsia="Calibri" w:cs="Times New Roman"/>
          <w:sz w:val="23"/>
          <w:szCs w:val="23"/>
        </w:rPr>
        <w:t xml:space="preserve"> Tematick</w:t>
      </w:r>
      <w:r w:rsidRPr="3A830DEE" w:rsidR="76EC1424">
        <w:rPr>
          <w:rFonts w:ascii="Times New Roman" w:hAnsi="Times New Roman" w:eastAsia="Calibri" w:cs="Times New Roman"/>
          <w:sz w:val="23"/>
          <w:szCs w:val="23"/>
        </w:rPr>
        <w:t>é</w:t>
      </w:r>
      <w:r w:rsidRPr="3A830DEE" w:rsidR="1025D31F">
        <w:rPr>
          <w:rFonts w:ascii="Times New Roman" w:hAnsi="Times New Roman" w:eastAsia="Calibri" w:cs="Times New Roman"/>
          <w:sz w:val="23"/>
          <w:szCs w:val="23"/>
        </w:rPr>
        <w:t xml:space="preserve"> zpráv</w:t>
      </w:r>
      <w:r w:rsidRPr="3A830DEE" w:rsidR="7457E7C5">
        <w:rPr>
          <w:rFonts w:ascii="Times New Roman" w:hAnsi="Times New Roman" w:eastAsia="Calibri" w:cs="Times New Roman"/>
          <w:sz w:val="23"/>
          <w:szCs w:val="23"/>
        </w:rPr>
        <w:t>y</w:t>
      </w:r>
      <w:r w:rsidRPr="3A830DEE" w:rsidR="1025D31F">
        <w:rPr>
          <w:rFonts w:ascii="Times New Roman" w:hAnsi="Times New Roman" w:eastAsia="Calibri" w:cs="Times New Roman"/>
          <w:sz w:val="23"/>
          <w:szCs w:val="23"/>
        </w:rPr>
        <w:t xml:space="preserve"> ČŠI</w:t>
      </w:r>
      <w:r w:rsidRPr="3A830DEE" w:rsidR="58FDDF6F">
        <w:rPr>
          <w:rFonts w:ascii="Times New Roman" w:hAnsi="Times New Roman" w:eastAsia="Calibri" w:cs="Times New Roman"/>
          <w:sz w:val="23"/>
          <w:szCs w:val="23"/>
        </w:rPr>
        <w:t xml:space="preserve"> (</w:t>
      </w:r>
      <w:hyperlink r:id="R547842ec462b4b5a">
        <w:r w:rsidRPr="3A830DEE" w:rsidR="58FDDF6F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http://www.csicr.cz/html/2020/TZ_Zkusenosti_zaku_ucitelu_ZS_distancni_vyuka_2_pol/html5/index.html?&amp;locale=CSY&amp;pn=15</w:t>
        </w:r>
      </w:hyperlink>
      <w:r w:rsidRPr="3A830DEE" w:rsidR="58FDDF6F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hyperlink r:id="Rf1cd6da3b7c5476b">
        <w:r w:rsidRPr="3A830DEE" w:rsidR="58FDDF6F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http://www.csicr.cz/html/2020/TZ_vzdelavani_na_dalku_ZS_SS/html5/index.html?&amp;locale=CSY</w:t>
        </w:r>
      </w:hyperlink>
      <w:r w:rsidRPr="3A830DEE" w:rsidR="58FDDF6F">
        <w:rPr>
          <w:rFonts w:ascii="Times New Roman" w:hAnsi="Times New Roman" w:eastAsia="Calibri" w:cs="Times New Roman"/>
          <w:sz w:val="23"/>
          <w:szCs w:val="23"/>
        </w:rPr>
        <w:t>)</w:t>
      </w:r>
      <w:r w:rsidRPr="3A830DEE" w:rsidR="1025D31F">
        <w:rPr>
          <w:rFonts w:ascii="Times New Roman" w:hAnsi="Times New Roman" w:eastAsia="Calibri" w:cs="Times New Roman"/>
          <w:sz w:val="23"/>
          <w:szCs w:val="23"/>
        </w:rPr>
        <w:t xml:space="preserve">. </w:t>
      </w:r>
      <w:r w:rsidRPr="3A830DEE" w:rsidR="52DED6EE">
        <w:rPr>
          <w:rFonts w:ascii="Times New Roman" w:hAnsi="Times New Roman" w:eastAsia="Calibri" w:cs="Times New Roman"/>
          <w:sz w:val="23"/>
          <w:szCs w:val="23"/>
        </w:rPr>
        <w:t xml:space="preserve"> Dle výše uvedených zpráv </w:t>
      </w:r>
      <w:r w:rsidRPr="3A830DEE" w:rsidR="7B2AFAAC">
        <w:rPr>
          <w:rFonts w:ascii="Times New Roman" w:hAnsi="Times New Roman" w:eastAsia="Calibri" w:cs="Times New Roman"/>
          <w:sz w:val="23"/>
          <w:szCs w:val="23"/>
        </w:rPr>
        <w:t>zůstalo</w:t>
      </w:r>
      <w:r w:rsidRPr="3A830DEE" w:rsidR="52DED6EE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D565995">
        <w:rPr>
          <w:rFonts w:ascii="Times New Roman" w:hAnsi="Times New Roman" w:eastAsia="Calibri" w:cs="Times New Roman"/>
          <w:sz w:val="23"/>
          <w:szCs w:val="23"/>
        </w:rPr>
        <w:t xml:space="preserve">průběhu uzavření škol na jaře 2020 až 10 000 dětí </w:t>
      </w:r>
      <w:r w:rsidRPr="3A830DEE" w:rsidR="0D8F3D0E">
        <w:rPr>
          <w:rFonts w:ascii="Times New Roman" w:hAnsi="Times New Roman" w:eastAsia="Calibri" w:cs="Times New Roman"/>
          <w:sz w:val="23"/>
          <w:szCs w:val="23"/>
        </w:rPr>
        <w:t xml:space="preserve">mimo výuku. Lze přepokládat, že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D8F3D0E">
        <w:rPr>
          <w:rFonts w:ascii="Times New Roman" w:hAnsi="Times New Roman" w:eastAsia="Calibri" w:cs="Times New Roman"/>
          <w:sz w:val="23"/>
          <w:szCs w:val="23"/>
        </w:rPr>
        <w:t xml:space="preserve">vývojem digitálních technologií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D8F3D0E">
        <w:rPr>
          <w:rFonts w:ascii="Times New Roman" w:hAnsi="Times New Roman" w:eastAsia="Calibri" w:cs="Times New Roman"/>
          <w:sz w:val="23"/>
          <w:szCs w:val="23"/>
        </w:rPr>
        <w:t>jejich většího zapojení do výuky bude tzv. d</w:t>
      </w:r>
      <w:r w:rsidRPr="3A830DEE" w:rsidR="0D565995">
        <w:rPr>
          <w:rFonts w:ascii="Times New Roman" w:hAnsi="Times New Roman" w:eastAsia="Calibri" w:cs="Times New Roman"/>
          <w:sz w:val="23"/>
          <w:szCs w:val="23"/>
        </w:rPr>
        <w:t>igitální propast (</w:t>
      </w:r>
      <w:proofErr w:type="spellStart"/>
      <w:r w:rsidRPr="3A830DEE" w:rsidR="0D565995">
        <w:rPr>
          <w:rFonts w:ascii="Times New Roman" w:hAnsi="Times New Roman" w:eastAsia="Calibri" w:cs="Times New Roman"/>
          <w:sz w:val="23"/>
          <w:szCs w:val="23"/>
        </w:rPr>
        <w:t>digital</w:t>
      </w:r>
      <w:proofErr w:type="spellEnd"/>
      <w:r w:rsidRPr="3A830DEE" w:rsidR="0D565995">
        <w:rPr>
          <w:rFonts w:ascii="Times New Roman" w:hAnsi="Times New Roman" w:eastAsia="Calibri" w:cs="Times New Roman"/>
          <w:sz w:val="23"/>
          <w:szCs w:val="23"/>
        </w:rPr>
        <w:t xml:space="preserve"> gap/</w:t>
      </w:r>
      <w:proofErr w:type="spellStart"/>
      <w:r w:rsidRPr="3A830DEE" w:rsidR="0D565995">
        <w:rPr>
          <w:rFonts w:ascii="Times New Roman" w:hAnsi="Times New Roman" w:eastAsia="Calibri" w:cs="Times New Roman"/>
          <w:sz w:val="23"/>
          <w:szCs w:val="23"/>
        </w:rPr>
        <w:t>divide</w:t>
      </w:r>
      <w:proofErr w:type="spellEnd"/>
      <w:r w:rsidRPr="3A830DEE" w:rsidR="0D565995">
        <w:rPr>
          <w:rFonts w:ascii="Times New Roman" w:hAnsi="Times New Roman" w:eastAsia="Calibri" w:cs="Times New Roman"/>
          <w:sz w:val="23"/>
          <w:szCs w:val="23"/>
        </w:rPr>
        <w:t>)</w:t>
      </w:r>
      <w:r w:rsidRPr="3A830DEE" w:rsidR="1A23865D">
        <w:rPr>
          <w:rFonts w:ascii="Times New Roman" w:hAnsi="Times New Roman" w:eastAsia="Calibri" w:cs="Times New Roman"/>
          <w:sz w:val="23"/>
          <w:szCs w:val="23"/>
        </w:rPr>
        <w:t xml:space="preserve"> stále větší problém nejen českého vzdělávacího systému. Komponenta proto adresuje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1A23865D">
        <w:rPr>
          <w:rFonts w:ascii="Times New Roman" w:hAnsi="Times New Roman" w:eastAsia="Calibri" w:cs="Times New Roman"/>
          <w:sz w:val="23"/>
          <w:szCs w:val="23"/>
        </w:rPr>
        <w:t xml:space="preserve">tuto výzvu. </w:t>
      </w:r>
    </w:p>
    <w:p w:rsidRPr="00CA65C3" w:rsidR="002C20CF" w:rsidP="3A830DEE" w:rsidRDefault="00C74601" w14:paraId="69567F37" w14:textId="396FAC85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 xml:space="preserve">souladu se Strategií vzdělávací politiky do roku 2030+ se </w:t>
      </w:r>
      <w:r w:rsidRPr="3A830DEE" w:rsidR="3796AC05">
        <w:rPr>
          <w:rFonts w:ascii="Times New Roman" w:hAnsi="Times New Roman" w:eastAsia="Calibri" w:cs="Times New Roman"/>
          <w:sz w:val="23"/>
          <w:szCs w:val="23"/>
        </w:rPr>
        <w:t xml:space="preserve">komponenta 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 xml:space="preserve">soustředí na proměnu obsahu, podporu digitální a informační gramotnosti a informatického myšlení. Dále na zlepšení 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>úrovně vybavení škol a založení fondu mobilních digitálních zařízení, čímž přispěje k prevenci tzv. digitální propasti</w:t>
      </w:r>
      <w:r w:rsidRPr="3A830DEE" w:rsidR="2ADCCA1C">
        <w:rPr>
          <w:rFonts w:ascii="Times New Roman" w:hAnsi="Times New Roman" w:eastAsia="Calibri" w:cs="Times New Roman"/>
          <w:sz w:val="23"/>
          <w:szCs w:val="23"/>
        </w:rPr>
        <w:t xml:space="preserve"> (viz výše)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>.  V neposlední řadě cílí na podporu digitálních kompetencí pedagogů jako nutný předpoklad pro inovaci výuky a získání potřebných dovedností žáky.</w:t>
      </w:r>
    </w:p>
    <w:p w:rsidRPr="00CA65C3" w:rsidR="002C20CF" w:rsidP="3A830DEE" w:rsidRDefault="1D437324" w14:paraId="6EA39610" w14:textId="4B171F1C">
      <w:pPr>
        <w:pStyle w:val="Default"/>
        <w:spacing w:after="120"/>
        <w:jc w:val="both"/>
        <w:rPr>
          <w:rStyle w:val="K-TextChar"/>
          <w:b w:val="1"/>
          <w:bCs w:val="1"/>
          <w:sz w:val="23"/>
          <w:szCs w:val="23"/>
        </w:rPr>
      </w:pPr>
      <w:r w:rsidRPr="3A830DEE" w:rsidR="1D437324">
        <w:rPr>
          <w:rStyle w:val="K-TextChar"/>
          <w:b w:val="1"/>
          <w:bCs w:val="1"/>
          <w:sz w:val="23"/>
          <w:szCs w:val="23"/>
        </w:rPr>
        <w:t xml:space="preserve">Globálním cílem komponenty je přispět </w:t>
      </w:r>
      <w:r w:rsidRPr="3A830DEE" w:rsidR="00C74601">
        <w:rPr>
          <w:rStyle w:val="K-TextChar"/>
          <w:b w:val="1"/>
          <w:bCs w:val="1"/>
          <w:sz w:val="23"/>
          <w:szCs w:val="23"/>
        </w:rPr>
        <w:t>k</w:t>
      </w:r>
      <w:r w:rsidRPr="3A830DEE" w:rsidR="00C74601">
        <w:rPr>
          <w:rStyle w:val="K-TextChar"/>
          <w:b w:val="1"/>
          <w:bCs w:val="1"/>
          <w:sz w:val="23"/>
          <w:szCs w:val="23"/>
        </w:rPr>
        <w:t> </w:t>
      </w:r>
      <w:r w:rsidRPr="3A830DEE" w:rsidR="1D437324">
        <w:rPr>
          <w:rStyle w:val="K-TextChar"/>
          <w:b w:val="1"/>
          <w:bCs w:val="1"/>
          <w:sz w:val="23"/>
          <w:szCs w:val="23"/>
        </w:rPr>
        <w:t xml:space="preserve">rozvoji digitálního vzdělávání </w:t>
      </w:r>
      <w:r w:rsidRPr="3A830DEE" w:rsidR="00C74601">
        <w:rPr>
          <w:rStyle w:val="K-TextChar"/>
          <w:b w:val="1"/>
          <w:bCs w:val="1"/>
          <w:sz w:val="23"/>
          <w:szCs w:val="23"/>
        </w:rPr>
        <w:t>v</w:t>
      </w:r>
      <w:r w:rsidRPr="3A830DEE" w:rsidR="00C74601">
        <w:rPr>
          <w:rStyle w:val="K-TextChar"/>
          <w:b w:val="1"/>
          <w:bCs w:val="1"/>
          <w:sz w:val="23"/>
          <w:szCs w:val="23"/>
        </w:rPr>
        <w:t> </w:t>
      </w:r>
      <w:r w:rsidRPr="3A830DEE" w:rsidR="1D437324">
        <w:rPr>
          <w:rStyle w:val="K-TextChar"/>
          <w:b w:val="1"/>
          <w:bCs w:val="1"/>
          <w:sz w:val="23"/>
          <w:szCs w:val="23"/>
        </w:rPr>
        <w:t xml:space="preserve">souladu </w:t>
      </w:r>
      <w:r w:rsidRPr="3A830DEE" w:rsidR="00C74601">
        <w:rPr>
          <w:rStyle w:val="K-TextChar"/>
          <w:b w:val="1"/>
          <w:bCs w:val="1"/>
          <w:sz w:val="23"/>
          <w:szCs w:val="23"/>
        </w:rPr>
        <w:t>s</w:t>
      </w:r>
      <w:r w:rsidRPr="3A830DEE" w:rsidR="00C74601">
        <w:rPr>
          <w:rStyle w:val="K-TextChar"/>
          <w:b w:val="1"/>
          <w:bCs w:val="1"/>
          <w:sz w:val="23"/>
          <w:szCs w:val="23"/>
        </w:rPr>
        <w:t> </w:t>
      </w:r>
      <w:r w:rsidRPr="3A830DEE" w:rsidR="1D437324">
        <w:rPr>
          <w:rStyle w:val="K-TextChar"/>
          <w:b w:val="1"/>
          <w:bCs w:val="1"/>
          <w:sz w:val="23"/>
          <w:szCs w:val="23"/>
        </w:rPr>
        <w:t xml:space="preserve">vizí Strategie vzdělávací politiky 2030+ </w:t>
      </w:r>
      <w:r w:rsidRPr="3A830DEE" w:rsidR="00C74601">
        <w:rPr>
          <w:rStyle w:val="K-TextChar"/>
          <w:b w:val="1"/>
          <w:bCs w:val="1"/>
          <w:sz w:val="23"/>
          <w:szCs w:val="23"/>
        </w:rPr>
        <w:t>a</w:t>
      </w:r>
      <w:r w:rsidRPr="3A830DEE" w:rsidR="00C74601">
        <w:rPr>
          <w:rStyle w:val="K-TextChar"/>
          <w:b w:val="1"/>
          <w:bCs w:val="1"/>
          <w:sz w:val="23"/>
          <w:szCs w:val="23"/>
        </w:rPr>
        <w:t> </w:t>
      </w:r>
      <w:r w:rsidRPr="3A830DEE" w:rsidR="1D437324">
        <w:rPr>
          <w:rStyle w:val="K-TextChar"/>
          <w:b w:val="1"/>
          <w:bCs w:val="1"/>
          <w:sz w:val="23"/>
          <w:szCs w:val="23"/>
        </w:rPr>
        <w:t>Akčním plánem pro digitální vzdělávání (DEAP).</w:t>
      </w:r>
    </w:p>
    <w:p w:rsidRPr="00CA65C3" w:rsidR="002C20CF" w:rsidP="3A830DEE" w:rsidRDefault="1D437324" w14:paraId="56AAEC33" w14:textId="725068F5">
      <w:pPr>
        <w:pStyle w:val="Default"/>
        <w:spacing w:after="120"/>
        <w:jc w:val="both"/>
        <w:rPr>
          <w:rStyle w:val="K-TextChar"/>
          <w:b w:val="1"/>
          <w:bCs w:val="1"/>
          <w:sz w:val="23"/>
          <w:szCs w:val="23"/>
        </w:rPr>
      </w:pPr>
      <w:r w:rsidRPr="3A830DEE" w:rsidR="1D437324">
        <w:rPr>
          <w:rStyle w:val="K-TextChar"/>
          <w:b w:val="1"/>
          <w:bCs w:val="1"/>
          <w:sz w:val="23"/>
          <w:szCs w:val="23"/>
        </w:rPr>
        <w:t>Mezi konkrétní cíle komponenty patří</w:t>
      </w:r>
      <w:r w:rsidRPr="3A830DEE" w:rsidR="306497DC">
        <w:rPr>
          <w:rStyle w:val="K-TextChar"/>
          <w:b w:val="1"/>
          <w:bCs w:val="1"/>
          <w:sz w:val="23"/>
          <w:szCs w:val="23"/>
        </w:rPr>
        <w:t xml:space="preserve"> následující:</w:t>
      </w:r>
    </w:p>
    <w:p w:rsidRPr="00CA65C3" w:rsidR="002C20CF" w:rsidP="3A830DEE" w:rsidRDefault="74AB5BF8" w14:paraId="019BA879" w14:textId="0D1A145F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74AB5BF8">
        <w:rPr>
          <w:rFonts w:ascii="Times New Roman" w:hAnsi="Times New Roman" w:eastAsia="Calibri" w:cs="Times New Roman"/>
          <w:sz w:val="23"/>
          <w:szCs w:val="23"/>
        </w:rPr>
        <w:t xml:space="preserve">1) 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>Vzdělávací systém rozvíjí kompetence žáků potřebné pro občanský, osobní a pracovní život</w:t>
      </w:r>
    </w:p>
    <w:p w:rsidRPr="00CA65C3" w:rsidR="002C20CF" w:rsidP="3A830DEE" w:rsidRDefault="762DE356" w14:paraId="5AEF0108" w14:textId="01F48F0F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762DE356">
        <w:rPr>
          <w:rFonts w:ascii="Times New Roman" w:hAnsi="Times New Roman" w:eastAsia="Calibri" w:cs="Times New Roman"/>
          <w:sz w:val="23"/>
          <w:szCs w:val="23"/>
        </w:rPr>
        <w:t xml:space="preserve">2) 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>Školy budou připraveny na vzdělávání na dálku a budou poskytovat potřebnou podporu žákům, pedagogům a rodičů</w:t>
      </w:r>
    </w:p>
    <w:p w:rsidRPr="00CA65C3" w:rsidR="002C20CF" w:rsidP="3A830DEE" w:rsidRDefault="598D259B" w14:paraId="1A15A8F8" w14:textId="1225D0CC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598D259B">
        <w:rPr>
          <w:rFonts w:ascii="Times New Roman" w:hAnsi="Times New Roman" w:eastAsia="Calibri" w:cs="Times New Roman"/>
          <w:sz w:val="23"/>
          <w:szCs w:val="23"/>
        </w:rPr>
        <w:t xml:space="preserve">3) 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 xml:space="preserve">Vzdělávací systém vybaví každého žáka základními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>pokročilými digitálními kompetencemi, které žáci zodpovědně, samostatně a vhodným způsobem používají v kontextu vzdělávání, práce či zábavy</w:t>
      </w:r>
    </w:p>
    <w:p w:rsidRPr="00CA65C3" w:rsidR="002C20CF" w:rsidP="3A830DEE" w:rsidRDefault="5B69F109" w14:paraId="7FBB441C" w14:textId="0E9A737D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5B69F109">
        <w:rPr>
          <w:rFonts w:ascii="Times New Roman" w:hAnsi="Times New Roman" w:eastAsia="Calibri" w:cs="Times New Roman"/>
          <w:sz w:val="23"/>
          <w:szCs w:val="23"/>
        </w:rPr>
        <w:t xml:space="preserve">4) </w:t>
      </w:r>
      <w:r w:rsidRPr="3A830DEE" w:rsidR="306497DC">
        <w:rPr>
          <w:rFonts w:ascii="Times New Roman" w:hAnsi="Times New Roman" w:eastAsia="Calibri" w:cs="Times New Roman"/>
          <w:sz w:val="23"/>
          <w:szCs w:val="23"/>
        </w:rPr>
        <w:t>Žáci mají k dispozici mobilní digitální zařízení pro běžnou výuku a pro vzdělávání na dálku</w:t>
      </w:r>
    </w:p>
    <w:p w:rsidRPr="00CA65C3" w:rsidR="000F404E" w:rsidP="00CE0581" w:rsidRDefault="000F404E" w14:paraId="034D4935" w14:textId="77777777">
      <w:pPr>
        <w:pStyle w:val="Default"/>
        <w:spacing w:after="120"/>
        <w:jc w:val="both"/>
        <w:rPr>
          <w:rStyle w:val="K-Nadpis3Char"/>
        </w:rPr>
      </w:pPr>
    </w:p>
    <w:p w:rsidRPr="00CA65C3" w:rsidR="002C20CF" w:rsidP="00CE0581" w:rsidRDefault="002C20CF" w14:paraId="4357DEF3" w14:textId="2708450A">
      <w:pPr>
        <w:pStyle w:val="Default"/>
        <w:spacing w:after="120"/>
        <w:jc w:val="both"/>
        <w:rPr>
          <w:b/>
        </w:rPr>
      </w:pPr>
      <w:r w:rsidRPr="00CA65C3">
        <w:rPr>
          <w:rStyle w:val="K-Nadpis3Char"/>
        </w:rPr>
        <w:t xml:space="preserve">a) </w:t>
      </w:r>
      <w:r w:rsidRPr="00CA65C3" w:rsidR="00EF374D">
        <w:rPr>
          <w:rStyle w:val="K-Nadpis3Char"/>
        </w:rPr>
        <w:t>Hlavní výzvy</w:t>
      </w:r>
    </w:p>
    <w:p w:rsidRPr="00CA65C3" w:rsidR="128A1B86" w:rsidP="366AC567" w:rsidRDefault="128A1B86" w14:paraId="0EAC9B29" w14:textId="5E0851D3">
      <w:pPr>
        <w:spacing w:after="180" w:line="264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CA65C3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1) </w:t>
      </w:r>
      <w:r w:rsidRPr="00CA65C3" w:rsidR="2054C97C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Nízká úroveň </w:t>
      </w:r>
      <w:r w:rsidRPr="00CA65C3" w:rsidR="07E37753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smysluplného </w:t>
      </w:r>
      <w:r w:rsidRPr="00CA65C3" w:rsidR="2054C97C">
        <w:rPr>
          <w:rFonts w:ascii="Times New Roman" w:hAnsi="Times New Roman" w:eastAsia="Calibri" w:cs="Times New Roman"/>
          <w:b/>
          <w:bCs/>
          <w:sz w:val="24"/>
          <w:szCs w:val="24"/>
        </w:rPr>
        <w:t>zapojení digitálních technologií do výuky</w:t>
      </w:r>
      <w:r w:rsidRPr="00CA65C3" w:rsidR="252B38FA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</w:p>
    <w:p w:rsidRPr="00CA65C3" w:rsidR="7406D5DC" w:rsidP="3A830DEE" w:rsidRDefault="7406D5DC" w14:paraId="5DE4F879" w14:textId="07701E28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7406D5DC">
        <w:rPr>
          <w:rFonts w:ascii="Times New Roman" w:hAnsi="Times New Roman" w:eastAsia="Calibri" w:cs="Times New Roman"/>
          <w:sz w:val="23"/>
          <w:szCs w:val="23"/>
        </w:rPr>
        <w:t xml:space="preserve">Dle </w:t>
      </w:r>
      <w:r w:rsidRPr="3A830DEE" w:rsidR="00AE59A5">
        <w:rPr>
          <w:rFonts w:ascii="Times New Roman" w:hAnsi="Times New Roman" w:eastAsia="Calibri" w:cs="Times New Roman"/>
          <w:sz w:val="23"/>
          <w:szCs w:val="23"/>
        </w:rPr>
        <w:t>d</w:t>
      </w:r>
      <w:r w:rsidRPr="3A830DEE" w:rsidR="7406D5DC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AE59A5">
        <w:rPr>
          <w:rFonts w:ascii="Times New Roman" w:hAnsi="Times New Roman" w:eastAsia="Calibri" w:cs="Times New Roman"/>
          <w:sz w:val="23"/>
          <w:szCs w:val="23"/>
        </w:rPr>
        <w:t>t</w:t>
      </w:r>
      <w:r w:rsidRPr="3A830DEE" w:rsidR="7406D5DC">
        <w:rPr>
          <w:rFonts w:ascii="Times New Roman" w:hAnsi="Times New Roman" w:eastAsia="Calibri" w:cs="Times New Roman"/>
          <w:sz w:val="23"/>
          <w:szCs w:val="23"/>
        </w:rPr>
        <w:t xml:space="preserve"> z šetření TALIS (2018)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406D5DC">
        <w:rPr>
          <w:rFonts w:ascii="Times New Roman" w:hAnsi="Times New Roman" w:eastAsia="Calibri" w:cs="Times New Roman"/>
          <w:sz w:val="23"/>
          <w:szCs w:val="23"/>
        </w:rPr>
        <w:t>hodinách necelých 40 % učitelů často využívají ICT</w:t>
      </w:r>
      <w:r w:rsidRPr="3A830DEE" w:rsidR="066A1D67">
        <w:rPr>
          <w:rFonts w:ascii="Times New Roman" w:hAnsi="Times New Roman" w:eastAsia="Calibri" w:cs="Times New Roman"/>
          <w:sz w:val="23"/>
          <w:szCs w:val="23"/>
        </w:rPr>
        <w:t xml:space="preserve">. </w:t>
      </w:r>
    </w:p>
    <w:p w:rsidRPr="00CA65C3" w:rsidR="6BEB3DC1" w:rsidP="3A830DEE" w:rsidRDefault="6BEB3DC1" w14:paraId="7435D66A" w14:textId="394375E0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6BEB3DC1">
        <w:rPr>
          <w:rFonts w:ascii="Times New Roman" w:hAnsi="Times New Roman" w:eastAsia="Calibri" w:cs="Times New Roman"/>
          <w:sz w:val="23"/>
          <w:szCs w:val="23"/>
        </w:rPr>
        <w:t>Dále dle zprávy Národního kontrolního úřadu (</w:t>
      </w:r>
      <w:r w:rsidRPr="3A830DEE" w:rsidR="30E14FDF">
        <w:rPr>
          <w:rFonts w:ascii="Times New Roman" w:hAnsi="Times New Roman" w:eastAsia="Calibri" w:cs="Times New Roman"/>
          <w:sz w:val="23"/>
          <w:szCs w:val="23"/>
        </w:rPr>
        <w:t xml:space="preserve">viz </w:t>
      </w:r>
      <w:hyperlink r:id="R1a792ddf3b2d43a6">
        <w:r w:rsidRPr="3A830DEE" w:rsidR="30E14FDF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 xml:space="preserve">Datová příloha ke kontrolnímu závěru 18/18 – Podpora rozvoje digitalizace vzdělávání </w:t>
        </w:r>
        <w:r w:rsidRPr="3A830DEE" w:rsidR="00C74601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v</w:t>
        </w:r>
        <w:r w:rsidRPr="3A830DEE" w:rsidR="00C74601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 </w:t>
        </w:r>
        <w:r w:rsidRPr="3A830DEE" w:rsidR="30E14FDF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České republice</w:t>
        </w:r>
      </w:hyperlink>
      <w:r w:rsidRPr="3A830DEE" w:rsidR="6BEB3DC1">
        <w:rPr>
          <w:rFonts w:ascii="Times New Roman" w:hAnsi="Times New Roman" w:eastAsia="Calibri" w:cs="Times New Roman"/>
          <w:sz w:val="23"/>
          <w:szCs w:val="23"/>
        </w:rPr>
        <w:t>, 2018)</w:t>
      </w:r>
      <w:r w:rsidRPr="3A830DEE" w:rsidR="4E984369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E984369">
        <w:rPr>
          <w:rFonts w:ascii="Times New Roman" w:hAnsi="Times New Roman" w:eastAsia="Calibri" w:cs="Times New Roman"/>
          <w:sz w:val="23"/>
          <w:szCs w:val="23"/>
        </w:rPr>
        <w:t>cca 15</w:t>
      </w:r>
      <w:r w:rsidRPr="3A830DEE" w:rsidR="6FAE28FD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4E984369">
        <w:rPr>
          <w:rFonts w:ascii="Times New Roman" w:hAnsi="Times New Roman" w:eastAsia="Calibri" w:cs="Times New Roman"/>
          <w:sz w:val="23"/>
          <w:szCs w:val="23"/>
        </w:rPr>
        <w:t xml:space="preserve">% škol </w:t>
      </w:r>
      <w:proofErr w:type="gramStart"/>
      <w:r w:rsidRPr="3A830DEE" w:rsidR="4E984369">
        <w:rPr>
          <w:rFonts w:ascii="Times New Roman" w:hAnsi="Times New Roman" w:eastAsia="Calibri" w:cs="Times New Roman"/>
          <w:sz w:val="23"/>
          <w:szCs w:val="23"/>
        </w:rPr>
        <w:t>méně</w:t>
      </w:r>
      <w:proofErr w:type="gramEnd"/>
      <w:r w:rsidRPr="3A830DEE" w:rsidR="4E984369">
        <w:rPr>
          <w:rFonts w:ascii="Times New Roman" w:hAnsi="Times New Roman" w:eastAsia="Calibri" w:cs="Times New Roman"/>
          <w:sz w:val="23"/>
          <w:szCs w:val="23"/>
        </w:rPr>
        <w:t xml:space="preserve"> než polovina učitelů zapojuje ICT přímo do výuky. </w:t>
      </w:r>
    </w:p>
    <w:p w:rsidRPr="00CA65C3" w:rsidR="365C1BD5" w:rsidP="3A830DEE" w:rsidRDefault="365C1BD5" w14:paraId="285E4A74" w14:textId="54E2C9D7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365C1BD5">
        <w:rPr>
          <w:rFonts w:ascii="Times New Roman" w:hAnsi="Times New Roman" w:eastAsia="Calibri" w:cs="Times New Roman"/>
          <w:sz w:val="23"/>
          <w:szCs w:val="23"/>
        </w:rPr>
        <w:t xml:space="preserve">Zároveň je nutné zmínit, že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65C1BD5">
        <w:rPr>
          <w:rFonts w:ascii="Times New Roman" w:hAnsi="Times New Roman" w:eastAsia="Calibri" w:cs="Times New Roman"/>
          <w:sz w:val="23"/>
          <w:szCs w:val="23"/>
        </w:rPr>
        <w:t xml:space="preserve">používání digitálních technologií ve výuce </w:t>
      </w:r>
      <w:r w:rsidRPr="3A830DEE" w:rsidR="0149FBAD">
        <w:rPr>
          <w:rFonts w:ascii="Times New Roman" w:hAnsi="Times New Roman" w:eastAsia="Calibri" w:cs="Times New Roman"/>
          <w:sz w:val="23"/>
          <w:szCs w:val="23"/>
        </w:rPr>
        <w:t xml:space="preserve">existují velké rozdíly napříč kraji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149FBAD">
        <w:rPr>
          <w:rFonts w:ascii="Times New Roman" w:hAnsi="Times New Roman" w:eastAsia="Calibri" w:cs="Times New Roman"/>
          <w:sz w:val="23"/>
          <w:szCs w:val="23"/>
        </w:rPr>
        <w:t xml:space="preserve">ČR (viz studie </w:t>
      </w:r>
      <w:hyperlink r:id="Rdcd05bf014144851">
        <w:r w:rsidRPr="3A830DEE" w:rsidR="0149FBAD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 xml:space="preserve">IDEA: </w:t>
        </w:r>
        <w:r w:rsidRPr="3A830DEE" w:rsidR="0048C7C7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 xml:space="preserve">Pandemie covid-19 </w:t>
        </w:r>
        <w:r w:rsidRPr="3A830DEE" w:rsidR="00C74601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a</w:t>
        </w:r>
        <w:r w:rsidRPr="3A830DEE" w:rsidR="00C74601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 </w:t>
        </w:r>
        <w:r w:rsidRPr="3A830DEE" w:rsidR="0048C7C7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sociálně-ekonomické nerovnosti ve vzdělávání</w:t>
        </w:r>
        <w:r w:rsidRPr="3A830DEE" w:rsidR="0149FBAD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,</w:t>
        </w:r>
      </w:hyperlink>
      <w:r w:rsidRPr="3A830DEE" w:rsidR="0149FBAD">
        <w:rPr>
          <w:rFonts w:ascii="Times New Roman" w:hAnsi="Times New Roman" w:eastAsia="Calibri" w:cs="Times New Roman"/>
          <w:sz w:val="23"/>
          <w:szCs w:val="23"/>
        </w:rPr>
        <w:t xml:space="preserve"> 2020)</w:t>
      </w:r>
      <w:r w:rsidRPr="3A830DEE" w:rsidR="58C475CD">
        <w:rPr>
          <w:rFonts w:ascii="Times New Roman" w:hAnsi="Times New Roman" w:eastAsia="Calibri" w:cs="Times New Roman"/>
          <w:sz w:val="23"/>
          <w:szCs w:val="23"/>
        </w:rPr>
        <w:t xml:space="preserve">. </w:t>
      </w:r>
    </w:p>
    <w:p w:rsidRPr="00CA65C3" w:rsidR="2C0E44A2" w:rsidP="3A830DEE" w:rsidRDefault="2C0E44A2" w14:paraId="01EFB469" w14:textId="17655CBC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2C0E44A2">
        <w:rPr>
          <w:rFonts w:ascii="Times New Roman" w:hAnsi="Times New Roman" w:eastAsia="Calibri" w:cs="Times New Roman"/>
          <w:sz w:val="23"/>
          <w:szCs w:val="23"/>
        </w:rPr>
        <w:t xml:space="preserve">Dle Výzkumu </w:t>
      </w:r>
      <w:hyperlink r:id="R238f9598afd247ca">
        <w:r w:rsidRPr="3A830DEE" w:rsidR="2C0E44A2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>PedF</w:t>
        </w:r>
        <w:r w:rsidRPr="3A830DEE" w:rsidR="2C0E44A2">
          <w:rPr>
            <w:rStyle w:val="Hypertextovodkaz"/>
            <w:rFonts w:ascii="Times New Roman" w:hAnsi="Times New Roman" w:eastAsia="Calibri" w:cs="Times New Roman"/>
            <w:sz w:val="23"/>
            <w:szCs w:val="23"/>
          </w:rPr>
          <w:t xml:space="preserve"> UPOL: </w:t>
        </w:r>
        <w:r w:rsidRPr="3A830DEE" w:rsidR="2C0E44A2">
          <w:rPr>
            <w:rStyle w:val="Hypertextovodkaz"/>
            <w:rFonts w:ascii="Times New Roman" w:hAnsi="Times New Roman" w:eastAsia="Calibri" w:cs="Times New Roman"/>
            <w:b w:val="1"/>
            <w:bCs w:val="1"/>
            <w:sz w:val="23"/>
            <w:szCs w:val="23"/>
          </w:rPr>
          <w:t>Český učitel ve světě technologií</w:t>
        </w:r>
      </w:hyperlink>
      <w:r w:rsidRPr="3A830DEE" w:rsidR="3274DB06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(2020) stále velmi malé procento učitelů používá pokročilé digitální technologie ve výuce</w:t>
      </w:r>
      <w:r w:rsidRPr="3A830DEE" w:rsidR="5CB52D76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jako</w:t>
      </w:r>
      <w:r w:rsidRPr="3A830DEE" w:rsidR="3274DB06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interaktivní robotické technol</w:t>
      </w:r>
      <w:r w:rsidRPr="3A830DEE" w:rsidR="47CC6893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ogie, </w:t>
      </w:r>
      <w:r w:rsidRPr="3A830DEE" w:rsidR="47CC6893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3D</w:t>
      </w:r>
      <w:r w:rsidRPr="3A830DEE" w:rsidR="47CC6893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tiskárnu</w:t>
      </w:r>
      <w:r w:rsidRPr="3A830DEE" w:rsidR="3DF66C4D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(pro obojí cca 6 %)</w:t>
      </w:r>
      <w:r w:rsidRPr="3A830DEE" w:rsidR="47CC6893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. </w:t>
      </w:r>
    </w:p>
    <w:p w:rsidRPr="00CA65C3" w:rsidR="1FE0D465" w:rsidP="3A830DEE" w:rsidRDefault="1FE0D465" w14:paraId="05EFC8E3" w14:textId="6E9045EA">
      <w:pPr>
        <w:spacing w:after="180" w:line="264" w:lineRule="auto"/>
        <w:jc w:val="both"/>
        <w:rPr>
          <w:rFonts w:ascii="Times New Roman" w:hAnsi="Times New Roman" w:eastAsia="Calibri" w:cs="Times New Roman"/>
          <w:b w:val="1"/>
          <w:bCs w:val="1"/>
          <w:sz w:val="23"/>
          <w:szCs w:val="23"/>
        </w:rPr>
      </w:pPr>
      <w:r w:rsidRPr="3A830DEE" w:rsidR="1FE0D465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Je tedy potřeba investovat jak do pořizování základních </w:t>
      </w:r>
      <w:r w:rsidRPr="3A830DEE" w:rsidR="00C74601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 </w:t>
      </w:r>
      <w:r w:rsidRPr="3A830DEE" w:rsidR="1FE0D465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pokročilých digitálních technologií ze strany škol, tak do </w:t>
      </w:r>
      <w:r w:rsidRPr="3A830DEE" w:rsidR="786C48AB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kompetencí </w:t>
      </w:r>
      <w:r w:rsidRPr="3A830DEE" w:rsidR="00C74601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 </w:t>
      </w:r>
      <w:r w:rsidRPr="3A830DEE" w:rsidR="786C48AB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motivace</w:t>
      </w:r>
      <w:r w:rsidRPr="3A830DEE" w:rsidR="1FE0D465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učitelů tyto technologie smysluplně využívat ve výuce tak, aby žáci rozvíjeli své informatické myšlení </w:t>
      </w:r>
      <w:r w:rsidRPr="3A830DEE" w:rsidR="00C74601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> </w:t>
      </w:r>
      <w:r w:rsidRPr="3A830DEE" w:rsidR="1FE0D465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digitální gramotnost. </w:t>
      </w:r>
      <w:r w:rsidRPr="3A830DEE" w:rsidR="3C07A00F">
        <w:rPr>
          <w:rFonts w:ascii="Times New Roman" w:hAnsi="Times New Roman" w:eastAsia="Calibri" w:cs="Times New Roman"/>
          <w:b w:val="1"/>
          <w:bCs w:val="1"/>
          <w:sz w:val="23"/>
          <w:szCs w:val="23"/>
        </w:rPr>
        <w:t xml:space="preserve"> </w:t>
      </w:r>
    </w:p>
    <w:p w:rsidR="00A618CA" w:rsidP="366AC567" w:rsidRDefault="00A618CA" w14:paraId="72134E5B" w14:textId="77777777">
      <w:pPr>
        <w:spacing w:after="180" w:line="264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CA65C3" w:rsidR="4C7FE588" w:rsidP="366AC567" w:rsidRDefault="4C7FE588" w14:paraId="16082317" w14:textId="3B1364EB">
      <w:pPr>
        <w:spacing w:after="180" w:line="264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CA65C3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2) </w:t>
      </w:r>
      <w:r w:rsidRPr="00CA65C3" w:rsidR="4921C9D6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Nízká úroveň digitálních dovedností žáků </w:t>
      </w:r>
      <w:r w:rsidRPr="00CA65C3" w:rsidR="00C74601">
        <w:rPr>
          <w:rFonts w:ascii="Times New Roman" w:hAnsi="Times New Roman" w:eastAsia="Calibri" w:cs="Times New Roman"/>
          <w:b/>
          <w:bCs/>
          <w:sz w:val="24"/>
          <w:szCs w:val="24"/>
        </w:rPr>
        <w:t>a</w:t>
      </w:r>
      <w:r w:rsidR="00C74601">
        <w:rPr>
          <w:rFonts w:ascii="Times New Roman" w:hAnsi="Times New Roman" w:eastAsia="Calibri" w:cs="Times New Roman"/>
          <w:b/>
          <w:bCs/>
          <w:sz w:val="24"/>
          <w:szCs w:val="24"/>
        </w:rPr>
        <w:t> </w:t>
      </w:r>
      <w:r w:rsidRPr="00CA65C3" w:rsidR="4921C9D6">
        <w:rPr>
          <w:rFonts w:ascii="Times New Roman" w:hAnsi="Times New Roman" w:eastAsia="Calibri" w:cs="Times New Roman"/>
          <w:b/>
          <w:bCs/>
          <w:sz w:val="24"/>
          <w:szCs w:val="24"/>
        </w:rPr>
        <w:t>učitelů</w:t>
      </w:r>
    </w:p>
    <w:p w:rsidRPr="00CA65C3" w:rsidR="7906ED5D" w:rsidP="3A830DEE" w:rsidRDefault="7906ED5D" w14:paraId="3298635B" w14:textId="45CBE316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7906ED5D">
        <w:rPr>
          <w:rFonts w:ascii="Times New Roman" w:hAnsi="Times New Roman" w:eastAsia="Calibri" w:cs="Times New Roman"/>
          <w:sz w:val="23"/>
          <w:szCs w:val="23"/>
        </w:rPr>
        <w:t>Podle</w:t>
      </w:r>
      <w:r w:rsidRPr="3A830DEE" w:rsidR="16FE4528">
        <w:rPr>
          <w:rFonts w:ascii="Times New Roman" w:hAnsi="Times New Roman" w:eastAsia="Calibri" w:cs="Times New Roman"/>
          <w:sz w:val="23"/>
          <w:szCs w:val="23"/>
        </w:rPr>
        <w:t xml:space="preserve"> dat z </w:t>
      </w:r>
      <w:r w:rsidRPr="3A830DEE" w:rsidR="64BFCEE5">
        <w:rPr>
          <w:rFonts w:ascii="Times New Roman" w:hAnsi="Times New Roman" w:eastAsia="Calibri" w:cs="Times New Roman"/>
          <w:sz w:val="23"/>
          <w:szCs w:val="23"/>
        </w:rPr>
        <w:t>šetření</w:t>
      </w:r>
      <w:r w:rsidRPr="3A830DEE" w:rsidR="16FE4528">
        <w:rPr>
          <w:rFonts w:ascii="Times New Roman" w:hAnsi="Times New Roman" w:eastAsia="Calibri" w:cs="Times New Roman"/>
          <w:sz w:val="23"/>
          <w:szCs w:val="23"/>
        </w:rPr>
        <w:t xml:space="preserve"> TALIS (2018</w:t>
      </w:r>
      <w:r w:rsidRPr="3A830DEE" w:rsidR="7A133B2E">
        <w:rPr>
          <w:rFonts w:ascii="Times New Roman" w:hAnsi="Times New Roman" w:eastAsia="Calibri" w:cs="Times New Roman"/>
          <w:sz w:val="23"/>
          <w:szCs w:val="23"/>
        </w:rPr>
        <w:t>)</w:t>
      </w:r>
      <w:r w:rsidRPr="3A830DEE" w:rsidR="7906ED5D">
        <w:rPr>
          <w:rFonts w:ascii="Times New Roman" w:hAnsi="Times New Roman" w:eastAsia="Calibri" w:cs="Times New Roman"/>
          <w:sz w:val="23"/>
          <w:szCs w:val="23"/>
        </w:rPr>
        <w:t xml:space="preserve"> se necelých 30</w:t>
      </w:r>
      <w:r w:rsidRPr="3A830DEE" w:rsidR="5CA0DB84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7906ED5D">
        <w:rPr>
          <w:rFonts w:ascii="Times New Roman" w:hAnsi="Times New Roman" w:eastAsia="Calibri" w:cs="Times New Roman"/>
          <w:sz w:val="23"/>
          <w:szCs w:val="23"/>
        </w:rPr>
        <w:t xml:space="preserve">% učitelů </w:t>
      </w:r>
      <w:r w:rsidRPr="3A830DEE" w:rsidR="0541AEEA">
        <w:rPr>
          <w:rFonts w:ascii="Times New Roman" w:hAnsi="Times New Roman" w:eastAsia="Calibri" w:cs="Times New Roman"/>
          <w:sz w:val="23"/>
          <w:szCs w:val="23"/>
        </w:rPr>
        <w:t xml:space="preserve">2. stupně základní školy </w:t>
      </w:r>
      <w:r w:rsidRPr="3A830DEE" w:rsidR="7906ED5D">
        <w:rPr>
          <w:rFonts w:ascii="Times New Roman" w:hAnsi="Times New Roman" w:eastAsia="Calibri" w:cs="Times New Roman"/>
          <w:sz w:val="23"/>
          <w:szCs w:val="23"/>
        </w:rPr>
        <w:t>cí</w:t>
      </w:r>
      <w:r w:rsidRPr="3A830DEE" w:rsidR="4C1BF536">
        <w:rPr>
          <w:rFonts w:ascii="Times New Roman" w:hAnsi="Times New Roman" w:eastAsia="Calibri" w:cs="Times New Roman"/>
          <w:sz w:val="23"/>
          <w:szCs w:val="23"/>
        </w:rPr>
        <w:t>t</w:t>
      </w:r>
      <w:r w:rsidRPr="3A830DEE" w:rsidR="37BC10CF">
        <w:rPr>
          <w:rFonts w:ascii="Times New Roman" w:hAnsi="Times New Roman" w:eastAsia="Calibri" w:cs="Times New Roman"/>
          <w:sz w:val="23"/>
          <w:szCs w:val="23"/>
        </w:rPr>
        <w:t>ilo připraveno na používání ICT ve výuce.</w:t>
      </w:r>
      <w:r w:rsidRPr="3A830DEE" w:rsidR="50A62922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D926A87">
        <w:rPr>
          <w:rFonts w:ascii="Times New Roman" w:hAnsi="Times New Roman" w:eastAsia="Calibri" w:cs="Times New Roman"/>
          <w:sz w:val="23"/>
          <w:szCs w:val="23"/>
        </w:rPr>
        <w:t xml:space="preserve">oblasti </w:t>
      </w:r>
      <w:proofErr w:type="spellStart"/>
      <w:r w:rsidRPr="3A830DEE" w:rsidR="7D926A87">
        <w:rPr>
          <w:rFonts w:ascii="Times New Roman" w:hAnsi="Times New Roman" w:eastAsia="Calibri" w:cs="Times New Roman"/>
          <w:sz w:val="23"/>
          <w:szCs w:val="23"/>
        </w:rPr>
        <w:t>problem-solvingu</w:t>
      </w:r>
      <w:proofErr w:type="spellEnd"/>
      <w:r w:rsidRPr="3A830DEE" w:rsidR="7D926A87">
        <w:rPr>
          <w:rFonts w:ascii="Times New Roman" w:hAnsi="Times New Roman" w:eastAsia="Calibri" w:cs="Times New Roman"/>
          <w:sz w:val="23"/>
          <w:szCs w:val="23"/>
        </w:rPr>
        <w:t xml:space="preserve"> čeští učitelé stále zaostávají za ostatními pracovníky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D926A87">
        <w:rPr>
          <w:rFonts w:ascii="Times New Roman" w:hAnsi="Times New Roman" w:eastAsia="Calibri" w:cs="Times New Roman"/>
          <w:sz w:val="23"/>
          <w:szCs w:val="23"/>
        </w:rPr>
        <w:t>terciárním vzdělání</w:t>
      </w:r>
      <w:r w:rsidRPr="3A830DEE" w:rsidR="00AE59A5">
        <w:rPr>
          <w:rFonts w:ascii="Times New Roman" w:hAnsi="Times New Roman" w:eastAsia="Calibri" w:cs="Times New Roman"/>
          <w:sz w:val="23"/>
          <w:szCs w:val="23"/>
        </w:rPr>
        <w:t>m</w:t>
      </w:r>
      <w:r w:rsidRPr="3A830DEE" w:rsidR="7D926A87">
        <w:rPr>
          <w:rFonts w:ascii="Times New Roman" w:hAnsi="Times New Roman" w:eastAsia="Calibri" w:cs="Times New Roman"/>
          <w:sz w:val="23"/>
          <w:szCs w:val="23"/>
        </w:rPr>
        <w:t xml:space="preserve"> (OECD 2020, na základě šetření PIAAC).</w:t>
      </w:r>
    </w:p>
    <w:p w:rsidRPr="00CA65C3" w:rsidR="4B7CC95A" w:rsidP="3A830DEE" w:rsidRDefault="4B7CC95A" w14:paraId="0CB7C168" w14:textId="605699DC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4B7CC95A">
        <w:rPr>
          <w:rFonts w:ascii="Times New Roman" w:hAnsi="Times New Roman" w:eastAsia="Calibri" w:cs="Times New Roman"/>
          <w:sz w:val="23"/>
          <w:szCs w:val="23"/>
        </w:rPr>
        <w:t xml:space="preserve">Předpokladem pro rozvoj digitálních kompetencí žáků jsou především dostatečné digitální kompetence učitelů. Důraz na rozvoj těchto dovedností je však nutné podporovat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C5AE265">
        <w:rPr>
          <w:rFonts w:ascii="Times New Roman" w:hAnsi="Times New Roman" w:eastAsia="Calibri" w:cs="Times New Roman"/>
          <w:sz w:val="23"/>
          <w:szCs w:val="23"/>
        </w:rPr>
        <w:t xml:space="preserve">ze strany vedení </w:t>
      </w:r>
      <w:r w:rsidRPr="3A830DEE" w:rsidR="0C5AE265">
        <w:rPr>
          <w:rFonts w:ascii="Times New Roman" w:hAnsi="Times New Roman" w:eastAsia="Calibri" w:cs="Times New Roman"/>
          <w:sz w:val="23"/>
          <w:szCs w:val="23"/>
        </w:rPr>
        <w:t xml:space="preserve">školy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C5AE265">
        <w:rPr>
          <w:rFonts w:ascii="Times New Roman" w:hAnsi="Times New Roman" w:eastAsia="Calibri" w:cs="Times New Roman"/>
          <w:sz w:val="23"/>
          <w:szCs w:val="23"/>
        </w:rPr>
        <w:t>zřizovatele. Pro impleme</w:t>
      </w:r>
      <w:r w:rsidRPr="3A830DEE" w:rsidR="6BAD54FD">
        <w:rPr>
          <w:rFonts w:ascii="Times New Roman" w:hAnsi="Times New Roman" w:eastAsia="Calibri" w:cs="Times New Roman"/>
          <w:sz w:val="23"/>
          <w:szCs w:val="23"/>
        </w:rPr>
        <w:t>ntaci</w:t>
      </w:r>
      <w:r w:rsidRPr="3A830DEE" w:rsidR="0C5AE265">
        <w:rPr>
          <w:rFonts w:ascii="Times New Roman" w:hAnsi="Times New Roman" w:eastAsia="Calibri" w:cs="Times New Roman"/>
          <w:sz w:val="23"/>
          <w:szCs w:val="23"/>
        </w:rPr>
        <w:t xml:space="preserve"> proměny výuky tímto směrem je však rovněž nutn</w:t>
      </w:r>
      <w:r w:rsidRPr="3A830DEE" w:rsidR="06E746CD">
        <w:rPr>
          <w:rFonts w:ascii="Times New Roman" w:hAnsi="Times New Roman" w:eastAsia="Calibri" w:cs="Times New Roman"/>
          <w:sz w:val="23"/>
          <w:szCs w:val="23"/>
        </w:rPr>
        <w:t xml:space="preserve">á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6E746CD">
        <w:rPr>
          <w:rFonts w:ascii="Times New Roman" w:hAnsi="Times New Roman" w:eastAsia="Calibri" w:cs="Times New Roman"/>
          <w:sz w:val="23"/>
          <w:szCs w:val="23"/>
        </w:rPr>
        <w:t xml:space="preserve">její akceptace ze strany rodičů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6E746CD">
        <w:rPr>
          <w:rFonts w:ascii="Times New Roman" w:hAnsi="Times New Roman" w:eastAsia="Calibri" w:cs="Times New Roman"/>
          <w:sz w:val="23"/>
          <w:szCs w:val="23"/>
        </w:rPr>
        <w:t xml:space="preserve">samotných žáků.  </w:t>
      </w:r>
    </w:p>
    <w:p w:rsidRPr="00CA65C3" w:rsidR="6F219F49" w:rsidP="366AC567" w:rsidRDefault="6F219F49" w14:paraId="778142E8" w14:textId="4D6195A5">
      <w:pPr>
        <w:spacing w:after="180" w:line="264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CA65C3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3) </w:t>
      </w:r>
      <w:r w:rsidRPr="00CA65C3" w:rsidR="4921C9D6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Stoupající riziko vytvoření tzv. Digitální propasti </w:t>
      </w:r>
      <w:r w:rsidRPr="00CA65C3" w:rsidR="00C74601">
        <w:rPr>
          <w:rFonts w:ascii="Times New Roman" w:hAnsi="Times New Roman" w:eastAsia="Calibri" w:cs="Times New Roman"/>
          <w:b/>
          <w:bCs/>
          <w:sz w:val="24"/>
          <w:szCs w:val="24"/>
        </w:rPr>
        <w:t>a</w:t>
      </w:r>
      <w:r w:rsidR="00C74601">
        <w:rPr>
          <w:rFonts w:ascii="Times New Roman" w:hAnsi="Times New Roman" w:eastAsia="Calibri" w:cs="Times New Roman"/>
          <w:b/>
          <w:bCs/>
          <w:sz w:val="24"/>
          <w:szCs w:val="24"/>
        </w:rPr>
        <w:t> </w:t>
      </w:r>
      <w:r w:rsidRPr="00CA65C3" w:rsidR="4921C9D6">
        <w:rPr>
          <w:rFonts w:ascii="Times New Roman" w:hAnsi="Times New Roman" w:eastAsia="Calibri" w:cs="Times New Roman"/>
          <w:b/>
          <w:bCs/>
          <w:sz w:val="24"/>
          <w:szCs w:val="24"/>
        </w:rPr>
        <w:t>následného digitálního vyloučení</w:t>
      </w:r>
    </w:p>
    <w:p w:rsidRPr="00CA65C3" w:rsidR="6639B965" w:rsidP="3A830DEE" w:rsidRDefault="6639B965" w14:paraId="4B70BFCA" w14:textId="5719DC57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6639B965">
        <w:rPr>
          <w:rFonts w:ascii="Times New Roman" w:hAnsi="Times New Roman" w:eastAsia="Calibri" w:cs="Times New Roman"/>
          <w:sz w:val="23"/>
          <w:szCs w:val="23"/>
        </w:rPr>
        <w:t xml:space="preserve">Dle tematických zpráv ČŠI zůstalo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6639B965">
        <w:rPr>
          <w:rFonts w:ascii="Times New Roman" w:hAnsi="Times New Roman" w:eastAsia="Calibri" w:cs="Times New Roman"/>
          <w:sz w:val="23"/>
          <w:szCs w:val="23"/>
        </w:rPr>
        <w:t xml:space="preserve">průběhu uzavření škol na jaře 2020 až 10 000 dětí mimo výuku. Lze přepokládat, že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6639B965">
        <w:rPr>
          <w:rFonts w:ascii="Times New Roman" w:hAnsi="Times New Roman" w:eastAsia="Calibri" w:cs="Times New Roman"/>
          <w:sz w:val="23"/>
          <w:szCs w:val="23"/>
        </w:rPr>
        <w:t xml:space="preserve">vývojem digitálních technologií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6639B965">
        <w:rPr>
          <w:rFonts w:ascii="Times New Roman" w:hAnsi="Times New Roman" w:eastAsia="Calibri" w:cs="Times New Roman"/>
          <w:sz w:val="23"/>
          <w:szCs w:val="23"/>
        </w:rPr>
        <w:t>jejich většího zapojení do výuky bude tzv. digitální propast (</w:t>
      </w:r>
      <w:proofErr w:type="spellStart"/>
      <w:r w:rsidRPr="3A830DEE" w:rsidR="6639B965">
        <w:rPr>
          <w:rFonts w:ascii="Times New Roman" w:hAnsi="Times New Roman" w:eastAsia="Calibri" w:cs="Times New Roman"/>
          <w:sz w:val="23"/>
          <w:szCs w:val="23"/>
        </w:rPr>
        <w:t>digital</w:t>
      </w:r>
      <w:proofErr w:type="spellEnd"/>
      <w:r w:rsidRPr="3A830DEE" w:rsidR="6639B965">
        <w:rPr>
          <w:rFonts w:ascii="Times New Roman" w:hAnsi="Times New Roman" w:eastAsia="Calibri" w:cs="Times New Roman"/>
          <w:sz w:val="23"/>
          <w:szCs w:val="23"/>
        </w:rPr>
        <w:t xml:space="preserve"> gap/</w:t>
      </w:r>
      <w:proofErr w:type="spellStart"/>
      <w:r w:rsidRPr="3A830DEE" w:rsidR="6639B965">
        <w:rPr>
          <w:rFonts w:ascii="Times New Roman" w:hAnsi="Times New Roman" w:eastAsia="Calibri" w:cs="Times New Roman"/>
          <w:sz w:val="23"/>
          <w:szCs w:val="23"/>
        </w:rPr>
        <w:t>divide</w:t>
      </w:r>
      <w:proofErr w:type="spellEnd"/>
      <w:r w:rsidRPr="3A830DEE" w:rsidR="6639B965">
        <w:rPr>
          <w:rFonts w:ascii="Times New Roman" w:hAnsi="Times New Roman" w:eastAsia="Calibri" w:cs="Times New Roman"/>
          <w:sz w:val="23"/>
          <w:szCs w:val="23"/>
        </w:rPr>
        <w:t xml:space="preserve">) stále větší problém nejen českého vzdělávacího systému. Komponenta proto adresuje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6639B965">
        <w:rPr>
          <w:rFonts w:ascii="Times New Roman" w:hAnsi="Times New Roman" w:eastAsia="Calibri" w:cs="Times New Roman"/>
          <w:sz w:val="23"/>
          <w:szCs w:val="23"/>
        </w:rPr>
        <w:t>tuto výzvu.</w:t>
      </w:r>
    </w:p>
    <w:p w:rsidRPr="00CA65C3" w:rsidR="4BF2C262" w:rsidP="3A830DEE" w:rsidRDefault="4BF2C262" w14:paraId="6B425B32" w14:textId="656DF138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4BF2C262">
        <w:rPr>
          <w:rFonts w:ascii="Times New Roman" w:hAnsi="Times New Roman" w:eastAsia="Calibri" w:cs="Times New Roman"/>
          <w:sz w:val="23"/>
          <w:szCs w:val="23"/>
        </w:rPr>
        <w:t xml:space="preserve">Vzhledem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k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BF2C262">
        <w:rPr>
          <w:rFonts w:ascii="Times New Roman" w:hAnsi="Times New Roman" w:eastAsia="Calibri" w:cs="Times New Roman"/>
          <w:sz w:val="23"/>
          <w:szCs w:val="23"/>
        </w:rPr>
        <w:t xml:space="preserve">tomu, že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4BF2C262">
        <w:rPr>
          <w:rFonts w:ascii="Times New Roman" w:hAnsi="Times New Roman" w:eastAsia="Calibri" w:cs="Times New Roman"/>
          <w:sz w:val="23"/>
          <w:szCs w:val="23"/>
        </w:rPr>
        <w:t xml:space="preserve">ČR existuje vysoká závislost </w:t>
      </w:r>
      <w:r w:rsidRPr="3A830DEE" w:rsidR="4BF2C262">
        <w:rPr>
          <w:rFonts w:ascii="Times New Roman" w:hAnsi="Times New Roman" w:eastAsia="Calibri" w:cs="Times New Roman"/>
          <w:sz w:val="23"/>
          <w:szCs w:val="23"/>
        </w:rPr>
        <w:t>socio-</w:t>
      </w:r>
      <w:proofErr w:type="spellStart"/>
      <w:r w:rsidRPr="3A830DEE" w:rsidR="4BF2C262">
        <w:rPr>
          <w:rFonts w:ascii="Times New Roman" w:hAnsi="Times New Roman" w:eastAsia="Calibri" w:cs="Times New Roman"/>
          <w:sz w:val="23"/>
          <w:szCs w:val="23"/>
        </w:rPr>
        <w:t>ekomického</w:t>
      </w:r>
      <w:proofErr w:type="spellEnd"/>
      <w:r w:rsidRPr="3A830DEE" w:rsidR="4BF2C262">
        <w:rPr>
          <w:rFonts w:ascii="Times New Roman" w:hAnsi="Times New Roman" w:eastAsia="Calibri" w:cs="Times New Roman"/>
          <w:sz w:val="23"/>
          <w:szCs w:val="23"/>
        </w:rPr>
        <w:t xml:space="preserve"> statu</w:t>
      </w:r>
      <w:r w:rsidRPr="3A830DEE" w:rsidR="00AE59A5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4BF2C262">
        <w:rPr>
          <w:rFonts w:ascii="Times New Roman" w:hAnsi="Times New Roman" w:eastAsia="Calibri" w:cs="Times New Roman"/>
          <w:sz w:val="23"/>
          <w:szCs w:val="23"/>
        </w:rPr>
        <w:t>u rodiny na studijních výsledcích, je pravděpodobné, že se vytvoření tzv. digitální propast bude týkat zejména dětí z těcht</w:t>
      </w:r>
      <w:r w:rsidRPr="3A830DEE" w:rsidR="484991F9">
        <w:rPr>
          <w:rFonts w:ascii="Times New Roman" w:hAnsi="Times New Roman" w:eastAsia="Calibri" w:cs="Times New Roman"/>
          <w:sz w:val="23"/>
          <w:szCs w:val="23"/>
        </w:rPr>
        <w:t xml:space="preserve">o rodin. </w:t>
      </w:r>
    </w:p>
    <w:p w:rsidRPr="00CA65C3" w:rsidR="366AC567" w:rsidP="366AC567" w:rsidRDefault="366AC567" w14:paraId="375BF19B" w14:textId="38B389B8">
      <w:pPr>
        <w:pStyle w:val="K-TextInfo"/>
      </w:pPr>
    </w:p>
    <w:p w:rsidRPr="00CA65C3" w:rsidR="002C20CF" w:rsidP="00154B73" w:rsidRDefault="002C20CF" w14:paraId="75616F84" w14:textId="77777777">
      <w:pPr>
        <w:pStyle w:val="K-Nadpis3"/>
      </w:pPr>
      <w:r w:rsidRPr="00CA65C3">
        <w:t xml:space="preserve">b) </w:t>
      </w:r>
      <w:r w:rsidRPr="00CA65C3" w:rsidR="00EF374D">
        <w:t>Cíle</w:t>
      </w:r>
      <w:r w:rsidRPr="00CA65C3">
        <w:t xml:space="preserve"> </w:t>
      </w:r>
    </w:p>
    <w:p w:rsidRPr="00CA65C3" w:rsidR="615385A9" w:rsidP="366AC567" w:rsidRDefault="615385A9" w14:paraId="76FDB5CE" w14:textId="25A5C6D1">
      <w:pPr>
        <w:pStyle w:val="Default"/>
        <w:spacing w:after="120"/>
        <w:jc w:val="both"/>
        <w:rPr>
          <w:rStyle w:val="K-TextChar"/>
          <w:b/>
          <w:bCs/>
        </w:rPr>
      </w:pPr>
      <w:r w:rsidRPr="00CA65C3">
        <w:rPr>
          <w:rStyle w:val="K-TextChar"/>
          <w:b/>
          <w:bCs/>
        </w:rPr>
        <w:t xml:space="preserve">Globálním cílem komponenty je přispět </w:t>
      </w:r>
      <w:r w:rsidRPr="00CA65C3" w:rsidR="00C74601">
        <w:rPr>
          <w:rStyle w:val="K-TextChar"/>
          <w:b/>
          <w:bCs/>
        </w:rPr>
        <w:t>k</w:t>
      </w:r>
      <w:r w:rsidR="00C74601">
        <w:rPr>
          <w:rStyle w:val="K-TextChar"/>
          <w:b/>
          <w:bCs/>
        </w:rPr>
        <w:t> </w:t>
      </w:r>
      <w:r w:rsidRPr="00CA65C3">
        <w:rPr>
          <w:rStyle w:val="K-TextChar"/>
          <w:b/>
          <w:bCs/>
        </w:rPr>
        <w:t xml:space="preserve">rozvoji digitálního vzdělávání </w:t>
      </w:r>
      <w:r w:rsidRPr="00CA65C3" w:rsidR="00C74601">
        <w:rPr>
          <w:rStyle w:val="K-TextChar"/>
          <w:b/>
          <w:bCs/>
        </w:rPr>
        <w:t>v</w:t>
      </w:r>
      <w:r w:rsidR="00C74601">
        <w:rPr>
          <w:rStyle w:val="K-TextChar"/>
          <w:b/>
          <w:bCs/>
        </w:rPr>
        <w:t> </w:t>
      </w:r>
      <w:r w:rsidRPr="00CA65C3">
        <w:rPr>
          <w:rStyle w:val="K-TextChar"/>
          <w:b/>
          <w:bCs/>
        </w:rPr>
        <w:t xml:space="preserve">souladu </w:t>
      </w:r>
      <w:r w:rsidRPr="00CA65C3" w:rsidR="00C74601">
        <w:rPr>
          <w:rStyle w:val="K-TextChar"/>
          <w:b/>
          <w:bCs/>
        </w:rPr>
        <w:t>s</w:t>
      </w:r>
      <w:r w:rsidR="00C74601">
        <w:rPr>
          <w:rStyle w:val="K-TextChar"/>
          <w:b/>
          <w:bCs/>
        </w:rPr>
        <w:t> </w:t>
      </w:r>
      <w:r w:rsidRPr="00CA65C3">
        <w:rPr>
          <w:rStyle w:val="K-TextChar"/>
          <w:b/>
          <w:bCs/>
        </w:rPr>
        <w:t xml:space="preserve">vizí Strategie vzdělávací politiky 2030+ </w:t>
      </w:r>
      <w:r w:rsidRPr="00CA65C3" w:rsidR="00C74601">
        <w:rPr>
          <w:rStyle w:val="K-TextChar"/>
          <w:b/>
          <w:bCs/>
        </w:rPr>
        <w:t>a</w:t>
      </w:r>
      <w:r w:rsidR="00C74601">
        <w:rPr>
          <w:rStyle w:val="K-TextChar"/>
          <w:b/>
          <w:bCs/>
        </w:rPr>
        <w:t> </w:t>
      </w:r>
      <w:r w:rsidRPr="00CA65C3">
        <w:rPr>
          <w:rStyle w:val="K-TextChar"/>
          <w:b/>
          <w:bCs/>
        </w:rPr>
        <w:t>Akčním plánem pro digitální vzdělávání (DEAP).</w:t>
      </w:r>
    </w:p>
    <w:p w:rsidRPr="00CA65C3" w:rsidR="615385A9" w:rsidP="366AC567" w:rsidRDefault="615385A9" w14:paraId="081AAE2B" w14:textId="725068F5">
      <w:pPr>
        <w:pStyle w:val="Default"/>
        <w:spacing w:after="120"/>
        <w:jc w:val="both"/>
        <w:rPr>
          <w:rStyle w:val="K-TextChar"/>
          <w:b/>
          <w:bCs/>
        </w:rPr>
      </w:pPr>
      <w:r w:rsidRPr="00CA65C3">
        <w:rPr>
          <w:rStyle w:val="K-TextChar"/>
          <w:b/>
          <w:bCs/>
        </w:rPr>
        <w:t>Mezi konkrétní cíle komponenty patří následující:</w:t>
      </w:r>
    </w:p>
    <w:p w:rsidRPr="00CA65C3" w:rsidR="615385A9" w:rsidP="3A830DEE" w:rsidRDefault="615385A9" w14:paraId="2166722C" w14:textId="0D1A145F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615385A9">
        <w:rPr>
          <w:rFonts w:ascii="Times New Roman" w:hAnsi="Times New Roman" w:eastAsia="Calibri" w:cs="Times New Roman"/>
          <w:sz w:val="23"/>
          <w:szCs w:val="23"/>
        </w:rPr>
        <w:t>1) Vzdělávací systém rozvíjí kompetence žáků potřebné pro občanský, osobní a pracovní život</w:t>
      </w:r>
    </w:p>
    <w:p w:rsidRPr="00CA65C3" w:rsidR="615385A9" w:rsidP="3A830DEE" w:rsidRDefault="615385A9" w14:paraId="7399DB40" w14:textId="01F48F0F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615385A9">
        <w:rPr>
          <w:rFonts w:ascii="Times New Roman" w:hAnsi="Times New Roman" w:eastAsia="Calibri" w:cs="Times New Roman"/>
          <w:sz w:val="23"/>
          <w:szCs w:val="23"/>
        </w:rPr>
        <w:t>2) Školy budou připraveny na vzdělávání na dálku a budou poskytovat potřebnou podporu žákům, pedagogům a rodičů</w:t>
      </w:r>
    </w:p>
    <w:p w:rsidRPr="00CA65C3" w:rsidR="615385A9" w:rsidP="3A830DEE" w:rsidRDefault="615385A9" w14:paraId="62C5D00E" w14:textId="33A55FD7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615385A9">
        <w:rPr>
          <w:rFonts w:ascii="Times New Roman" w:hAnsi="Times New Roman" w:eastAsia="Calibri" w:cs="Times New Roman"/>
          <w:sz w:val="23"/>
          <w:szCs w:val="23"/>
        </w:rPr>
        <w:t xml:space="preserve">3) Vzdělávací systém vybaví každého žáka základními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615385A9">
        <w:rPr>
          <w:rFonts w:ascii="Times New Roman" w:hAnsi="Times New Roman" w:eastAsia="Calibri" w:cs="Times New Roman"/>
          <w:sz w:val="23"/>
          <w:szCs w:val="23"/>
        </w:rPr>
        <w:t>pokročilými digitálními kompetencemi, které žáci zodpovědně, samostatně a vhodným způsobem používají v kontextu vzdělávání, práce či zábavy</w:t>
      </w:r>
    </w:p>
    <w:p w:rsidRPr="00CA65C3" w:rsidR="615385A9" w:rsidP="3A830DEE" w:rsidRDefault="615385A9" w14:paraId="16346DC2" w14:textId="0E9A737D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615385A9">
        <w:rPr>
          <w:rFonts w:ascii="Times New Roman" w:hAnsi="Times New Roman" w:eastAsia="Calibri" w:cs="Times New Roman"/>
          <w:sz w:val="23"/>
          <w:szCs w:val="23"/>
        </w:rPr>
        <w:t>4) Žáci mají k dispozici mobilní digitální zařízení pro běžnou výuku a pro vzdělávání na dálku</w:t>
      </w:r>
    </w:p>
    <w:p w:rsidRPr="00CA65C3" w:rsidR="366AC567" w:rsidP="3A830DEE" w:rsidRDefault="366AC567" w14:paraId="017453AE" w14:textId="66F8B3DA">
      <w:pPr>
        <w:pStyle w:val="K-TextInfo"/>
        <w:rPr>
          <w:sz w:val="23"/>
          <w:szCs w:val="23"/>
        </w:rPr>
      </w:pPr>
    </w:p>
    <w:p w:rsidRPr="00CA65C3" w:rsidR="007A2737" w:rsidP="007A2737" w:rsidRDefault="007A2737" w14:paraId="6CD31FED" w14:textId="79635398">
      <w:pPr>
        <w:pStyle w:val="K-Nadpis3"/>
      </w:pPr>
      <w:r w:rsidRPr="00CA65C3">
        <w:t xml:space="preserve">c) </w:t>
      </w:r>
      <w:r w:rsidRPr="00CA65C3" w:rsidR="006C30EB">
        <w:t>Národní strategický kontext</w:t>
      </w:r>
    </w:p>
    <w:p w:rsidR="003B50D8" w:rsidP="3A830DEE" w:rsidRDefault="3D145F37" w14:paraId="2A472A0C" w14:textId="77777777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3D145F37">
        <w:rPr>
          <w:rFonts w:ascii="Times New Roman" w:hAnsi="Times New Roman" w:eastAsia="Calibri" w:cs="Times New Roman"/>
          <w:sz w:val="23"/>
          <w:szCs w:val="23"/>
        </w:rPr>
        <w:t xml:space="preserve">Komponenta je plně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D145F37">
        <w:rPr>
          <w:rFonts w:ascii="Times New Roman" w:hAnsi="Times New Roman" w:eastAsia="Calibri" w:cs="Times New Roman"/>
          <w:sz w:val="23"/>
          <w:szCs w:val="23"/>
        </w:rPr>
        <w:t xml:space="preserve">souladu se Strategií vzdělávací politiky do roku 2030+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3D145F37">
        <w:rPr>
          <w:rFonts w:ascii="Times New Roman" w:hAnsi="Times New Roman" w:eastAsia="Calibri" w:cs="Times New Roman"/>
          <w:sz w:val="23"/>
          <w:szCs w:val="23"/>
        </w:rPr>
        <w:t>Akční</w:t>
      </w:r>
      <w:r w:rsidRPr="3A830DEE" w:rsidR="052D41B6">
        <w:rPr>
          <w:rFonts w:ascii="Times New Roman" w:hAnsi="Times New Roman" w:eastAsia="Calibri" w:cs="Times New Roman"/>
          <w:sz w:val="23"/>
          <w:szCs w:val="23"/>
        </w:rPr>
        <w:t xml:space="preserve">m plánem pro digitální vzdělávání (DEAP). Globálním cílem komponenty je přispět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k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52D41B6">
        <w:rPr>
          <w:rFonts w:ascii="Times New Roman" w:hAnsi="Times New Roman" w:eastAsia="Calibri" w:cs="Times New Roman"/>
          <w:sz w:val="23"/>
          <w:szCs w:val="23"/>
        </w:rPr>
        <w:t xml:space="preserve">naplnění vizí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52D41B6">
        <w:rPr>
          <w:rFonts w:ascii="Times New Roman" w:hAnsi="Times New Roman" w:eastAsia="Calibri" w:cs="Times New Roman"/>
          <w:sz w:val="23"/>
          <w:szCs w:val="23"/>
        </w:rPr>
        <w:t>cílů těchto dokumentů.</w:t>
      </w:r>
    </w:p>
    <w:p w:rsidRPr="003B50D8" w:rsidR="003B50D8" w:rsidP="3A830DEE" w:rsidRDefault="003B50D8" w14:paraId="5C5A8354" w14:textId="77777777">
      <w:pPr>
        <w:pStyle w:val="00Body"/>
        <w:jc w:val="both"/>
        <w:rPr>
          <w:rFonts w:ascii="Times New Roman" w:hAnsi="Times New Roman" w:eastAsia="" w:eastAsiaTheme="minorEastAsia"/>
          <w:color w:val="000000" w:themeColor="text1"/>
          <w:sz w:val="23"/>
          <w:szCs w:val="23"/>
          <w:lang w:val="cs-CZ"/>
        </w:rPr>
      </w:pP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u w:val="single"/>
          <w:lang w:val="cs-CZ"/>
        </w:rPr>
        <w:t>Nástroje k realizaci 1.1.:</w:t>
      </w: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lang w:val="cs-CZ"/>
        </w:rPr>
        <w:t xml:space="preserve"> Kombinace různých nástrojů vyplývajících ze školských a obecných právních předpisů: </w:t>
      </w:r>
    </w:p>
    <w:p w:rsidRPr="003B50D8" w:rsidR="003B50D8" w:rsidP="3A830DEE" w:rsidRDefault="003B50D8" w14:paraId="176D197D" w14:textId="77777777">
      <w:pPr>
        <w:pStyle w:val="00Body"/>
        <w:numPr>
          <w:ilvl w:val="0"/>
          <w:numId w:val="30"/>
        </w:numPr>
        <w:jc w:val="both"/>
        <w:rPr>
          <w:rFonts w:ascii="Times New Roman" w:hAnsi="Times New Roman" w:eastAsia="" w:eastAsiaTheme="minorEastAsia"/>
          <w:color w:val="000000" w:themeColor="text1"/>
          <w:sz w:val="23"/>
          <w:szCs w:val="23"/>
          <w:lang w:val="cs-CZ"/>
        </w:rPr>
      </w:pP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lang w:val="cs-CZ"/>
        </w:rPr>
        <w:t xml:space="preserve">posílení ostatních neinvestičních nákladů (tzv. ONIV) přidělovaných normativně MŠMT jednotlivým druhům škol v regionálním školství mimo jiné na pořízení učebních pomůcek či další vzdělávání pedagogických pracovníků škol </w:t>
      </w:r>
    </w:p>
    <w:p w:rsidRPr="003B50D8" w:rsidR="003B50D8" w:rsidP="3A830DEE" w:rsidRDefault="003B50D8" w14:paraId="4F77A06F" w14:textId="77777777">
      <w:pPr>
        <w:pStyle w:val="00Body"/>
        <w:numPr>
          <w:ilvl w:val="0"/>
          <w:numId w:val="30"/>
        </w:numPr>
        <w:jc w:val="both"/>
        <w:rPr>
          <w:rFonts w:ascii="Times New Roman" w:hAnsi="Times New Roman" w:eastAsia="" w:eastAsiaTheme="minorEastAsia"/>
          <w:color w:val="000000" w:themeColor="text1"/>
          <w:sz w:val="23"/>
          <w:szCs w:val="23"/>
          <w:lang w:val="cs-CZ"/>
        </w:rPr>
      </w:pP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lang w:val="cs-CZ"/>
        </w:rPr>
        <w:t xml:space="preserve">využití § 161 odst. 7 školského zákona – tzv. ad hoc normativu za účelem cíleného posílení určitých oblastí financovaných v regionálním školství z rozpočtové kapitoly MŠMT </w:t>
      </w:r>
    </w:p>
    <w:p w:rsidRPr="003B50D8" w:rsidR="003B50D8" w:rsidP="3A830DEE" w:rsidRDefault="003B50D8" w14:paraId="3B529BDD" w14:textId="77777777">
      <w:pPr>
        <w:pStyle w:val="00Body"/>
        <w:numPr>
          <w:ilvl w:val="0"/>
          <w:numId w:val="30"/>
        </w:numPr>
        <w:jc w:val="both"/>
        <w:rPr>
          <w:rFonts w:ascii="Times New Roman" w:hAnsi="Times New Roman" w:eastAsia="" w:eastAsiaTheme="minorEastAsia"/>
          <w:color w:val="000000" w:themeColor="text1"/>
          <w:sz w:val="23"/>
          <w:szCs w:val="23"/>
          <w:lang w:val="cs-CZ"/>
        </w:rPr>
      </w:pP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lang w:val="cs-CZ"/>
        </w:rPr>
        <w:t>posílení příspěvku Národnímu pedagogickému institutu jako organizace zřizované MŠMT za účelem přípravy a realizace strategického DVPP v oblasti digitálních kompetencí pedagogických pracovníků</w:t>
      </w:r>
    </w:p>
    <w:p w:rsidRPr="003B50D8" w:rsidR="003B50D8" w:rsidP="3A830DEE" w:rsidRDefault="003B50D8" w14:paraId="6B324972" w14:textId="77777777">
      <w:pPr>
        <w:pStyle w:val="00Body"/>
        <w:jc w:val="both"/>
        <w:rPr>
          <w:rFonts w:ascii="Times New Roman" w:hAnsi="Times New Roman" w:eastAsia="" w:eastAsiaTheme="minorEastAsia"/>
          <w:color w:val="000000" w:themeColor="text1"/>
          <w:sz w:val="23"/>
          <w:szCs w:val="23"/>
          <w:lang w:val="cs-CZ"/>
        </w:rPr>
      </w:pP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u w:val="single"/>
          <w:lang w:val="cs-CZ"/>
        </w:rPr>
        <w:t>Nástroje k realizaci k 1.2. a 1.3.:</w:t>
      </w:r>
      <w:r w:rsidRPr="3A830DEE" w:rsidR="003B50D8">
        <w:rPr>
          <w:rFonts w:ascii="Times New Roman" w:hAnsi="Times New Roman" w:eastAsia="" w:eastAsiaTheme="minorEastAsia"/>
          <w:b w:val="1"/>
          <w:bCs w:val="1"/>
          <w:color w:val="000000" w:themeColor="text1" w:themeTint="FF" w:themeShade="FF"/>
          <w:sz w:val="23"/>
          <w:szCs w:val="23"/>
          <w:lang w:val="cs-CZ"/>
        </w:rPr>
        <w:t xml:space="preserve"> </w:t>
      </w:r>
      <w:r w:rsidRPr="3A830DEE" w:rsidR="003B50D8">
        <w:rPr>
          <w:rFonts w:ascii="Times New Roman" w:hAnsi="Times New Roman" w:eastAsia="" w:eastAsiaTheme="minorEastAsia"/>
          <w:color w:val="000000" w:themeColor="text1" w:themeTint="FF" w:themeShade="FF"/>
          <w:sz w:val="23"/>
          <w:szCs w:val="23"/>
          <w:lang w:val="cs-CZ"/>
        </w:rPr>
        <w:t>využití § 161 odst. 7 školského zákona – tzv. ad hoc normativu za účelem cíleného posílení určitých oblastí financovaných v regionálním školství z rozpočtové kapitoly MŠMT – nákup digitálních učebních pomůcek, které jsou nezbytné pro realizaci vzdělávací činnosti danou školou (učební pomůcky zůstávají ve vlastnictví školy (zřizovatele) a jsou zapůjčovány jednotlivým žákům v případě potřeby k domácí přípravě či distančnímu vzdělávání)</w:t>
      </w:r>
    </w:p>
    <w:p w:rsidR="2BC604E1" w:rsidP="3A830DEE" w:rsidRDefault="2BC604E1" w14:paraId="7B101F80" w14:textId="5C4D6E2F">
      <w:pPr>
        <w:spacing w:after="18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3A830DEE" w:rsidR="052D41B6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A65C3" w:rsidR="007A2737" w:rsidP="3A830DEE" w:rsidRDefault="007A2737" w14:paraId="1C015FB3" w14:textId="77777777">
      <w:pPr>
        <w:pStyle w:val="K-Nadpis3"/>
        <w:rPr>
          <w:sz w:val="23"/>
          <w:szCs w:val="23"/>
        </w:rPr>
      </w:pPr>
      <w:r w:rsidR="007A2737">
        <w:rPr/>
        <w:t>d) Předchozí snahy</w:t>
      </w:r>
    </w:p>
    <w:p w:rsidRPr="00CA65C3" w:rsidR="2F36BCD8" w:rsidP="3A830DEE" w:rsidRDefault="2F36BCD8" w14:paraId="00248142" w14:textId="276E1A4C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2F36BCD8">
        <w:rPr>
          <w:rFonts w:ascii="Times New Roman" w:hAnsi="Times New Roman" w:eastAsia="Calibri" w:cs="Times New Roman"/>
          <w:sz w:val="23"/>
          <w:szCs w:val="23"/>
        </w:rPr>
        <w:t>Strategie digitálního vzdělávání do roku 2020, Strategie vzdělávací politiky do roku 2020.</w:t>
      </w:r>
    </w:p>
    <w:p w:rsidR="00A618CA" w:rsidP="00154B73" w:rsidRDefault="00A618CA" w14:paraId="682DB9B1" w14:textId="77777777">
      <w:pPr>
        <w:pStyle w:val="K-Nadpis2"/>
      </w:pPr>
    </w:p>
    <w:p w:rsidRPr="00CA65C3" w:rsidR="002C20CF" w:rsidP="00154B73" w:rsidRDefault="002C20CF" w14:paraId="5BA8CBEF" w14:textId="69B1E1BB">
      <w:pPr>
        <w:pStyle w:val="K-Nadpis2"/>
      </w:pPr>
      <w:r w:rsidRPr="00CA65C3">
        <w:t xml:space="preserve">3. </w:t>
      </w:r>
      <w:r w:rsidRPr="00CA65C3" w:rsidR="00AF3BAB">
        <w:t>Popis reforem</w:t>
      </w:r>
      <w:r w:rsidRPr="00CA65C3" w:rsidR="009C04D3">
        <w:t xml:space="preserve"> </w:t>
      </w:r>
      <w:r w:rsidRPr="00CA65C3" w:rsidR="00C74601">
        <w:t>a</w:t>
      </w:r>
      <w:r w:rsidR="00C74601">
        <w:t> </w:t>
      </w:r>
      <w:r w:rsidRPr="00CA65C3" w:rsidR="009C04D3">
        <w:t>investic</w:t>
      </w:r>
      <w:r w:rsidRPr="00CA65C3" w:rsidR="00AF3BAB">
        <w:t xml:space="preserve"> k</w:t>
      </w:r>
      <w:r w:rsidRPr="00CA65C3">
        <w:t>omponent</w:t>
      </w:r>
      <w:r w:rsidRPr="00CA65C3" w:rsidR="00AF3BAB">
        <w:t>y</w:t>
      </w:r>
      <w:r w:rsidRPr="00CA65C3">
        <w:t xml:space="preserve"> </w:t>
      </w:r>
    </w:p>
    <w:p w:rsidRPr="00CA65C3" w:rsidR="000C0598" w:rsidP="002E19BA" w:rsidRDefault="0015052B" w14:paraId="35BAB89E" w14:textId="265EF584">
      <w:pPr>
        <w:pStyle w:val="K-Nadpis3"/>
      </w:pPr>
      <w:r w:rsidRPr="00CA65C3">
        <w:t>a</w:t>
      </w:r>
      <w:r w:rsidRPr="00CA65C3" w:rsidR="000C0598">
        <w:t>) Popis r</w:t>
      </w:r>
      <w:r w:rsidRPr="00CA65C3" w:rsidR="002E19BA">
        <w:t>efor</w:t>
      </w:r>
      <w:r w:rsidRPr="00CA65C3" w:rsidR="000C0598">
        <w:t>e</w:t>
      </w:r>
      <w:r w:rsidRPr="00CA65C3" w:rsidR="002E19BA">
        <w:t xml:space="preserve">m </w:t>
      </w:r>
    </w:p>
    <w:p w:rsidRPr="00CA65C3" w:rsidR="00ED612A" w:rsidP="005B3F5C" w:rsidRDefault="005B3F5C" w14:paraId="7F96C317" w14:textId="21AA4AA5">
      <w:pPr>
        <w:pStyle w:val="K-Tabulka"/>
      </w:pPr>
      <w:r w:rsidRPr="00CA65C3">
        <w:t>1.</w:t>
      </w:r>
      <w:r w:rsidR="003B50D8">
        <w:t>1.</w:t>
      </w:r>
      <w:r w:rsidRPr="00CA65C3">
        <w:t xml:space="preserve"> </w:t>
      </w:r>
      <w:r w:rsidRPr="00CA65C3" w:rsidR="5ADE6014">
        <w:rPr>
          <w:rFonts w:eastAsia="Calibri"/>
          <w:color w:val="000000" w:themeColor="text1"/>
          <w:sz w:val="24"/>
          <w:szCs w:val="24"/>
        </w:rPr>
        <w:t>Digitalizace stávajících obsahů a forem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Pr="00CA65C3" w:rsidR="00852465" w:rsidTr="3A830DEE" w14:paraId="670B5AC8" w14:textId="77777777">
        <w:tc>
          <w:tcPr>
            <w:tcW w:w="3256" w:type="dxa"/>
            <w:tcMar/>
          </w:tcPr>
          <w:p w:rsidRPr="00CA65C3" w:rsidR="00852465" w:rsidP="3A830DEE" w:rsidRDefault="00852465" w14:paraId="36F28BB9" w14:textId="0D4A873B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0F2E16E1">
              <w:rPr>
                <w:rFonts w:ascii="Times New Roman" w:hAnsi="Times New Roman" w:eastAsia="Times New Roman" w:cs="Times New Roman"/>
                <w:sz w:val="23"/>
                <w:szCs w:val="23"/>
              </w:rPr>
              <w:t>Výzva</w:t>
            </w:r>
          </w:p>
        </w:tc>
        <w:tc>
          <w:tcPr>
            <w:tcW w:w="6372" w:type="dxa"/>
            <w:tcMar/>
          </w:tcPr>
          <w:p w:rsidRPr="00CA65C3" w:rsidR="00852465" w:rsidP="3A830DEE" w:rsidRDefault="6AEDE46A" w14:paraId="11E7072F" w14:textId="3D8F5713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3"/>
                <w:szCs w:val="23"/>
              </w:rPr>
            </w:pPr>
            <w:r w:rsidRPr="3A830DEE" w:rsidR="4C774A08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Nízká úroveň smysluplného zapojení digitálních technologií do výuky</w:t>
            </w:r>
          </w:p>
        </w:tc>
      </w:tr>
      <w:tr w:rsidRPr="00CA65C3" w:rsidR="00852465" w:rsidTr="3A830DEE" w14:paraId="5CA2E1FD" w14:textId="77777777">
        <w:tc>
          <w:tcPr>
            <w:tcW w:w="3256" w:type="dxa"/>
            <w:tcMar/>
          </w:tcPr>
          <w:p w:rsidRPr="00CA65C3" w:rsidR="00852465" w:rsidP="3A830DEE" w:rsidRDefault="00852465" w14:paraId="39A69A26" w14:textId="10FDBFDD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0F2E16E1">
              <w:rPr>
                <w:rFonts w:ascii="Times New Roman" w:hAnsi="Times New Roman" w:eastAsia="Times New Roman" w:cs="Times New Roman"/>
                <w:sz w:val="23"/>
                <w:szCs w:val="23"/>
              </w:rPr>
              <w:t>Cíl</w:t>
            </w:r>
          </w:p>
        </w:tc>
        <w:tc>
          <w:tcPr>
            <w:tcW w:w="6372" w:type="dxa"/>
            <w:tcMar/>
          </w:tcPr>
          <w:p w:rsidRPr="00CA65C3" w:rsidR="00852465" w:rsidP="3A830DEE" w:rsidRDefault="473B2810" w14:paraId="30878995" w14:textId="63491098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3"/>
                <w:szCs w:val="23"/>
              </w:rPr>
            </w:pPr>
            <w:r w:rsidRPr="3A830DEE" w:rsidR="6E1E259A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Globální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m</w:t>
            </w:r>
            <w:r w:rsidRPr="3A830DEE" w:rsidR="6E1E259A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 cíl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em je ú</w:t>
            </w:r>
            <w:r w:rsidRPr="3A830DEE" w:rsidR="25DE04E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spěšná implementace proměny obsahu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 </w:t>
            </w:r>
            <w:r w:rsidRPr="3A830DEE" w:rsidR="25DE04E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forem vzdělávání v oblasti digitální gramotnosti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 </w:t>
            </w:r>
            <w:r w:rsidRPr="3A830DEE" w:rsidR="25DE04E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informatického myšlení, digitální technologie jsou integrální součástí celé výuky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.</w:t>
            </w:r>
          </w:p>
          <w:p w:rsidRPr="00CA65C3" w:rsidR="00852465" w:rsidP="3A830DEE" w:rsidRDefault="1A44A003" w14:paraId="4774886F" w14:textId="73EA629A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3"/>
                <w:szCs w:val="23"/>
              </w:rPr>
            </w:pPr>
            <w:r w:rsidRPr="3A830DEE" w:rsidR="5FAC83D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Specifick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ými</w:t>
            </w:r>
            <w:r w:rsidRPr="3A830DEE" w:rsidR="5FAC83D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 cíl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i jsou v</w:t>
            </w:r>
            <w:r w:rsidRPr="3A830DEE" w:rsidR="5FAC83D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ytvoření elektronické knihovny digitálních vzdělávacích zdrojů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 a p</w:t>
            </w:r>
            <w:r w:rsidRPr="3A830DEE" w:rsidR="5FAC83D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ořízení, obnova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 </w:t>
            </w:r>
            <w:r w:rsidRPr="3A830DEE" w:rsidR="5FAC83D7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správa pokročilých digitálních zařízení pro školy</w:t>
            </w:r>
          </w:p>
        </w:tc>
      </w:tr>
      <w:tr w:rsidRPr="00CA65C3" w:rsidR="00852465" w:rsidTr="3A830DEE" w14:paraId="0E956A8B" w14:textId="77777777">
        <w:tc>
          <w:tcPr>
            <w:tcW w:w="3256" w:type="dxa"/>
            <w:tcMar/>
          </w:tcPr>
          <w:p w:rsidRPr="00CA65C3" w:rsidR="00852465" w:rsidP="3A830DEE" w:rsidRDefault="00852465" w14:paraId="6FC494AD" w14:textId="5393D2F8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0F2E16E1">
              <w:rPr>
                <w:rFonts w:ascii="Times New Roman" w:hAnsi="Times New Roman" w:eastAsia="Times New Roman" w:cs="Times New Roman"/>
                <w:sz w:val="23"/>
                <w:szCs w:val="23"/>
              </w:rPr>
              <w:t>Implementace</w:t>
            </w:r>
          </w:p>
        </w:tc>
        <w:tc>
          <w:tcPr>
            <w:tcW w:w="6372" w:type="dxa"/>
            <w:tcMar/>
          </w:tcPr>
          <w:p w:rsidRPr="00CA65C3" w:rsidR="00852465" w:rsidP="3A830DEE" w:rsidRDefault="6D6A2AE8" w14:paraId="6388B505" w14:textId="1BC21437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3"/>
                <w:szCs w:val="23"/>
              </w:rPr>
            </w:pPr>
            <w:r w:rsidRPr="3A830DEE" w:rsidR="3EE0BCA0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MŠMT, Národní pedagogický institu</w:t>
            </w:r>
            <w:r w:rsidRPr="3A830DEE" w:rsidR="25C7C573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>t</w:t>
            </w:r>
            <w:r w:rsidRPr="3A830DEE" w:rsidR="5BE1B7D3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3"/>
                <w:szCs w:val="23"/>
              </w:rPr>
              <w:t xml:space="preserve"> České republiky</w:t>
            </w:r>
          </w:p>
        </w:tc>
      </w:tr>
      <w:tr w:rsidRPr="00CA65C3" w:rsidR="00852465" w:rsidTr="3A830DEE" w14:paraId="2195ABDF" w14:textId="77777777">
        <w:trPr>
          <w:trHeight w:val="70"/>
        </w:trPr>
        <w:tc>
          <w:tcPr>
            <w:tcW w:w="3256" w:type="dxa"/>
            <w:tcMar/>
          </w:tcPr>
          <w:p w:rsidRPr="00CA65C3" w:rsidR="00852465" w:rsidP="3A830DEE" w:rsidRDefault="005B3F5C" w14:paraId="1525154A" w14:textId="6EA8E773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005B3F5C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Spolupráce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005B3F5C">
              <w:rPr>
                <w:rFonts w:ascii="Times New Roman" w:hAnsi="Times New Roman" w:eastAsia="Times New Roman" w:cs="Times New Roman"/>
                <w:sz w:val="23"/>
                <w:szCs w:val="23"/>
              </w:rPr>
              <w:t>z</w:t>
            </w:r>
            <w:r w:rsidRPr="3A830DEE" w:rsidR="0F2E16E1">
              <w:rPr>
                <w:rFonts w:ascii="Times New Roman" w:hAnsi="Times New Roman" w:eastAsia="Times New Roman" w:cs="Times New Roman"/>
                <w:sz w:val="23"/>
                <w:szCs w:val="23"/>
              </w:rPr>
              <w:t>apojení zúčastněných stran</w:t>
            </w:r>
          </w:p>
        </w:tc>
        <w:tc>
          <w:tcPr>
            <w:tcW w:w="6372" w:type="dxa"/>
            <w:tcMar/>
          </w:tcPr>
          <w:p w:rsidRPr="00CA65C3" w:rsidR="00852465" w:rsidP="3A830DEE" w:rsidRDefault="122907E8" w14:paraId="4AAE739A" w14:textId="41BFA43B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52B4453A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Učitelské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52B4453A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ředitelské organizace, odborná veřejnost</w:t>
            </w:r>
          </w:p>
        </w:tc>
      </w:tr>
      <w:tr w:rsidRPr="00CA65C3" w:rsidR="00852465" w:rsidTr="3A830DEE" w14:paraId="58888365" w14:textId="77777777">
        <w:tc>
          <w:tcPr>
            <w:tcW w:w="3256" w:type="dxa"/>
            <w:tcMar/>
          </w:tcPr>
          <w:p w:rsidRPr="00CA65C3" w:rsidR="00852465" w:rsidP="3A830DEE" w:rsidRDefault="00852465" w14:paraId="05EF4416" w14:textId="5304FAB0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0F2E16E1">
              <w:rPr>
                <w:rFonts w:ascii="Times New Roman" w:hAnsi="Times New Roman" w:eastAsia="Times New Roman" w:cs="Times New Roman"/>
                <w:sz w:val="23"/>
                <w:szCs w:val="23"/>
              </w:rPr>
              <w:t>Překážky</w:t>
            </w:r>
            <w:r w:rsidRPr="3A830DEE" w:rsidR="005B3F5C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005B3F5C">
              <w:rPr>
                <w:rFonts w:ascii="Times New Roman" w:hAnsi="Times New Roman" w:eastAsia="Times New Roman" w:cs="Times New Roman"/>
                <w:sz w:val="23"/>
                <w:szCs w:val="23"/>
              </w:rPr>
              <w:t>rizika</w:t>
            </w:r>
          </w:p>
        </w:tc>
        <w:tc>
          <w:tcPr>
            <w:tcW w:w="6372" w:type="dxa"/>
            <w:tcMar/>
          </w:tcPr>
          <w:p w:rsidRPr="00CA65C3" w:rsidR="00852465" w:rsidP="3A830DEE" w:rsidRDefault="4D3A98EE" w14:paraId="0B59ABE8" w14:textId="101725D7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617C65A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</w:t>
            </w:r>
            <w:r w:rsidRPr="3A830DEE" w:rsidR="6224CA4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esprávné</w:t>
            </w:r>
            <w:r w:rsidRPr="3A830DEE" w:rsidR="6224CA4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pochopení potřeb učitelů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6224CA4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žáků co se týče digitálních vzdělávacích zdrojů</w:t>
            </w:r>
          </w:p>
          <w:p w:rsidRPr="00CA65C3" w:rsidR="00852465" w:rsidP="3A830DEE" w:rsidRDefault="4D3A98EE" w14:paraId="4713AAB4" w14:textId="3533F3F2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0E8C9B5B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</w:t>
            </w:r>
            <w:r w:rsidRPr="3A830DEE" w:rsidR="6224CA4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esprávná práce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s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6224CA4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pokročilými digitálními technologiemi, nedostatečná podpora učitelů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v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6224CA4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této oblasti</w:t>
            </w:r>
          </w:p>
        </w:tc>
      </w:tr>
      <w:tr w:rsidRPr="00CA65C3" w:rsidR="00996DF6" w:rsidTr="3A830DEE" w14:paraId="10F7FBF5" w14:textId="77777777">
        <w:tc>
          <w:tcPr>
            <w:tcW w:w="3256" w:type="dxa"/>
            <w:tcMar/>
          </w:tcPr>
          <w:p w:rsidRPr="00CA65C3" w:rsidR="00996DF6" w:rsidP="3A830DEE" w:rsidRDefault="00996DF6" w14:paraId="4390B09E" w14:textId="3F056B83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26878112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Cílové skupiny populace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26878112">
              <w:rPr>
                <w:rFonts w:ascii="Times New Roman" w:hAnsi="Times New Roman" w:eastAsia="Times New Roman" w:cs="Times New Roman"/>
                <w:sz w:val="23"/>
                <w:szCs w:val="23"/>
              </w:rPr>
              <w:t>ekonomické subjekty</w:t>
            </w:r>
          </w:p>
        </w:tc>
        <w:tc>
          <w:tcPr>
            <w:tcW w:w="6372" w:type="dxa"/>
            <w:tcMar/>
          </w:tcPr>
          <w:p w:rsidRPr="00CA65C3" w:rsidR="00996DF6" w:rsidP="3A830DEE" w:rsidRDefault="1B379ACF" w14:paraId="20D470CC" w14:textId="496E9E25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4CC9BC2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Učitelé, ředitelé škol</w:t>
            </w:r>
          </w:p>
        </w:tc>
      </w:tr>
      <w:tr w:rsidRPr="00CA65C3" w:rsidR="00996DF6" w:rsidTr="3A830DEE" w14:paraId="7A9BAC13" w14:textId="77777777">
        <w:tc>
          <w:tcPr>
            <w:tcW w:w="3256" w:type="dxa"/>
            <w:tcMar/>
          </w:tcPr>
          <w:p w:rsidRPr="00CA65C3" w:rsidR="00996DF6" w:rsidP="3A830DEE" w:rsidRDefault="00996DF6" w14:paraId="7C2A959D" w14:textId="2F562376">
            <w:pPr>
              <w:pStyle w:val="K-Text"/>
              <w:jc w:val="left"/>
              <w:rPr>
                <w:sz w:val="23"/>
                <w:szCs w:val="23"/>
              </w:rPr>
            </w:pPr>
            <w:r w:rsidRPr="3A830DEE" w:rsidR="26878112">
              <w:rPr>
                <w:sz w:val="23"/>
                <w:szCs w:val="23"/>
              </w:rPr>
              <w:t>Souhrnné náklady realizace financované z RRF za celé období</w:t>
            </w:r>
          </w:p>
        </w:tc>
        <w:tc>
          <w:tcPr>
            <w:tcW w:w="6372" w:type="dxa"/>
            <w:tcMar/>
          </w:tcPr>
          <w:p w:rsidRPr="00C74601" w:rsidR="00996DF6" w:rsidP="3A830DEE" w:rsidRDefault="5375E99C" w14:paraId="08BAA013" w14:textId="511C0DA3">
            <w:pPr>
              <w:pStyle w:val="K-TextInfo"/>
              <w:rPr>
                <w:rFonts w:eastAsia="" w:eastAsiaTheme="minorEastAsia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3A830DEE" w:rsidR="20C1FC5C">
              <w:rPr>
                <w:rFonts w:eastAsia="" w:eastAsiaTheme="minorEastAsia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500</w:t>
            </w:r>
            <w:r w:rsidRPr="3A830DEE" w:rsidR="00CA65C3">
              <w:rPr>
                <w:rFonts w:eastAsia="" w:eastAsiaTheme="minorEastAsia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 000 000</w:t>
            </w:r>
            <w:r w:rsidRPr="3A830DEE" w:rsidR="20C1FC5C">
              <w:rPr>
                <w:rFonts w:eastAsia="" w:eastAsiaTheme="minorEastAsia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 xml:space="preserve"> CZK</w:t>
            </w:r>
          </w:p>
        </w:tc>
      </w:tr>
      <w:tr w:rsidRPr="00CA65C3" w:rsidR="00852465" w:rsidTr="3A830DEE" w14:paraId="781CAD7E" w14:textId="77777777">
        <w:tc>
          <w:tcPr>
            <w:tcW w:w="3256" w:type="dxa"/>
            <w:tcMar/>
          </w:tcPr>
          <w:p w:rsidRPr="00A50215" w:rsidR="00852465" w:rsidP="3A830DEE" w:rsidRDefault="3B682672" w14:paraId="0825A8E4" w14:textId="4B619239">
            <w:pPr>
              <w:pStyle w:val="K-Text"/>
              <w:jc w:val="left"/>
              <w:rPr>
                <w:sz w:val="23"/>
                <w:szCs w:val="23"/>
              </w:rPr>
            </w:pPr>
            <w:r w:rsidRPr="3A830DEE" w:rsidR="1BF49F2B">
              <w:rPr>
                <w:sz w:val="23"/>
                <w:szCs w:val="23"/>
              </w:rPr>
              <w:t>Dodržování pravidel státní podpory</w:t>
            </w:r>
          </w:p>
        </w:tc>
        <w:tc>
          <w:tcPr>
            <w:tcW w:w="6372" w:type="dxa"/>
            <w:tcMar/>
          </w:tcPr>
          <w:p w:rsidRPr="00A50215" w:rsidR="00852465" w:rsidP="3A830DEE" w:rsidRDefault="00A50215" w14:paraId="27CCD539" w14:textId="383568C5">
            <w:pPr>
              <w:pStyle w:val="K-TextInfo"/>
              <w:rPr>
                <w:rFonts w:eastAsia="" w:eastAsiaTheme="minorEastAsia"/>
                <w:i w:val="0"/>
                <w:iCs w:val="0"/>
                <w:color w:val="auto"/>
                <w:sz w:val="23"/>
                <w:szCs w:val="23"/>
              </w:rPr>
            </w:pPr>
            <w:r w:rsidRPr="3A830DEE" w:rsidR="5BE1B7D3">
              <w:rPr>
                <w:rFonts w:eastAsia="" w:eastAsiaTheme="minorEastAsia"/>
                <w:i w:val="0"/>
                <w:iCs w:val="0"/>
                <w:color w:val="auto"/>
                <w:sz w:val="23"/>
                <w:szCs w:val="23"/>
              </w:rPr>
              <w:t xml:space="preserve">Finanční prostředky v rámci této reformy budou považovány za veřejné prostředky. MŠMT </w:t>
            </w:r>
            <w:r w:rsidRPr="3A830DEE" w:rsidR="5BE1B7D3">
              <w:rPr>
                <w:rFonts w:eastAsia="" w:eastAsiaTheme="minorEastAsia"/>
                <w:i w:val="0"/>
                <w:iCs w:val="0"/>
                <w:color w:val="auto"/>
                <w:sz w:val="23"/>
                <w:szCs w:val="23"/>
              </w:rPr>
              <w:t xml:space="preserve">a NPI ČR </w:t>
            </w:r>
            <w:r w:rsidRPr="3A830DEE" w:rsidR="5BE1B7D3">
              <w:rPr>
                <w:rFonts w:eastAsia="" w:eastAsiaTheme="minorEastAsia"/>
                <w:i w:val="0"/>
                <w:iCs w:val="0"/>
                <w:color w:val="auto"/>
                <w:sz w:val="23"/>
                <w:szCs w:val="23"/>
              </w:rPr>
              <w:t>zajistí, aby veškerá státní podpora poskytnutá v souvislosti s touto reformou byla v souladu s procedurálními a materiálními předpisy o veřejné podpoře aplikovatelnými v období, kdy je veřejná podpora poskytována.</w:t>
            </w:r>
          </w:p>
        </w:tc>
      </w:tr>
      <w:tr w:rsidRPr="00CA65C3" w:rsidR="00852465" w:rsidTr="3A830DEE" w14:paraId="2DC848FC" w14:textId="77777777">
        <w:tc>
          <w:tcPr>
            <w:tcW w:w="3256" w:type="dxa"/>
            <w:tcMar/>
          </w:tcPr>
          <w:p w:rsidRPr="00CA65C3" w:rsidR="00852465" w:rsidP="3A830DEE" w:rsidRDefault="00996DF6" w14:paraId="7968264E" w14:textId="1DF85D5F">
            <w:pPr>
              <w:pStyle w:val="K-Text"/>
              <w:jc w:val="left"/>
              <w:rPr>
                <w:sz w:val="23"/>
                <w:szCs w:val="23"/>
              </w:rPr>
            </w:pPr>
            <w:r w:rsidRPr="3A830DEE" w:rsidR="26878112">
              <w:rPr>
                <w:sz w:val="23"/>
                <w:szCs w:val="23"/>
              </w:rPr>
              <w:t>Uveďte dobu implementace</w:t>
            </w:r>
          </w:p>
        </w:tc>
        <w:tc>
          <w:tcPr>
            <w:tcW w:w="6372" w:type="dxa"/>
            <w:tcMar/>
          </w:tcPr>
          <w:p w:rsidRPr="00CA65C3" w:rsidR="00852465" w:rsidP="3A830DEE" w:rsidRDefault="00852465" w14:paraId="2B927CBE" w14:textId="17E92DF0">
            <w:pPr>
              <w:pStyle w:val="K-TextInfo"/>
              <w:numPr>
                <w:ilvl w:val="1"/>
                <w:numId w:val="33"/>
              </w:numPr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</w:p>
        </w:tc>
      </w:tr>
    </w:tbl>
    <w:p w:rsidR="00C74601" w:rsidP="006F1BEA" w:rsidRDefault="00C74601" w14:paraId="5122E585" w14:textId="77777777">
      <w:pPr>
        <w:pStyle w:val="K-Text"/>
      </w:pPr>
    </w:p>
    <w:p w:rsidRPr="00CA65C3" w:rsidR="000C0598" w:rsidP="003B50D8" w:rsidRDefault="003B50D8" w14:paraId="1A99F811" w14:textId="09DB29A1">
      <w:pPr>
        <w:pStyle w:val="K-Text"/>
      </w:pPr>
      <w:r>
        <w:rPr>
          <w:b/>
        </w:rPr>
        <w:lastRenderedPageBreak/>
        <w:t>1.</w:t>
      </w:r>
      <w:r w:rsidRPr="00C74601" w:rsidR="1E924F66">
        <w:rPr>
          <w:b/>
        </w:rPr>
        <w:t>2.</w:t>
      </w:r>
      <w:r w:rsidRPr="00CA65C3" w:rsidR="02614C8A">
        <w:rPr>
          <w:rFonts w:eastAsia="Calibri"/>
          <w:b/>
          <w:bCs/>
          <w:color w:val="000000" w:themeColor="text1"/>
          <w:sz w:val="24"/>
          <w:szCs w:val="24"/>
        </w:rPr>
        <w:t xml:space="preserve"> Digitální a informační gramotnost spolu s kritickým myšlením žáků a studentů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Pr="00CA65C3" w:rsidR="366AC567" w:rsidTr="3A830DEE" w14:paraId="18A50EAB" w14:textId="77777777">
        <w:tc>
          <w:tcPr>
            <w:tcW w:w="3256" w:type="dxa"/>
            <w:tcMar/>
          </w:tcPr>
          <w:p w:rsidRPr="00CA65C3" w:rsidR="366AC567" w:rsidP="3A830DEE" w:rsidRDefault="366AC567" w14:paraId="1DD064DE" w14:textId="0D4A873B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Výzva</w:t>
            </w:r>
          </w:p>
        </w:tc>
        <w:tc>
          <w:tcPr>
            <w:tcW w:w="6372" w:type="dxa"/>
            <w:tcMar/>
          </w:tcPr>
          <w:p w:rsidRPr="00CA65C3" w:rsidR="72134684" w:rsidP="3A830DEE" w:rsidRDefault="72134684" w14:paraId="49DFC882" w14:textId="42C3E563">
            <w:pPr>
              <w:spacing w:after="180" w:line="264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26812EFB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Nízká úroveň digitálních dovedností žáků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26812EFB">
              <w:rPr>
                <w:rFonts w:ascii="Times New Roman" w:hAnsi="Times New Roman" w:eastAsia="Times New Roman" w:cs="Times New Roman"/>
                <w:sz w:val="23"/>
                <w:szCs w:val="23"/>
              </w:rPr>
              <w:t>učitelů</w:t>
            </w:r>
          </w:p>
        </w:tc>
      </w:tr>
      <w:tr w:rsidRPr="00CA65C3" w:rsidR="366AC567" w:rsidTr="3A830DEE" w14:paraId="246B4407" w14:textId="77777777">
        <w:tc>
          <w:tcPr>
            <w:tcW w:w="3256" w:type="dxa"/>
            <w:tcMar/>
          </w:tcPr>
          <w:p w:rsidRPr="00CA65C3" w:rsidR="366AC567" w:rsidP="3A830DEE" w:rsidRDefault="366AC567" w14:paraId="7536F2BA" w14:textId="10FDBFDD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Cíl</w:t>
            </w:r>
          </w:p>
        </w:tc>
        <w:tc>
          <w:tcPr>
            <w:tcW w:w="6372" w:type="dxa"/>
            <w:tcMar/>
          </w:tcPr>
          <w:p w:rsidRPr="00CA65C3" w:rsidR="30B82BB6" w:rsidP="3A830DEE" w:rsidRDefault="30B82BB6" w14:paraId="609A9307" w14:textId="06D20655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Globální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m 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cíl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em je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podpora rozvoje digitálních dovedností žáků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.</w:t>
            </w:r>
          </w:p>
          <w:p w:rsidRPr="00CA65C3" w:rsidR="30B82BB6" w:rsidP="3A830DEE" w:rsidRDefault="30B82BB6" w14:paraId="1BE5F17B" w14:textId="4E3CE618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Specifick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ými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cíl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i jsou r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ealizace série vzdělávacích kurzů pro pedagogy v oblasti používání základních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i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pokročilých digitálních technologií s důrazem na jejich didaktické využití ve vzdělávacím procesu</w:t>
            </w:r>
            <w:r w:rsidRPr="3A830DEE" w:rsidR="718B5F8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. A r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ealizace osvětových kampaní pro hlavní cílové skupiny (učitelé, ředitelé, zřizovatelé, žáci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7F0DB0E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studenti) s cílem vysvětlit proměnu obsahu vzdělávání v návaznosti na digitální transformaci společnosti.</w:t>
            </w:r>
          </w:p>
        </w:tc>
      </w:tr>
      <w:tr w:rsidRPr="00CA65C3" w:rsidR="366AC567" w:rsidTr="3A830DEE" w14:paraId="5B918494" w14:textId="77777777">
        <w:tc>
          <w:tcPr>
            <w:tcW w:w="3256" w:type="dxa"/>
            <w:tcMar/>
          </w:tcPr>
          <w:p w:rsidRPr="00CA65C3" w:rsidR="366AC567" w:rsidP="3A830DEE" w:rsidRDefault="366AC567" w14:paraId="10AB5BCF" w14:textId="5393D2F8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Implementace</w:t>
            </w:r>
          </w:p>
        </w:tc>
        <w:tc>
          <w:tcPr>
            <w:tcW w:w="6372" w:type="dxa"/>
            <w:tcMar/>
          </w:tcPr>
          <w:p w:rsidRPr="00CA65C3" w:rsidR="63141641" w:rsidP="3A830DEE" w:rsidRDefault="63141641" w14:paraId="5643E89B" w14:textId="1A8F3010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452CC10A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MŠMT, Národní pedagogický institut</w:t>
            </w:r>
            <w:r w:rsidRPr="3A830DEE" w:rsidR="5BE1B7D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České republiky</w:t>
            </w:r>
          </w:p>
        </w:tc>
      </w:tr>
      <w:tr w:rsidRPr="00CA65C3" w:rsidR="366AC567" w:rsidTr="3A830DEE" w14:paraId="54B43CA9" w14:textId="77777777">
        <w:trPr>
          <w:trHeight w:val="70"/>
        </w:trPr>
        <w:tc>
          <w:tcPr>
            <w:tcW w:w="3256" w:type="dxa"/>
            <w:tcMar/>
          </w:tcPr>
          <w:p w:rsidRPr="00CA65C3" w:rsidR="366AC567" w:rsidP="3A830DEE" w:rsidRDefault="366AC567" w14:paraId="189AEAFB" w14:textId="60E1F19F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Spolupráce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zapojení zúčastněných stran</w:t>
            </w:r>
          </w:p>
        </w:tc>
        <w:tc>
          <w:tcPr>
            <w:tcW w:w="6372" w:type="dxa"/>
            <w:tcMar/>
          </w:tcPr>
          <w:p w:rsidRPr="00CA65C3" w:rsidR="14C79892" w:rsidP="3A830DEE" w:rsidRDefault="14C79892" w14:paraId="473E5E21" w14:textId="52E97C7C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186153D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Učitelské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186153D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ředitelské asociace, neziskové organizace,</w:t>
            </w:r>
            <w:r w:rsidRPr="3A830DEE" w:rsidR="1795ED9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česká národní koalice pro digitální dovednosti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1795ED9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pracovní místa</w:t>
            </w:r>
            <w:r w:rsidRPr="3A830DEE" w:rsidR="72784E7B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(</w:t>
            </w:r>
            <w:proofErr w:type="spellStart"/>
            <w:r w:rsidRPr="3A830DEE" w:rsidR="72784E7B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DigiKoalice</w:t>
            </w:r>
            <w:proofErr w:type="spellEnd"/>
            <w:r w:rsidRPr="3A830DEE" w:rsidR="72784E7B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), vzdělávací </w:t>
            </w:r>
            <w:r w:rsidRPr="3A830DEE" w:rsidR="78A884F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instituce</w:t>
            </w:r>
            <w:r w:rsidRPr="3A830DEE" w:rsidR="72784E7B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</w:t>
            </w:r>
            <w:r w:rsidRPr="3A830DEE" w:rsidR="186153D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</w:t>
            </w:r>
          </w:p>
        </w:tc>
      </w:tr>
      <w:tr w:rsidRPr="00CA65C3" w:rsidR="366AC567" w:rsidTr="3A830DEE" w14:paraId="452FE4C6" w14:textId="77777777">
        <w:tc>
          <w:tcPr>
            <w:tcW w:w="3256" w:type="dxa"/>
            <w:tcMar/>
          </w:tcPr>
          <w:p w:rsidRPr="00CA65C3" w:rsidR="366AC567" w:rsidP="3A830DEE" w:rsidRDefault="366AC567" w14:paraId="272ED8A4" w14:textId="2B91498C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Překážky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rizika</w:t>
            </w:r>
          </w:p>
        </w:tc>
        <w:tc>
          <w:tcPr>
            <w:tcW w:w="6372" w:type="dxa"/>
            <w:tcMar/>
          </w:tcPr>
          <w:p w:rsidRPr="00CA65C3" w:rsidR="1FBEE8B6" w:rsidP="3A830DEE" w:rsidRDefault="1FBEE8B6" w14:paraId="2D78976B" w14:textId="2AE539C4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54B431F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</w:t>
            </w:r>
            <w:r w:rsidRPr="3A830DEE" w:rsidR="53D4D43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ízká kvalita kurzů, nezájem pedagogů</w:t>
            </w:r>
          </w:p>
          <w:p w:rsidRPr="00CA65C3" w:rsidR="1FBEE8B6" w:rsidP="3A830DEE" w:rsidRDefault="1FBEE8B6" w14:paraId="2A48993E" w14:textId="30AA062E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6A5932AC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P</w:t>
            </w:r>
            <w:r w:rsidRPr="3A830DEE" w:rsidR="53D4D43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ouze formální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53D4D43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neúčinná kampaň, její špatné zacílení</w:t>
            </w:r>
          </w:p>
        </w:tc>
      </w:tr>
      <w:tr w:rsidRPr="00CA65C3" w:rsidR="366AC567" w:rsidTr="3A830DEE" w14:paraId="79250A6A" w14:textId="77777777">
        <w:tc>
          <w:tcPr>
            <w:tcW w:w="3256" w:type="dxa"/>
            <w:tcMar/>
          </w:tcPr>
          <w:p w:rsidRPr="00CA65C3" w:rsidR="366AC567" w:rsidP="3A830DEE" w:rsidRDefault="366AC567" w14:paraId="2FF87A6B" w14:textId="0BC32171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Cílové skupiny populace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ekonomické subjekty</w:t>
            </w:r>
          </w:p>
        </w:tc>
        <w:tc>
          <w:tcPr>
            <w:tcW w:w="6372" w:type="dxa"/>
            <w:tcMar/>
          </w:tcPr>
          <w:p w:rsidRPr="00CA65C3" w:rsidR="4269256D" w:rsidP="3A830DEE" w:rsidRDefault="4269256D" w14:paraId="375E6A88" w14:textId="4A3C70B6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6776FDB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Učitelé, ředitelé, zřizovatelé, žáci, rodiče</w:t>
            </w:r>
          </w:p>
        </w:tc>
      </w:tr>
      <w:tr w:rsidRPr="00CA65C3" w:rsidR="366AC567" w:rsidTr="3A830DEE" w14:paraId="24A751E1" w14:textId="77777777">
        <w:tc>
          <w:tcPr>
            <w:tcW w:w="3256" w:type="dxa"/>
            <w:tcMar/>
          </w:tcPr>
          <w:p w:rsidRPr="00CA65C3" w:rsidR="366AC567" w:rsidP="3A830DEE" w:rsidRDefault="366AC567" w14:paraId="62DAA0F7" w14:textId="2F562376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Souhrnné náklady realizace financované z RRF za celé období</w:t>
            </w:r>
          </w:p>
        </w:tc>
        <w:tc>
          <w:tcPr>
            <w:tcW w:w="6372" w:type="dxa"/>
            <w:tcMar/>
          </w:tcPr>
          <w:p w:rsidRPr="00C74601" w:rsidR="6212773C" w:rsidP="3A830DEE" w:rsidRDefault="6212773C" w14:paraId="5F7C03E4" w14:textId="5D7D65EE">
            <w:pPr>
              <w:pStyle w:val="K-TextInf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3A830DEE" w:rsidR="5302B99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950</w:t>
            </w:r>
            <w:r w:rsidRPr="3A830DEE" w:rsidR="00CA65C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 xml:space="preserve"> 000 000 </w:t>
            </w:r>
            <w:r w:rsidRPr="3A830DEE" w:rsidR="5302B99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CZK</w:t>
            </w:r>
          </w:p>
        </w:tc>
      </w:tr>
      <w:tr w:rsidRPr="00CA65C3" w:rsidR="366AC567" w:rsidTr="3A830DEE" w14:paraId="504AE3FB" w14:textId="77777777">
        <w:tc>
          <w:tcPr>
            <w:tcW w:w="3256" w:type="dxa"/>
            <w:tcMar/>
          </w:tcPr>
          <w:p w:rsidRPr="003B50D8" w:rsidR="366AC567" w:rsidP="3A830DEE" w:rsidRDefault="366AC567" w14:paraId="72ECC149" w14:textId="4B619239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Dodržování pravidel státní podpory</w:t>
            </w:r>
          </w:p>
        </w:tc>
        <w:tc>
          <w:tcPr>
            <w:tcW w:w="6372" w:type="dxa"/>
            <w:tcMar/>
          </w:tcPr>
          <w:p w:rsidRPr="003B50D8" w:rsidR="6D29EBE3" w:rsidP="3A830DEE" w:rsidRDefault="00A50215" w14:paraId="2F7C5873" w14:textId="1145C99B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  <w:highlight w:val="yellow"/>
              </w:rPr>
            </w:pPr>
            <w:r w:rsidRPr="3A830DEE" w:rsidR="5BE1B7D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Finanční prostředky v rámci této reformy budou považovány za veřejné prostředky. MŠMT </w:t>
            </w:r>
            <w:r w:rsidRPr="3A830DEE" w:rsidR="5BE1B7D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a NPI ČR </w:t>
            </w:r>
            <w:r w:rsidRPr="3A830DEE" w:rsidR="5BE1B7D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zajistí, aby veškerá státní podpora poskytnutá v souvislosti s touto reformou byla v souladu s procedurálními a materiálními předpisy o veřejné podpoře aplikovatelnými v období, kdy je veřejná podpora poskytována.</w:t>
            </w:r>
          </w:p>
        </w:tc>
      </w:tr>
      <w:tr w:rsidRPr="00CA65C3" w:rsidR="366AC567" w:rsidTr="3A830DEE" w14:paraId="43C26BFA" w14:textId="77777777">
        <w:tc>
          <w:tcPr>
            <w:tcW w:w="3256" w:type="dxa"/>
            <w:tcMar/>
          </w:tcPr>
          <w:p w:rsidRPr="00CA65C3" w:rsidR="366AC567" w:rsidP="3A830DEE" w:rsidRDefault="366AC567" w14:paraId="4FD380E9" w14:textId="1DF85D5F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476C65AE">
              <w:rPr>
                <w:rFonts w:ascii="Times New Roman" w:hAnsi="Times New Roman" w:eastAsia="Times New Roman" w:cs="Times New Roman"/>
                <w:sz w:val="23"/>
                <w:szCs w:val="23"/>
              </w:rPr>
              <w:t>Uveďte dobu implementace</w:t>
            </w:r>
          </w:p>
        </w:tc>
        <w:tc>
          <w:tcPr>
            <w:tcW w:w="6372" w:type="dxa"/>
            <w:tcMar/>
          </w:tcPr>
          <w:p w:rsidRPr="00CA65C3" w:rsidR="123B9C1C" w:rsidP="3A830DEE" w:rsidRDefault="00CA65C3" w14:paraId="3D0E1453" w14:textId="496D3F39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00CA65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2020–2026</w:t>
            </w:r>
          </w:p>
        </w:tc>
      </w:tr>
    </w:tbl>
    <w:p w:rsidR="00C74601" w:rsidP="006F1BEA" w:rsidRDefault="00C74601" w14:paraId="0B5B86BB" w14:textId="77777777">
      <w:pPr>
        <w:pStyle w:val="K-Text"/>
      </w:pPr>
    </w:p>
    <w:p w:rsidRPr="00CA65C3" w:rsidR="002E19BA" w:rsidP="006F1BEA" w:rsidRDefault="003B50D8" w14:paraId="4F06ED6B" w14:textId="0F67F6FA">
      <w:pPr>
        <w:pStyle w:val="K-Text"/>
      </w:pPr>
      <w:r>
        <w:rPr>
          <w:b/>
        </w:rPr>
        <w:t>1.</w:t>
      </w:r>
      <w:r w:rsidRPr="00C74601" w:rsidR="70EC75DA">
        <w:rPr>
          <w:b/>
        </w:rPr>
        <w:t>3.</w:t>
      </w:r>
      <w:r w:rsidRPr="00C74601" w:rsidR="539632E0">
        <w:rPr>
          <w:rFonts w:eastAsia="Calibri"/>
          <w:b/>
          <w:bCs/>
          <w:color w:val="000000" w:themeColor="text1"/>
          <w:sz w:val="24"/>
          <w:szCs w:val="24"/>
        </w:rPr>
        <w:t xml:space="preserve"> Fond</w:t>
      </w:r>
      <w:r w:rsidRPr="00CA65C3" w:rsidR="539632E0">
        <w:rPr>
          <w:rFonts w:eastAsia="Calibri"/>
          <w:b/>
          <w:bCs/>
          <w:color w:val="000000" w:themeColor="text1"/>
          <w:sz w:val="24"/>
          <w:szCs w:val="24"/>
        </w:rPr>
        <w:t xml:space="preserve"> mobilních digitálních zařízení</w:t>
      </w:r>
      <w:r w:rsidRPr="00CA65C3" w:rsidR="539632E0">
        <w:rPr>
          <w:rFonts w:eastAsia="Calibri"/>
          <w:color w:val="000000" w:themeColor="text1"/>
          <w:sz w:val="24"/>
          <w:szCs w:val="24"/>
        </w:rPr>
        <w:t xml:space="preserve"> </w:t>
      </w:r>
      <w:r w:rsidRPr="00CA65C3" w:rsidR="539632E0">
        <w:rPr>
          <w:rFonts w:eastAsia="Calibri"/>
          <w:b/>
          <w:bCs/>
          <w:color w:val="000000" w:themeColor="text1"/>
          <w:sz w:val="24"/>
          <w:szCs w:val="24"/>
        </w:rPr>
        <w:t>pro znevýhodněné žáky a digitalizace základních a středních škol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Pr="00CA65C3" w:rsidR="366AC567" w:rsidTr="3A830DEE" w14:paraId="15D9389B" w14:textId="77777777">
        <w:tc>
          <w:tcPr>
            <w:tcW w:w="3256" w:type="dxa"/>
            <w:tcMar/>
          </w:tcPr>
          <w:p w:rsidRPr="00CA65C3" w:rsidR="366AC567" w:rsidP="3A830DEE" w:rsidRDefault="366AC567" w14:paraId="6F2586FE" w14:textId="0D4A873B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Výzva</w:t>
            </w:r>
          </w:p>
        </w:tc>
        <w:tc>
          <w:tcPr>
            <w:tcW w:w="6372" w:type="dxa"/>
            <w:tcMar/>
          </w:tcPr>
          <w:p w:rsidRPr="00CA65C3" w:rsidR="010E0A9F" w:rsidP="3A830DEE" w:rsidRDefault="010E0A9F" w14:paraId="0CC9A6E6" w14:textId="1E22E8D3">
            <w:pPr>
              <w:spacing w:after="180" w:line="264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 w:rsidRPr="3A830DEE" w:rsidR="36CBBC88"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 xml:space="preserve">Stoupající riziko vytvoření tzv. Digitální propasti </w:t>
            </w:r>
            <w:r w:rsidRPr="3A830DEE" w:rsidR="00C74601"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 </w:t>
            </w:r>
            <w:r w:rsidRPr="3A830DEE" w:rsidR="36CBBC88"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následného digitálního vyloučení</w:t>
            </w:r>
          </w:p>
        </w:tc>
      </w:tr>
      <w:tr w:rsidRPr="00CA65C3" w:rsidR="366AC567" w:rsidTr="3A830DEE" w14:paraId="06A7A8A5" w14:textId="77777777">
        <w:tc>
          <w:tcPr>
            <w:tcW w:w="3256" w:type="dxa"/>
            <w:tcMar/>
          </w:tcPr>
          <w:p w:rsidRPr="00CA65C3" w:rsidR="366AC567" w:rsidP="3A830DEE" w:rsidRDefault="366AC567" w14:paraId="2D7A8EC9" w14:textId="10FDBFDD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Cíl</w:t>
            </w:r>
          </w:p>
        </w:tc>
        <w:tc>
          <w:tcPr>
            <w:tcW w:w="6372" w:type="dxa"/>
            <w:tcMar/>
          </w:tcPr>
          <w:p w:rsidRPr="00CA65C3" w:rsidR="5464274E" w:rsidP="3A830DEE" w:rsidRDefault="5464274E" w14:paraId="7F1350F8" w14:textId="3B8B85A4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Globální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m 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cíl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em je z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aji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š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t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ění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digitální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ho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vybavení dostupné všem žákům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,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tak předejít digitálnímu vyloučení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zlepšení vybavení základními digitálními technologiemi základních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středních škol.</w:t>
            </w:r>
          </w:p>
          <w:p w:rsidRPr="00CA65C3" w:rsidR="5464274E" w:rsidP="3A830DEE" w:rsidRDefault="5464274E" w14:paraId="622A7934" w14:textId="05973EEF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Specifick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ými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cíl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i jsou a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nalýza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reflexe použití mimořádných finančních prostředků na ICT vybavení veřejných základních škol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nižších stupňů gymnázií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. Dále p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odpora IT správy fondu mobilních digitálních zařízení</w:t>
            </w:r>
            <w:r w:rsidRPr="3A830DEE" w:rsidR="0E44C91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. A v neposlední řadě p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oskytnutí mimořádných prostředků na ICT ZŠ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2C179EA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SŠ</w:t>
            </w:r>
          </w:p>
        </w:tc>
      </w:tr>
      <w:tr w:rsidRPr="00CA65C3" w:rsidR="366AC567" w:rsidTr="3A830DEE" w14:paraId="26651C11" w14:textId="77777777">
        <w:tc>
          <w:tcPr>
            <w:tcW w:w="3256" w:type="dxa"/>
            <w:tcMar/>
          </w:tcPr>
          <w:p w:rsidRPr="00CA65C3" w:rsidR="366AC567" w:rsidP="3A830DEE" w:rsidRDefault="366AC567" w14:paraId="79E72960" w14:textId="5393D2F8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Implementace</w:t>
            </w:r>
          </w:p>
        </w:tc>
        <w:tc>
          <w:tcPr>
            <w:tcW w:w="6372" w:type="dxa"/>
            <w:tcMar/>
          </w:tcPr>
          <w:p w:rsidRPr="00CA65C3" w:rsidR="66C7139B" w:rsidP="3A830DEE" w:rsidRDefault="66C7139B" w14:paraId="5D5954E6" w14:textId="03B4FF4D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25DB5F96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MŠMT, ČŠI, školy, zřizovatelé</w:t>
            </w:r>
          </w:p>
        </w:tc>
      </w:tr>
      <w:tr w:rsidRPr="00CA65C3" w:rsidR="366AC567" w:rsidTr="3A830DEE" w14:paraId="07ADC550" w14:textId="77777777">
        <w:trPr>
          <w:trHeight w:val="70"/>
        </w:trPr>
        <w:tc>
          <w:tcPr>
            <w:tcW w:w="3256" w:type="dxa"/>
            <w:tcMar/>
          </w:tcPr>
          <w:p w:rsidRPr="00CA65C3" w:rsidR="366AC567" w:rsidP="3A830DEE" w:rsidRDefault="366AC567" w14:paraId="2C225E4C" w14:textId="7508A414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Spolupráce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zapojení zúčastněných stran</w:t>
            </w:r>
          </w:p>
        </w:tc>
        <w:tc>
          <w:tcPr>
            <w:tcW w:w="6372" w:type="dxa"/>
            <w:tcMar/>
          </w:tcPr>
          <w:p w:rsidRPr="00CA65C3" w:rsidR="2D8790E8" w:rsidP="3A830DEE" w:rsidRDefault="2D8790E8" w14:paraId="47C4DF87" w14:textId="4B7A6CE1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45CEAA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Zřizovatelé, odborná veřejnost, Národní pedagogický institut</w:t>
            </w:r>
          </w:p>
        </w:tc>
      </w:tr>
      <w:tr w:rsidRPr="00CA65C3" w:rsidR="366AC567" w:rsidTr="3A830DEE" w14:paraId="19D86A3B" w14:textId="77777777">
        <w:tc>
          <w:tcPr>
            <w:tcW w:w="3256" w:type="dxa"/>
            <w:tcMar/>
          </w:tcPr>
          <w:p w:rsidRPr="00CA65C3" w:rsidR="366AC567" w:rsidP="3A830DEE" w:rsidRDefault="366AC567" w14:paraId="393353C9" w14:textId="291AEACA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Překážky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rizika</w:t>
            </w:r>
          </w:p>
        </w:tc>
        <w:tc>
          <w:tcPr>
            <w:tcW w:w="6372" w:type="dxa"/>
            <w:tcMar/>
          </w:tcPr>
          <w:p w:rsidRPr="00CA65C3" w:rsidR="403721F2" w:rsidP="3A830DEE" w:rsidRDefault="403721F2" w14:paraId="1C4EBED5" w14:textId="1A0D5FBF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13EEE0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nesprávně formulované otázky 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v</w:t>
            </w:r>
            <w:r w:rsidRPr="3A830DEE" w:rsidR="00C74601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13EEE0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šetření, nesprávná interpretace</w:t>
            </w:r>
          </w:p>
          <w:p w:rsidRPr="00CA65C3" w:rsidR="403721F2" w:rsidP="3A830DEE" w:rsidRDefault="403721F2" w14:paraId="0D30A3DD" w14:textId="50E7D6A4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13EEE0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nevyužívání podpory IT správy ze strany škol</w:t>
            </w:r>
          </w:p>
          <w:p w:rsidRPr="00CA65C3" w:rsidR="403721F2" w:rsidP="3A830DEE" w:rsidRDefault="403721F2" w14:paraId="1851E98E" w14:textId="4BEEE4AB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13EEE0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nevhodné zacílení/rozdělení prostředků; jejich využívání jen motivovanějšími školami; nekvalitní podpora fondu</w:t>
            </w:r>
          </w:p>
        </w:tc>
      </w:tr>
      <w:tr w:rsidRPr="00CA65C3" w:rsidR="366AC567" w:rsidTr="3A830DEE" w14:paraId="7C68B739" w14:textId="77777777">
        <w:tc>
          <w:tcPr>
            <w:tcW w:w="3256" w:type="dxa"/>
            <w:tcMar/>
          </w:tcPr>
          <w:p w:rsidRPr="00CA65C3" w:rsidR="366AC567" w:rsidP="3A830DEE" w:rsidRDefault="366AC567" w14:paraId="56307B19" w14:textId="4976FB82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Cílové skupiny populace 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 w:rsidRPr="3A830DEE" w:rsidR="00C74601">
              <w:rPr>
                <w:rFonts w:ascii="Times New Roman" w:hAnsi="Times New Roman" w:eastAsia="Times New Roman" w:cs="Times New Roman"/>
                <w:sz w:val="23"/>
                <w:szCs w:val="23"/>
              </w:rPr>
              <w:t> </w:t>
            </w: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ekonomické subjekty</w:t>
            </w:r>
          </w:p>
        </w:tc>
        <w:tc>
          <w:tcPr>
            <w:tcW w:w="6372" w:type="dxa"/>
            <w:tcMar/>
          </w:tcPr>
          <w:p w:rsidRPr="00CA65C3" w:rsidR="2BD28F31" w:rsidP="3A830DEE" w:rsidRDefault="2BD28F31" w14:paraId="21A2A9B7" w14:textId="62C4672D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3337BD24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Školy, žáci, rodiny</w:t>
            </w:r>
          </w:p>
        </w:tc>
      </w:tr>
      <w:tr w:rsidRPr="00CA65C3" w:rsidR="366AC567" w:rsidTr="3A830DEE" w14:paraId="6A7B242D" w14:textId="77777777">
        <w:tc>
          <w:tcPr>
            <w:tcW w:w="3256" w:type="dxa"/>
            <w:tcMar/>
          </w:tcPr>
          <w:p w:rsidRPr="00CA65C3" w:rsidR="366AC567" w:rsidP="3A830DEE" w:rsidRDefault="366AC567" w14:paraId="1C5657F1" w14:textId="2F562376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Souhrnné náklady realizace financované z RRF za celé období</w:t>
            </w:r>
          </w:p>
        </w:tc>
        <w:tc>
          <w:tcPr>
            <w:tcW w:w="6372" w:type="dxa"/>
            <w:tcMar/>
          </w:tcPr>
          <w:p w:rsidR="003B50D8" w:rsidP="3A830DEE" w:rsidRDefault="2231910E" w14:paraId="6669C966" w14:textId="5BE60B63">
            <w:pPr>
              <w:pStyle w:val="K-TextInf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3A830DEE" w:rsidR="0BC5232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5</w:t>
            </w:r>
            <w:r w:rsidRPr="3A830DEE" w:rsidR="00CA65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</w:t>
            </w:r>
            <w:r w:rsidRPr="3A830DEE" w:rsidR="0BC5232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3</w:t>
            </w:r>
            <w:r w:rsidRPr="3A830DEE" w:rsidR="00CA65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5</w:t>
            </w:r>
            <w:r w:rsidRPr="3A830DEE" w:rsidR="0BC5232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0</w:t>
            </w:r>
            <w:r w:rsidRPr="3A830DEE" w:rsidR="00CA65C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 000 000</w:t>
            </w:r>
            <w:r w:rsidRPr="3A830DEE" w:rsidR="0BC5232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 CZK</w:t>
            </w:r>
            <w:r>
              <w:br/>
            </w:r>
            <w:r w:rsidRPr="3A830DEE" w:rsidR="003B50D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hlavní záměr 4 050 000 000 CZK</w:t>
            </w:r>
          </w:p>
          <w:p w:rsidRPr="00C74601" w:rsidR="2231910E" w:rsidP="3A830DEE" w:rsidRDefault="003B50D8" w14:paraId="3A8EB273" w14:textId="09457A85">
            <w:pPr>
              <w:pStyle w:val="K-TextInf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3A830DEE" w:rsidR="003B50D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nadpožadavek 1 300 000 000 CZK</w:t>
            </w:r>
          </w:p>
        </w:tc>
      </w:tr>
      <w:tr w:rsidRPr="00CA65C3" w:rsidR="366AC567" w:rsidTr="3A830DEE" w14:paraId="7ECE0E79" w14:textId="77777777">
        <w:tc>
          <w:tcPr>
            <w:tcW w:w="3256" w:type="dxa"/>
            <w:tcMar/>
          </w:tcPr>
          <w:p w:rsidRPr="00CA65C3" w:rsidR="366AC567" w:rsidP="3A830DEE" w:rsidRDefault="366AC567" w14:paraId="5FF779F7" w14:textId="4B619239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Dodržování pravidel státní podpory</w:t>
            </w:r>
          </w:p>
        </w:tc>
        <w:tc>
          <w:tcPr>
            <w:tcW w:w="6372" w:type="dxa"/>
            <w:tcMar/>
          </w:tcPr>
          <w:p w:rsidRPr="00A50215" w:rsidR="509208CD" w:rsidP="3A830DEE" w:rsidRDefault="00A50215" w14:paraId="6D2F906A" w14:textId="594DE96B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7577ACA2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Finanční prostředky v rámci této reformy budou považovány za veřejné prostředky. MŠMT </w:t>
            </w:r>
            <w:r w:rsidRPr="3A830DEE" w:rsidR="7577ACA2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 xml:space="preserve">a NPI ČR </w:t>
            </w:r>
            <w:r w:rsidRPr="3A830DEE" w:rsidR="7577ACA2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zajistí, aby veškerá státní podpora poskytnutá v souvislosti s touto reformou byla v souladu s procedurálními a materiálními předpisy o veřejné podpoře aplikovatelnými v období, kdy je veřejná podpora poskytována.</w:t>
            </w:r>
          </w:p>
        </w:tc>
      </w:tr>
      <w:tr w:rsidRPr="00CA65C3" w:rsidR="366AC567" w:rsidTr="3A830DEE" w14:paraId="32340798" w14:textId="77777777">
        <w:tc>
          <w:tcPr>
            <w:tcW w:w="3256" w:type="dxa"/>
            <w:tcMar/>
          </w:tcPr>
          <w:p w:rsidRPr="00CA65C3" w:rsidR="366AC567" w:rsidP="3A830DEE" w:rsidRDefault="366AC567" w14:paraId="22B17A26" w14:textId="1DF85D5F">
            <w:pPr>
              <w:pStyle w:val="K-Text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A830DEE" w:rsidR="300631AC">
              <w:rPr>
                <w:rFonts w:ascii="Times New Roman" w:hAnsi="Times New Roman" w:eastAsia="Times New Roman" w:cs="Times New Roman"/>
                <w:sz w:val="23"/>
                <w:szCs w:val="23"/>
              </w:rPr>
              <w:t>Uveďte dobu implementace</w:t>
            </w:r>
          </w:p>
        </w:tc>
        <w:tc>
          <w:tcPr>
            <w:tcW w:w="6372" w:type="dxa"/>
            <w:tcMar/>
          </w:tcPr>
          <w:p w:rsidRPr="00CA65C3" w:rsidR="4AF49B80" w:rsidP="3A830DEE" w:rsidRDefault="4AF49B80" w14:paraId="79F17411" w14:textId="5755E548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</w:pPr>
            <w:r w:rsidRPr="3A830DEE" w:rsidR="61F4A1DF"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3"/>
                <w:szCs w:val="23"/>
              </w:rPr>
              <w:t>2020-2026</w:t>
            </w:r>
          </w:p>
        </w:tc>
      </w:tr>
    </w:tbl>
    <w:p w:rsidRPr="00CA65C3" w:rsidR="366AC567" w:rsidP="366AC567" w:rsidRDefault="366AC567" w14:paraId="286D3859" w14:textId="3D4735FB">
      <w:pPr>
        <w:pStyle w:val="K-Text"/>
      </w:pPr>
    </w:p>
    <w:p w:rsidRPr="00CA65C3" w:rsidR="000C0598" w:rsidP="006F1BEA" w:rsidRDefault="000C0598" w14:paraId="57CF0167" w14:textId="77777777">
      <w:pPr>
        <w:pStyle w:val="K-Text"/>
      </w:pPr>
    </w:p>
    <w:p w:rsidRPr="00CA65C3" w:rsidR="002C20CF" w:rsidP="00154B73" w:rsidRDefault="002C20CF" w14:paraId="3B75BCF6" w14:textId="2C21D1F8">
      <w:pPr>
        <w:pStyle w:val="K-Nadpis2"/>
      </w:pPr>
      <w:r w:rsidR="002C20CF">
        <w:rPr/>
        <w:t xml:space="preserve">4. </w:t>
      </w:r>
      <w:r w:rsidR="002D2B80">
        <w:rPr/>
        <w:t>Zelené</w:t>
      </w:r>
      <w:r w:rsidR="7BB0DEB6">
        <w:rPr/>
        <w:t xml:space="preserve"> </w:t>
      </w:r>
      <w:r w:rsidR="00C74601">
        <w:rPr/>
        <w:t>a</w:t>
      </w:r>
      <w:r w:rsidR="00C74601">
        <w:rPr/>
        <w:t> </w:t>
      </w:r>
      <w:r w:rsidR="002D2B80">
        <w:rPr/>
        <w:t>digitální rozměry k</w:t>
      </w:r>
      <w:r w:rsidR="002C20CF">
        <w:rPr/>
        <w:t>omponent</w:t>
      </w:r>
      <w:r w:rsidR="002D2B80">
        <w:rPr/>
        <w:t>y</w:t>
      </w:r>
      <w:r w:rsidR="002C20CF">
        <w:rPr/>
        <w:t xml:space="preserve"> </w:t>
      </w:r>
    </w:p>
    <w:p w:rsidRPr="00CA65C3" w:rsidR="005119E2" w:rsidP="3A830DEE" w:rsidRDefault="005119E2" w14:paraId="5AA6DC3B" w14:textId="32D84B84">
      <w:pPr>
        <w:spacing w:after="180" w:line="264" w:lineRule="auto"/>
        <w:jc w:val="both"/>
        <w:rPr>
          <w:rFonts w:ascii="Times New Roman" w:hAnsi="Times New Roman" w:eastAsia="Calibri" w:cs="Times New Roman"/>
          <w:sz w:val="23"/>
          <w:szCs w:val="23"/>
        </w:rPr>
      </w:pP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Komponenta přispěje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k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naplnění cíle Strategie 2030+, </w:t>
      </w:r>
      <w:r w:rsidRPr="3A830DEE" w:rsidR="5C7DD033">
        <w:rPr>
          <w:rFonts w:ascii="Times New Roman" w:hAnsi="Times New Roman" w:eastAsia="Calibri" w:cs="Times New Roman"/>
          <w:sz w:val="23"/>
          <w:szCs w:val="23"/>
        </w:rPr>
        <w:t>kterým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 je základními a nepostradatelnými kompetencemi vybavený a motivovaný jedinec, který dokáže v co nejvyšší míře využít svůj potenciál v dynamicky se měnícím světě ve prospěch jak svého vlastního rozvoje, tak s ohledem na druhé a ve prospěch rozvoje celé společnosti</w:t>
      </w:r>
      <w:r w:rsidRPr="3A830DEE" w:rsidR="4A52714B">
        <w:rPr>
          <w:rFonts w:ascii="Times New Roman" w:hAnsi="Times New Roman" w:eastAsia="Calibri" w:cs="Times New Roman"/>
          <w:sz w:val="23"/>
          <w:szCs w:val="23"/>
        </w:rPr>
        <w:t>.</w:t>
      </w:r>
      <w:r w:rsidRPr="3A830DEE" w:rsidR="00A64A2C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>Základními a nezbytnými kompetencemi a dovednostmi vybavení jedinci, kteří jsou schopni reagovat na výzvy v dnešním dynamickém světě, přispějí ke dvojité zelené a digitální transformaci. Budou schopni díky základním digitálním dovednostem zodpovědně využívat digitální technologie, ale zároveň se díky pokročilým digitálním dovednostem podílet na jejich tvorbě za využívání inovací a nových technologií.</w:t>
      </w:r>
      <w:r w:rsidRPr="3A830DEE" w:rsidR="00A64A2C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Dále díky pokročilé digitalizaci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tím spojené transformaci vzdělávacího systému očekáváme, že se bude zvyšovat podíl pracovních míst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sektorech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s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vyšší přidanou hodnotou,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naopak se bude snižovat podíl pracovních míst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sekundárním sektoru, především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>těžkém průmyslu.</w:t>
      </w:r>
      <w:r w:rsidRPr="3A830DEE" w:rsidR="00A64A2C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Zároveň očekáváme, že se díky pokročilým digitálním dovednostem žáků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 xml:space="preserve">studentů naplno rozvine potenciál pro tvorbu inovací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i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70E262F4">
        <w:rPr>
          <w:rFonts w:ascii="Times New Roman" w:hAnsi="Times New Roman" w:eastAsia="Calibri" w:cs="Times New Roman"/>
          <w:sz w:val="23"/>
          <w:szCs w:val="23"/>
        </w:rPr>
        <w:t>oblasti trvale udržitelného podnikání.</w:t>
      </w:r>
      <w:r w:rsidRPr="3A830DEE" w:rsidR="00A64A2C">
        <w:rPr>
          <w:rFonts w:ascii="Times New Roman" w:hAnsi="Times New Roman" w:eastAsia="Calibri" w:cs="Times New Roman"/>
          <w:sz w:val="23"/>
          <w:szCs w:val="23"/>
        </w:rPr>
        <w:t xml:space="preserve"> 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 xml:space="preserve">Vzhledem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k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 xml:space="preserve">tomu, že reforma cílí na investici do lidského kapitálů, což samo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o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 xml:space="preserve">sobě přinese vysokou přidanou hodnotu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k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 xml:space="preserve">ekonomickému rozvoji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a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 xml:space="preserve">další 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v</w:t>
      </w:r>
      <w:r w:rsidRPr="3A830DEE" w:rsidR="00C74601">
        <w:rPr>
          <w:rFonts w:ascii="Times New Roman" w:hAnsi="Times New Roman" w:eastAsia="Calibri" w:cs="Times New Roman"/>
          <w:sz w:val="23"/>
          <w:szCs w:val="23"/>
        </w:rPr>
        <w:t> 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>současné době neodhadnute</w:t>
      </w:r>
      <w:r w:rsidRPr="3A830DEE" w:rsidR="4C022EAF">
        <w:rPr>
          <w:rFonts w:ascii="Times New Roman" w:hAnsi="Times New Roman" w:eastAsia="Calibri" w:cs="Times New Roman"/>
          <w:sz w:val="23"/>
          <w:szCs w:val="23"/>
        </w:rPr>
        <w:t xml:space="preserve">lné 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>multiplikační efekt</w:t>
      </w:r>
      <w:r w:rsidRPr="3A830DEE" w:rsidR="2076F8A9">
        <w:rPr>
          <w:rFonts w:ascii="Times New Roman" w:hAnsi="Times New Roman" w:eastAsia="Calibri" w:cs="Times New Roman"/>
          <w:sz w:val="23"/>
          <w:szCs w:val="23"/>
        </w:rPr>
        <w:t>y</w:t>
      </w:r>
      <w:r w:rsidRPr="3A830DEE" w:rsidR="53E53654">
        <w:rPr>
          <w:rFonts w:ascii="Times New Roman" w:hAnsi="Times New Roman" w:eastAsia="Calibri" w:cs="Times New Roman"/>
          <w:sz w:val="23"/>
          <w:szCs w:val="23"/>
        </w:rPr>
        <w:t xml:space="preserve">, je kritérium DNSH splněno. </w:t>
      </w:r>
    </w:p>
    <w:sectPr w:rsidRPr="00CA65C3" w:rsidR="005119E2" w:rsidSect="00CC5E40">
      <w:headerReference w:type="default" r:id="rId16"/>
      <w:footerReference w:type="default" r:id="rId17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34" w:rsidP="00677FE0" w:rsidRDefault="00070134" w14:paraId="4AA8BF85" w14:textId="77777777">
      <w:pPr>
        <w:spacing w:after="0" w:line="240" w:lineRule="auto"/>
      </w:pPr>
      <w:r>
        <w:separator/>
      </w:r>
    </w:p>
  </w:endnote>
  <w:endnote w:type="continuationSeparator" w:id="0">
    <w:p w:rsidR="00070134" w:rsidP="00677FE0" w:rsidRDefault="00070134" w14:paraId="095A41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3635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69CF" w:rsidRDefault="002C69CF" w14:paraId="184C21C3" w14:textId="1E0226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7FE0" w:rsidRDefault="00677FE0" w14:paraId="6D5CE4F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34" w:rsidP="00677FE0" w:rsidRDefault="00070134" w14:paraId="013C8859" w14:textId="77777777">
      <w:pPr>
        <w:spacing w:after="0" w:line="240" w:lineRule="auto"/>
      </w:pPr>
      <w:r>
        <w:separator/>
      </w:r>
    </w:p>
  </w:footnote>
  <w:footnote w:type="continuationSeparator" w:id="0">
    <w:p w:rsidR="00070134" w:rsidP="00677FE0" w:rsidRDefault="00070134" w14:paraId="7244BF9A" w14:textId="77777777">
      <w:pPr>
        <w:spacing w:after="0" w:line="240" w:lineRule="auto"/>
      </w:pPr>
      <w:r>
        <w:continuationSeparator/>
      </w:r>
    </w:p>
  </w:footnote>
  <w:footnote w:id="1">
    <w:p w:rsidRPr="00A87B13" w:rsidR="00EF374D" w:rsidRDefault="00EF374D" w14:paraId="350AB582" w14:textId="77777777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C69CF" w:rsidR="002C69CF" w:rsidRDefault="002C69CF" w14:paraId="3113C97D" w14:textId="24BC7D8A">
    <w:pPr>
      <w:pStyle w:val="Zhlav"/>
      <w:rPr>
        <w:rFonts w:ascii="Times New Roman" w:hAnsi="Times New Roman" w:cs="Times New Roman"/>
        <w:i/>
      </w:rPr>
    </w:pPr>
    <w:r w:rsidRPr="002C69CF">
      <w:rPr>
        <w:rFonts w:ascii="Times New Roman" w:hAnsi="Times New Roman" w:cs="Times New Roman"/>
        <w:i/>
      </w:rPr>
      <w:t>3.1 Inovace ve vzdělávání v kontextu digitalizace</w:t>
    </w:r>
  </w:p>
  <w:p w:rsidR="002C69CF" w:rsidRDefault="002C69CF" w14:paraId="3E0AB65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CB68C8"/>
    <w:multiLevelType w:val="multilevel"/>
    <w:tmpl w:val="A1E69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B9C0D49"/>
    <w:multiLevelType w:val="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hybrid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 w:tplc="B59490FC">
      <w:start w:val="1"/>
      <w:numFmt w:val="bullet"/>
      <w:pStyle w:val="SeznamsodrkamiB"/>
      <w:lvlText w:val="—"/>
      <w:lvlJc w:val="left"/>
      <w:pPr>
        <w:ind w:left="357" w:hanging="357"/>
      </w:pPr>
      <w:rPr>
        <w:rFonts w:hint="default" w:ascii="Calibri" w:hAnsi="Calibri"/>
        <w:sz w:val="16"/>
      </w:rPr>
    </w:lvl>
    <w:lvl w:ilvl="1" w:tplc="83804940">
      <w:start w:val="1"/>
      <w:numFmt w:val="bullet"/>
      <w:pStyle w:val="SeznamsodrkamiB2"/>
      <w:lvlText w:val=""/>
      <w:lvlJc w:val="left"/>
      <w:pPr>
        <w:ind w:left="714" w:hanging="357"/>
      </w:pPr>
      <w:rPr>
        <w:rFonts w:hint="default" w:ascii="Wingdings" w:hAnsi="Wingdings"/>
        <w:sz w:val="14"/>
      </w:rPr>
    </w:lvl>
    <w:lvl w:ilvl="2" w:tplc="B1EAF780">
      <w:start w:val="1"/>
      <w:numFmt w:val="bullet"/>
      <w:pStyle w:val="SeznamsodrkamiB3"/>
      <w:lvlText w:val=""/>
      <w:lvlJc w:val="left"/>
      <w:pPr>
        <w:ind w:left="1071" w:hanging="357"/>
      </w:pPr>
      <w:rPr>
        <w:rFonts w:hint="default" w:ascii="Wingdings 2" w:hAnsi="Wingdings 2"/>
      </w:rPr>
    </w:lvl>
    <w:lvl w:ilvl="3" w:tplc="76145120">
      <w:start w:val="1"/>
      <w:numFmt w:val="bullet"/>
      <w:pStyle w:val="SeznamsodrkamiB4"/>
      <w:lvlText w:val=""/>
      <w:lvlJc w:val="left"/>
      <w:pPr>
        <w:ind w:left="1428" w:hanging="357"/>
      </w:pPr>
      <w:rPr>
        <w:rFonts w:hint="default" w:ascii="Wingdings 2" w:hAnsi="Wingdings 2"/>
      </w:rPr>
    </w:lvl>
    <w:lvl w:ilvl="4" w:tplc="BFC4356E">
      <w:start w:val="1"/>
      <w:numFmt w:val="bullet"/>
      <w:pStyle w:val="SeznamsodrkamiB5"/>
      <w:lvlText w:val=""/>
      <w:lvlJc w:val="left"/>
      <w:pPr>
        <w:ind w:left="1785" w:hanging="357"/>
      </w:pPr>
      <w:rPr>
        <w:rFonts w:hint="default" w:ascii="Wingdings 2" w:hAnsi="Wingdings 2"/>
      </w:rPr>
    </w:lvl>
    <w:lvl w:ilvl="5" w:tplc="4878B9E8">
      <w:start w:val="1"/>
      <w:numFmt w:val="bullet"/>
      <w:lvlText w:val=""/>
      <w:lvlJc w:val="left"/>
      <w:pPr>
        <w:ind w:left="2142" w:hanging="357"/>
      </w:pPr>
      <w:rPr>
        <w:rFonts w:hint="default" w:ascii="Wingdings 2" w:hAnsi="Wingdings 2" w:cs="Times New Roman"/>
      </w:rPr>
    </w:lvl>
    <w:lvl w:ilvl="6" w:tplc="8EB678B6">
      <w:start w:val="1"/>
      <w:numFmt w:val="bullet"/>
      <w:lvlText w:val=""/>
      <w:lvlJc w:val="left"/>
      <w:pPr>
        <w:ind w:left="2499" w:hanging="357"/>
      </w:pPr>
      <w:rPr>
        <w:rFonts w:hint="default" w:ascii="Wingdings 2" w:hAnsi="Wingdings 2" w:cs="Times New Roman"/>
      </w:rPr>
    </w:lvl>
    <w:lvl w:ilvl="7" w:tplc="54746F80">
      <w:start w:val="1"/>
      <w:numFmt w:val="bullet"/>
      <w:lvlText w:val=""/>
      <w:lvlJc w:val="left"/>
      <w:pPr>
        <w:ind w:left="2856" w:hanging="357"/>
      </w:pPr>
      <w:rPr>
        <w:rFonts w:hint="default" w:ascii="Wingdings 2" w:hAnsi="Wingdings 2" w:cs="Times New Roman"/>
      </w:rPr>
    </w:lvl>
    <w:lvl w:ilvl="8" w:tplc="DC86C4B6">
      <w:start w:val="1"/>
      <w:numFmt w:val="bullet"/>
      <w:lvlText w:val=""/>
      <w:lvlJc w:val="left"/>
      <w:pPr>
        <w:ind w:left="3213" w:hanging="357"/>
      </w:pPr>
      <w:rPr>
        <w:rFonts w:hint="default" w:ascii="Wingdings 2" w:hAnsi="Wingdings 2" w:cs="Times New Roman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19E35ABB"/>
    <w:multiLevelType w:val="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9F5E1B"/>
    <w:multiLevelType w:val="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B5085B"/>
    <w:multiLevelType w:val="hybridMultilevel"/>
    <w:tmpl w:val="6154666A"/>
    <w:lvl w:ilvl="0" w:tplc="ABC05C1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5B04"/>
    <w:multiLevelType w:val="multilevel"/>
    <w:tmpl w:val="C3B6C5A6"/>
    <w:lvl w:ilvl="0">
      <w:start w:val="1"/>
      <w:numFmt w:val="decimal"/>
      <w:lvlText w:val="%1."/>
      <w:lvlJc w:val="left"/>
      <w:pPr>
        <w:ind w:left="360" w:hanging="360"/>
      </w:pPr>
      <w:rPr>
        <w:rFonts w:hint="default" w:eastAsia="Calibri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 w:eastAsia="Calibr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eastAsia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 w:eastAsia="Calibri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eastAsia="Calibri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 w:eastAsia="Calibri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eastAsia="Calibri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 w:eastAsia="Calibri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eastAsia="Calibri"/>
      </w:rPr>
    </w:lvl>
  </w:abstractNum>
  <w:abstractNum w:abstractNumId="13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83140"/>
    <w:multiLevelType w:val="hybridMultilevel"/>
    <w:tmpl w:val="678863A8"/>
    <w:lvl w:ilvl="0" w:tplc="B6E640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CCD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6F4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E69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4D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20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62E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E65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CA99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 w:tplc="06BE14B2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 w:tplc="38045ECC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 w:tplc="146002AE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 w:tplc="0F0477F6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 w:tplc="747AD430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 w:tplc="C8A0290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25A650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2CEA5B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67AE2B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321E4"/>
    <w:multiLevelType w:val="hybrid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hint="default" w:ascii="Wingdings" w:hAnsi="Wingdings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hint="default" w:ascii="Wingdings" w:hAnsi="Wingdings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hint="default" w:ascii="Wingdings" w:hAnsi="Wingdings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hint="default" w:ascii="Wingdings" w:hAnsi="Wingdings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hint="default" w:ascii="Wingdings" w:hAnsi="Wingdings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hint="default" w:ascii="Wingdings" w:hAnsi="Wingdings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hint="default" w:ascii="Wingdings" w:hAnsi="Wingdings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hint="default" w:ascii="Wingdings" w:hAnsi="Wingdings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hint="default" w:ascii="Wingdings" w:hAnsi="Wingdings"/>
        <w:color w:val="000000" w:themeColor="text1"/>
        <w:sz w:val="10"/>
      </w:rPr>
    </w:lvl>
  </w:abstractNum>
  <w:abstractNum w:abstractNumId="23" w15:restartNumberingAfterBreak="0">
    <w:nsid w:val="5AF35F43"/>
    <w:multiLevelType w:val="hybridMultilevel"/>
    <w:tmpl w:val="0D8ABE32"/>
    <w:numStyleLink w:val="VariantaB-sla"/>
  </w:abstractNum>
  <w:abstractNum w:abstractNumId="24" w15:restartNumberingAfterBreak="0">
    <w:nsid w:val="5F5E7120"/>
    <w:multiLevelType w:val="hybridMultilevel"/>
    <w:tmpl w:val="889663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933814"/>
    <w:multiLevelType w:val="hybridMultilevel"/>
    <w:tmpl w:val="25407F6E"/>
    <w:lvl w:ilvl="0">
      <w:start w:val="202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6E2E55"/>
    <w:multiLevelType w:val="hybridMultilevel"/>
    <w:tmpl w:val="3C587D64"/>
    <w:lvl w:ilvl="0" w:tplc="F9C6E0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6E11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89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A0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A9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88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F6EC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7E2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F88D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405AA8"/>
    <w:multiLevelType w:val="hybridMultilevel"/>
    <w:tmpl w:val="D4C4237C"/>
    <w:lvl w:ilvl="0" w:tplc="2E861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D4043"/>
    <w:multiLevelType w:val="multilevel"/>
    <w:tmpl w:val="36721DDE"/>
    <w:lvl w:ilvl="0" w:tplc="16727D1E">
      <w:start w:val="1"/>
      <w:numFmt w:val="decimal"/>
      <w:lvlText w:val="%1."/>
      <w:lvlJc w:val="left"/>
      <w:pPr>
        <w:ind w:left="720" w:hanging="360"/>
      </w:pPr>
    </w:lvl>
    <w:lvl w:ilvl="1" w:tplc="4F80383A">
      <w:start w:val="1"/>
      <w:numFmt w:val="lowerLetter"/>
      <w:lvlText w:val="%2."/>
      <w:lvlJc w:val="left"/>
      <w:pPr>
        <w:ind w:left="1440" w:hanging="360"/>
      </w:pPr>
    </w:lvl>
    <w:lvl w:ilvl="2" w:tplc="5040F7FC">
      <w:start w:val="1"/>
      <w:numFmt w:val="lowerRoman"/>
      <w:lvlText w:val="%3."/>
      <w:lvlJc w:val="right"/>
      <w:pPr>
        <w:ind w:left="2160" w:hanging="180"/>
      </w:pPr>
    </w:lvl>
    <w:lvl w:ilvl="3" w:tplc="00702DF6">
      <w:start w:val="1"/>
      <w:numFmt w:val="decimal"/>
      <w:lvlText w:val="%4."/>
      <w:lvlJc w:val="left"/>
      <w:pPr>
        <w:ind w:left="2880" w:hanging="360"/>
      </w:pPr>
    </w:lvl>
    <w:lvl w:ilvl="4" w:tplc="8CCCD062">
      <w:start w:val="1"/>
      <w:numFmt w:val="lowerLetter"/>
      <w:lvlText w:val="%5."/>
      <w:lvlJc w:val="left"/>
      <w:pPr>
        <w:ind w:left="3600" w:hanging="360"/>
      </w:pPr>
    </w:lvl>
    <w:lvl w:ilvl="5" w:tplc="DFB01DF2">
      <w:start w:val="1"/>
      <w:numFmt w:val="lowerRoman"/>
      <w:lvlText w:val="%6."/>
      <w:lvlJc w:val="right"/>
      <w:pPr>
        <w:ind w:left="4320" w:hanging="180"/>
      </w:pPr>
    </w:lvl>
    <w:lvl w:ilvl="6" w:tplc="17C66E10">
      <w:start w:val="1"/>
      <w:numFmt w:val="decimal"/>
      <w:lvlText w:val="%7."/>
      <w:lvlJc w:val="left"/>
      <w:pPr>
        <w:ind w:left="5040" w:hanging="360"/>
      </w:pPr>
    </w:lvl>
    <w:lvl w:ilvl="7" w:tplc="BB5C3816">
      <w:start w:val="1"/>
      <w:numFmt w:val="lowerLetter"/>
      <w:lvlText w:val="%8."/>
      <w:lvlJc w:val="left"/>
      <w:pPr>
        <w:ind w:left="5760" w:hanging="360"/>
      </w:pPr>
    </w:lvl>
    <w:lvl w:ilvl="8" w:tplc="F1527F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4F9C"/>
    <w:multiLevelType w:val="hybridMultilevel"/>
    <w:tmpl w:val="D7A8C096"/>
    <w:lvl w:ilvl="0" w:tplc="B394B116">
      <w:start w:val="1"/>
      <w:numFmt w:val="decimal"/>
      <w:lvlText w:val="%1)"/>
      <w:lvlJc w:val="left"/>
      <w:pPr>
        <w:ind w:left="720" w:hanging="360"/>
      </w:pPr>
    </w:lvl>
    <w:lvl w:ilvl="1" w:tplc="369C67A8">
      <w:start w:val="1"/>
      <w:numFmt w:val="lowerLetter"/>
      <w:lvlText w:val="%2."/>
      <w:lvlJc w:val="left"/>
      <w:pPr>
        <w:ind w:left="1440" w:hanging="360"/>
      </w:pPr>
    </w:lvl>
    <w:lvl w:ilvl="2" w:tplc="09FE9D4E">
      <w:start w:val="1"/>
      <w:numFmt w:val="lowerRoman"/>
      <w:lvlText w:val="%3."/>
      <w:lvlJc w:val="right"/>
      <w:pPr>
        <w:ind w:left="2160" w:hanging="180"/>
      </w:pPr>
    </w:lvl>
    <w:lvl w:ilvl="3" w:tplc="46628378">
      <w:start w:val="1"/>
      <w:numFmt w:val="decimal"/>
      <w:lvlText w:val="%4."/>
      <w:lvlJc w:val="left"/>
      <w:pPr>
        <w:ind w:left="2880" w:hanging="360"/>
      </w:pPr>
    </w:lvl>
    <w:lvl w:ilvl="4" w:tplc="23B6694E">
      <w:start w:val="1"/>
      <w:numFmt w:val="lowerLetter"/>
      <w:lvlText w:val="%5."/>
      <w:lvlJc w:val="left"/>
      <w:pPr>
        <w:ind w:left="3600" w:hanging="360"/>
      </w:pPr>
    </w:lvl>
    <w:lvl w:ilvl="5" w:tplc="35B0E80C">
      <w:start w:val="1"/>
      <w:numFmt w:val="lowerRoman"/>
      <w:lvlText w:val="%6."/>
      <w:lvlJc w:val="right"/>
      <w:pPr>
        <w:ind w:left="4320" w:hanging="180"/>
      </w:pPr>
    </w:lvl>
    <w:lvl w:ilvl="6" w:tplc="D45A21BE">
      <w:start w:val="1"/>
      <w:numFmt w:val="decimal"/>
      <w:lvlText w:val="%7."/>
      <w:lvlJc w:val="left"/>
      <w:pPr>
        <w:ind w:left="5040" w:hanging="360"/>
      </w:pPr>
    </w:lvl>
    <w:lvl w:ilvl="7" w:tplc="F064F646">
      <w:start w:val="1"/>
      <w:numFmt w:val="lowerLetter"/>
      <w:lvlText w:val="%8."/>
      <w:lvlJc w:val="left"/>
      <w:pPr>
        <w:ind w:left="5760" w:hanging="360"/>
      </w:pPr>
    </w:lvl>
    <w:lvl w:ilvl="8" w:tplc="6AE65F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31"/>
  </w:num>
  <w:num w:numId="5">
    <w:abstractNumId w:val="1"/>
  </w:num>
  <w:num w:numId="6">
    <w:abstractNumId w:val="32"/>
  </w:num>
  <w:num w:numId="7">
    <w:abstractNumId w:val="4"/>
  </w:num>
  <w:num w:numId="8">
    <w:abstractNumId w:val="22"/>
  </w:num>
  <w:num w:numId="9">
    <w:abstractNumId w:val="17"/>
  </w:num>
  <w:num w:numId="10">
    <w:abstractNumId w:val="0"/>
  </w:num>
  <w:num w:numId="11">
    <w:abstractNumId w:val="23"/>
  </w:num>
  <w:num w:numId="12">
    <w:abstractNumId w:val="10"/>
  </w:num>
  <w:num w:numId="13">
    <w:abstractNumId w:val="5"/>
  </w:num>
  <w:num w:numId="14">
    <w:abstractNumId w:val="3"/>
  </w:num>
  <w:num w:numId="15">
    <w:abstractNumId w:val="18"/>
  </w:num>
  <w:num w:numId="16">
    <w:abstractNumId w:val="14"/>
  </w:num>
  <w:num w:numId="17">
    <w:abstractNumId w:val="7"/>
  </w:num>
  <w:num w:numId="18">
    <w:abstractNumId w:val="25"/>
  </w:num>
  <w:num w:numId="19">
    <w:abstractNumId w:val="20"/>
  </w:num>
  <w:num w:numId="20">
    <w:abstractNumId w:val="26"/>
  </w:num>
  <w:num w:numId="21">
    <w:abstractNumId w:val="29"/>
  </w:num>
  <w:num w:numId="22">
    <w:abstractNumId w:val="19"/>
  </w:num>
  <w:num w:numId="23">
    <w:abstractNumId w:val="2"/>
  </w:num>
  <w:num w:numId="24">
    <w:abstractNumId w:val="6"/>
  </w:num>
  <w:num w:numId="25">
    <w:abstractNumId w:val="11"/>
  </w:num>
  <w:num w:numId="26">
    <w:abstractNumId w:val="21"/>
  </w:num>
  <w:num w:numId="27">
    <w:abstractNumId w:val="9"/>
  </w:num>
  <w:num w:numId="28">
    <w:abstractNumId w:val="13"/>
  </w:num>
  <w:num w:numId="29">
    <w:abstractNumId w:val="15"/>
  </w:num>
  <w:num w:numId="30">
    <w:abstractNumId w:val="8"/>
  </w:num>
  <w:num w:numId="31">
    <w:abstractNumId w:val="12"/>
  </w:num>
  <w:num w:numId="32">
    <w:abstractNumId w:val="30"/>
  </w:num>
  <w:num w:numId="33">
    <w:abstractNumId w:val="27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0"/>
  <w:removeDateAndTime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trackRevisions w:val="false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F"/>
    <w:rsid w:val="00015306"/>
    <w:rsid w:val="0002674B"/>
    <w:rsid w:val="00030685"/>
    <w:rsid w:val="0004162E"/>
    <w:rsid w:val="0004786B"/>
    <w:rsid w:val="00063405"/>
    <w:rsid w:val="00070134"/>
    <w:rsid w:val="000809B9"/>
    <w:rsid w:val="00081843"/>
    <w:rsid w:val="00083DF4"/>
    <w:rsid w:val="00090B40"/>
    <w:rsid w:val="00095A0A"/>
    <w:rsid w:val="00095EBD"/>
    <w:rsid w:val="000B1B3D"/>
    <w:rsid w:val="000C0598"/>
    <w:rsid w:val="000C4CAF"/>
    <w:rsid w:val="000D652B"/>
    <w:rsid w:val="000E2207"/>
    <w:rsid w:val="000F404E"/>
    <w:rsid w:val="00121485"/>
    <w:rsid w:val="001268B0"/>
    <w:rsid w:val="0015052B"/>
    <w:rsid w:val="00154B73"/>
    <w:rsid w:val="001745AA"/>
    <w:rsid w:val="0018051B"/>
    <w:rsid w:val="001B1E4A"/>
    <w:rsid w:val="001B58AA"/>
    <w:rsid w:val="001C4DFD"/>
    <w:rsid w:val="001D27C0"/>
    <w:rsid w:val="001E74C3"/>
    <w:rsid w:val="001F6937"/>
    <w:rsid w:val="00207FC3"/>
    <w:rsid w:val="00220DE3"/>
    <w:rsid w:val="002424D3"/>
    <w:rsid w:val="0025290D"/>
    <w:rsid w:val="00260372"/>
    <w:rsid w:val="00262DAF"/>
    <w:rsid w:val="00276696"/>
    <w:rsid w:val="00285AED"/>
    <w:rsid w:val="002C20CF"/>
    <w:rsid w:val="002C4FCC"/>
    <w:rsid w:val="002C69CF"/>
    <w:rsid w:val="002D2B80"/>
    <w:rsid w:val="002E19BA"/>
    <w:rsid w:val="002E2442"/>
    <w:rsid w:val="002F0E8C"/>
    <w:rsid w:val="00304970"/>
    <w:rsid w:val="00310FA0"/>
    <w:rsid w:val="00320481"/>
    <w:rsid w:val="003250CB"/>
    <w:rsid w:val="00333A9E"/>
    <w:rsid w:val="00351CAF"/>
    <w:rsid w:val="00363201"/>
    <w:rsid w:val="00390410"/>
    <w:rsid w:val="0039063C"/>
    <w:rsid w:val="003A46A8"/>
    <w:rsid w:val="003A51AA"/>
    <w:rsid w:val="003B0E92"/>
    <w:rsid w:val="003B50D8"/>
    <w:rsid w:val="003B565A"/>
    <w:rsid w:val="003D00A1"/>
    <w:rsid w:val="003D3067"/>
    <w:rsid w:val="0041427F"/>
    <w:rsid w:val="004509E5"/>
    <w:rsid w:val="00486FB9"/>
    <w:rsid w:val="0048C7C7"/>
    <w:rsid w:val="00493245"/>
    <w:rsid w:val="004C212A"/>
    <w:rsid w:val="004D3A0F"/>
    <w:rsid w:val="004E6019"/>
    <w:rsid w:val="004F4368"/>
    <w:rsid w:val="00500232"/>
    <w:rsid w:val="005015C4"/>
    <w:rsid w:val="00504668"/>
    <w:rsid w:val="00504DF6"/>
    <w:rsid w:val="005119E2"/>
    <w:rsid w:val="00536992"/>
    <w:rsid w:val="005455E1"/>
    <w:rsid w:val="005502BD"/>
    <w:rsid w:val="00556787"/>
    <w:rsid w:val="00582276"/>
    <w:rsid w:val="00586036"/>
    <w:rsid w:val="005B0632"/>
    <w:rsid w:val="005B3F5C"/>
    <w:rsid w:val="005C2560"/>
    <w:rsid w:val="005C4AD7"/>
    <w:rsid w:val="005D1A33"/>
    <w:rsid w:val="005F7585"/>
    <w:rsid w:val="00603DA9"/>
    <w:rsid w:val="00605759"/>
    <w:rsid w:val="00650C6C"/>
    <w:rsid w:val="00652FE6"/>
    <w:rsid w:val="00656F3F"/>
    <w:rsid w:val="00660826"/>
    <w:rsid w:val="00667898"/>
    <w:rsid w:val="00672403"/>
    <w:rsid w:val="00677FE0"/>
    <w:rsid w:val="006953C3"/>
    <w:rsid w:val="006B6764"/>
    <w:rsid w:val="006C30EB"/>
    <w:rsid w:val="006D04EF"/>
    <w:rsid w:val="006E0EF7"/>
    <w:rsid w:val="006E2FB0"/>
    <w:rsid w:val="006F1BEA"/>
    <w:rsid w:val="007102D2"/>
    <w:rsid w:val="00712D72"/>
    <w:rsid w:val="00713948"/>
    <w:rsid w:val="0072734C"/>
    <w:rsid w:val="00741CFD"/>
    <w:rsid w:val="00753A27"/>
    <w:rsid w:val="0079342A"/>
    <w:rsid w:val="007A2737"/>
    <w:rsid w:val="007A67FA"/>
    <w:rsid w:val="007B4949"/>
    <w:rsid w:val="007C0788"/>
    <w:rsid w:val="007C6A25"/>
    <w:rsid w:val="007E55C0"/>
    <w:rsid w:val="007F0BC6"/>
    <w:rsid w:val="00831374"/>
    <w:rsid w:val="00852465"/>
    <w:rsid w:val="00857580"/>
    <w:rsid w:val="00865238"/>
    <w:rsid w:val="00866685"/>
    <w:rsid w:val="008667BF"/>
    <w:rsid w:val="00895645"/>
    <w:rsid w:val="008A7851"/>
    <w:rsid w:val="008C3782"/>
    <w:rsid w:val="008D4A32"/>
    <w:rsid w:val="008D593A"/>
    <w:rsid w:val="008E7760"/>
    <w:rsid w:val="008F227E"/>
    <w:rsid w:val="0091766D"/>
    <w:rsid w:val="00922001"/>
    <w:rsid w:val="00922C17"/>
    <w:rsid w:val="009325EA"/>
    <w:rsid w:val="00942DDD"/>
    <w:rsid w:val="009516A8"/>
    <w:rsid w:val="0097609D"/>
    <w:rsid w:val="0097705C"/>
    <w:rsid w:val="00996DF6"/>
    <w:rsid w:val="009A68C0"/>
    <w:rsid w:val="009B503A"/>
    <w:rsid w:val="009C04D3"/>
    <w:rsid w:val="009F393D"/>
    <w:rsid w:val="009F7F46"/>
    <w:rsid w:val="00A000BF"/>
    <w:rsid w:val="00A0587E"/>
    <w:rsid w:val="00A24C1F"/>
    <w:rsid w:val="00A275BC"/>
    <w:rsid w:val="00A356B5"/>
    <w:rsid w:val="00A464B4"/>
    <w:rsid w:val="00A50215"/>
    <w:rsid w:val="00A618CA"/>
    <w:rsid w:val="00A63D6B"/>
    <w:rsid w:val="00A64A2C"/>
    <w:rsid w:val="00A84B52"/>
    <w:rsid w:val="00A8660F"/>
    <w:rsid w:val="00A87B13"/>
    <w:rsid w:val="00A8DF69"/>
    <w:rsid w:val="00A95C48"/>
    <w:rsid w:val="00AA7056"/>
    <w:rsid w:val="00AB31C6"/>
    <w:rsid w:val="00AB523B"/>
    <w:rsid w:val="00AD7E40"/>
    <w:rsid w:val="00AE59A5"/>
    <w:rsid w:val="00AF2980"/>
    <w:rsid w:val="00AF3BAB"/>
    <w:rsid w:val="00B1114A"/>
    <w:rsid w:val="00B1477A"/>
    <w:rsid w:val="00B1729A"/>
    <w:rsid w:val="00B20993"/>
    <w:rsid w:val="00B31350"/>
    <w:rsid w:val="00B33950"/>
    <w:rsid w:val="00B42E96"/>
    <w:rsid w:val="00B50EE6"/>
    <w:rsid w:val="00B52185"/>
    <w:rsid w:val="00B708DC"/>
    <w:rsid w:val="00B9060C"/>
    <w:rsid w:val="00B94A2A"/>
    <w:rsid w:val="00B9753A"/>
    <w:rsid w:val="00BB479C"/>
    <w:rsid w:val="00BC4720"/>
    <w:rsid w:val="00BD0B80"/>
    <w:rsid w:val="00BD75A2"/>
    <w:rsid w:val="00C2017A"/>
    <w:rsid w:val="00C2026B"/>
    <w:rsid w:val="00C20470"/>
    <w:rsid w:val="00C34B2F"/>
    <w:rsid w:val="00C4641B"/>
    <w:rsid w:val="00C6690E"/>
    <w:rsid w:val="00C703C5"/>
    <w:rsid w:val="00C74601"/>
    <w:rsid w:val="00C805F2"/>
    <w:rsid w:val="00C925FB"/>
    <w:rsid w:val="00C96099"/>
    <w:rsid w:val="00C96EFE"/>
    <w:rsid w:val="00CA65C3"/>
    <w:rsid w:val="00CB7EAF"/>
    <w:rsid w:val="00CC5E40"/>
    <w:rsid w:val="00CE0581"/>
    <w:rsid w:val="00CF104D"/>
    <w:rsid w:val="00CF21D8"/>
    <w:rsid w:val="00CF3324"/>
    <w:rsid w:val="00D01CBE"/>
    <w:rsid w:val="00D1569F"/>
    <w:rsid w:val="00D20B1E"/>
    <w:rsid w:val="00D22462"/>
    <w:rsid w:val="00D230AC"/>
    <w:rsid w:val="00D32489"/>
    <w:rsid w:val="00D3349E"/>
    <w:rsid w:val="00D71EF7"/>
    <w:rsid w:val="00D73CB8"/>
    <w:rsid w:val="00D76F54"/>
    <w:rsid w:val="00DA7591"/>
    <w:rsid w:val="00DB6F34"/>
    <w:rsid w:val="00DC646D"/>
    <w:rsid w:val="00DE0ED4"/>
    <w:rsid w:val="00E202EE"/>
    <w:rsid w:val="00E237E4"/>
    <w:rsid w:val="00E32798"/>
    <w:rsid w:val="00E33CC8"/>
    <w:rsid w:val="00E51C91"/>
    <w:rsid w:val="00E56F24"/>
    <w:rsid w:val="00E667C1"/>
    <w:rsid w:val="00E67EEC"/>
    <w:rsid w:val="00EC3F88"/>
    <w:rsid w:val="00ED337B"/>
    <w:rsid w:val="00ED36D8"/>
    <w:rsid w:val="00ED612A"/>
    <w:rsid w:val="00EE6BD7"/>
    <w:rsid w:val="00EF374D"/>
    <w:rsid w:val="00F017B5"/>
    <w:rsid w:val="00F0689D"/>
    <w:rsid w:val="00F3526D"/>
    <w:rsid w:val="00F36A11"/>
    <w:rsid w:val="00F451AB"/>
    <w:rsid w:val="00F8491A"/>
    <w:rsid w:val="00FB01B5"/>
    <w:rsid w:val="00FB2FFA"/>
    <w:rsid w:val="00FC39F6"/>
    <w:rsid w:val="010E0A9F"/>
    <w:rsid w:val="012BA38F"/>
    <w:rsid w:val="0149FBAD"/>
    <w:rsid w:val="014E62D4"/>
    <w:rsid w:val="017BE00D"/>
    <w:rsid w:val="017F1F73"/>
    <w:rsid w:val="01BF38CD"/>
    <w:rsid w:val="0233AB9A"/>
    <w:rsid w:val="02614C8A"/>
    <w:rsid w:val="026E49BD"/>
    <w:rsid w:val="03C757CE"/>
    <w:rsid w:val="03FB9950"/>
    <w:rsid w:val="0446E152"/>
    <w:rsid w:val="052D41B6"/>
    <w:rsid w:val="052DD97B"/>
    <w:rsid w:val="0541AEEA"/>
    <w:rsid w:val="0600868B"/>
    <w:rsid w:val="066A1D67"/>
    <w:rsid w:val="06E746CD"/>
    <w:rsid w:val="07E37753"/>
    <w:rsid w:val="08453A36"/>
    <w:rsid w:val="09615516"/>
    <w:rsid w:val="0999143F"/>
    <w:rsid w:val="0A03814E"/>
    <w:rsid w:val="0A9CFA79"/>
    <w:rsid w:val="0AA33B86"/>
    <w:rsid w:val="0BC5232D"/>
    <w:rsid w:val="0BE1C399"/>
    <w:rsid w:val="0C1FA0C1"/>
    <w:rsid w:val="0C5AE265"/>
    <w:rsid w:val="0C77B595"/>
    <w:rsid w:val="0C7EF005"/>
    <w:rsid w:val="0CCE5AA4"/>
    <w:rsid w:val="0CCF68E4"/>
    <w:rsid w:val="0CFF82FC"/>
    <w:rsid w:val="0D565995"/>
    <w:rsid w:val="0D8F3D0E"/>
    <w:rsid w:val="0DF5AE67"/>
    <w:rsid w:val="0E1E3508"/>
    <w:rsid w:val="0E44C915"/>
    <w:rsid w:val="0E8C9B5B"/>
    <w:rsid w:val="0F2E16E1"/>
    <w:rsid w:val="0F4B4E51"/>
    <w:rsid w:val="0FBA0569"/>
    <w:rsid w:val="0FF31E56"/>
    <w:rsid w:val="1025D31F"/>
    <w:rsid w:val="10F1905B"/>
    <w:rsid w:val="11B5C08D"/>
    <w:rsid w:val="11FC97C0"/>
    <w:rsid w:val="122907E8"/>
    <w:rsid w:val="123B9C1C"/>
    <w:rsid w:val="128A1B86"/>
    <w:rsid w:val="129BE49F"/>
    <w:rsid w:val="133EAA68"/>
    <w:rsid w:val="13EEE0C3"/>
    <w:rsid w:val="1482C77A"/>
    <w:rsid w:val="14C79892"/>
    <w:rsid w:val="166151AD"/>
    <w:rsid w:val="16E43090"/>
    <w:rsid w:val="16FE4528"/>
    <w:rsid w:val="1795ED91"/>
    <w:rsid w:val="17C5174E"/>
    <w:rsid w:val="186153D0"/>
    <w:rsid w:val="18949B57"/>
    <w:rsid w:val="18A63DA9"/>
    <w:rsid w:val="1905DE7E"/>
    <w:rsid w:val="19B09285"/>
    <w:rsid w:val="19CF33A5"/>
    <w:rsid w:val="1A23865D"/>
    <w:rsid w:val="1A44A003"/>
    <w:rsid w:val="1ADE8672"/>
    <w:rsid w:val="1B27317D"/>
    <w:rsid w:val="1B379ACF"/>
    <w:rsid w:val="1BF49F2B"/>
    <w:rsid w:val="1C299E88"/>
    <w:rsid w:val="1C4E5570"/>
    <w:rsid w:val="1D437324"/>
    <w:rsid w:val="1D732307"/>
    <w:rsid w:val="1DDD7E81"/>
    <w:rsid w:val="1E1D17A0"/>
    <w:rsid w:val="1E924F66"/>
    <w:rsid w:val="1EC62228"/>
    <w:rsid w:val="1F0EF368"/>
    <w:rsid w:val="1F126F0E"/>
    <w:rsid w:val="1F613F4A"/>
    <w:rsid w:val="1F91B78E"/>
    <w:rsid w:val="1FA25B3D"/>
    <w:rsid w:val="1FA50749"/>
    <w:rsid w:val="1FBEE8B6"/>
    <w:rsid w:val="1FE0D465"/>
    <w:rsid w:val="2054C97C"/>
    <w:rsid w:val="2076F8A9"/>
    <w:rsid w:val="20C1FC5C"/>
    <w:rsid w:val="22195D5C"/>
    <w:rsid w:val="2231910E"/>
    <w:rsid w:val="22D1F8F9"/>
    <w:rsid w:val="23795344"/>
    <w:rsid w:val="2436396C"/>
    <w:rsid w:val="246528B1"/>
    <w:rsid w:val="246C405B"/>
    <w:rsid w:val="249D2F54"/>
    <w:rsid w:val="2522C532"/>
    <w:rsid w:val="252B38FA"/>
    <w:rsid w:val="254B9D5F"/>
    <w:rsid w:val="25C7C573"/>
    <w:rsid w:val="25DB5F96"/>
    <w:rsid w:val="25DE04E6"/>
    <w:rsid w:val="26812EFB"/>
    <w:rsid w:val="26878112"/>
    <w:rsid w:val="27332DAA"/>
    <w:rsid w:val="291F7177"/>
    <w:rsid w:val="29A998A1"/>
    <w:rsid w:val="2ADCCA1C"/>
    <w:rsid w:val="2BC604E1"/>
    <w:rsid w:val="2BD28F31"/>
    <w:rsid w:val="2BF563F6"/>
    <w:rsid w:val="2C0E44A2"/>
    <w:rsid w:val="2C179EA1"/>
    <w:rsid w:val="2D4765FD"/>
    <w:rsid w:val="2D8790E8"/>
    <w:rsid w:val="2E13D1FE"/>
    <w:rsid w:val="2EE36834"/>
    <w:rsid w:val="2F36BCD8"/>
    <w:rsid w:val="2F7C0C7C"/>
    <w:rsid w:val="300631AC"/>
    <w:rsid w:val="306497DC"/>
    <w:rsid w:val="30B82BB6"/>
    <w:rsid w:val="30E14FDF"/>
    <w:rsid w:val="312F3389"/>
    <w:rsid w:val="31ABD104"/>
    <w:rsid w:val="31BBF2FA"/>
    <w:rsid w:val="3274DB06"/>
    <w:rsid w:val="3337BD24"/>
    <w:rsid w:val="347D9430"/>
    <w:rsid w:val="355E87BA"/>
    <w:rsid w:val="3589A9A4"/>
    <w:rsid w:val="365C1BD5"/>
    <w:rsid w:val="366AC567"/>
    <w:rsid w:val="36CBBC88"/>
    <w:rsid w:val="3796AC05"/>
    <w:rsid w:val="37ABD28F"/>
    <w:rsid w:val="37B534F2"/>
    <w:rsid w:val="37BC10CF"/>
    <w:rsid w:val="37C0E6C2"/>
    <w:rsid w:val="3896287C"/>
    <w:rsid w:val="38D1E7E5"/>
    <w:rsid w:val="390F7E8F"/>
    <w:rsid w:val="39510553"/>
    <w:rsid w:val="398CCCF4"/>
    <w:rsid w:val="3A830DEE"/>
    <w:rsid w:val="3A894EFB"/>
    <w:rsid w:val="3B26A627"/>
    <w:rsid w:val="3B682672"/>
    <w:rsid w:val="3BD3964D"/>
    <w:rsid w:val="3C07A00F"/>
    <w:rsid w:val="3C24D7BC"/>
    <w:rsid w:val="3C9AC9D1"/>
    <w:rsid w:val="3CD29CF1"/>
    <w:rsid w:val="3D145F37"/>
    <w:rsid w:val="3DF66C4D"/>
    <w:rsid w:val="3E337EE7"/>
    <w:rsid w:val="3E9514B9"/>
    <w:rsid w:val="3ECC467B"/>
    <w:rsid w:val="3EE0BCA0"/>
    <w:rsid w:val="400B2680"/>
    <w:rsid w:val="403721F2"/>
    <w:rsid w:val="40700EFA"/>
    <w:rsid w:val="407C36B9"/>
    <w:rsid w:val="4173F3FF"/>
    <w:rsid w:val="41AFB4CF"/>
    <w:rsid w:val="4269256D"/>
    <w:rsid w:val="4350775C"/>
    <w:rsid w:val="43638CB2"/>
    <w:rsid w:val="43E8E8B2"/>
    <w:rsid w:val="441708E4"/>
    <w:rsid w:val="452CC10A"/>
    <w:rsid w:val="45CEAAC3"/>
    <w:rsid w:val="4666E578"/>
    <w:rsid w:val="473B2810"/>
    <w:rsid w:val="474BA33B"/>
    <w:rsid w:val="476C65AE"/>
    <w:rsid w:val="47CC6893"/>
    <w:rsid w:val="484991F9"/>
    <w:rsid w:val="485A0064"/>
    <w:rsid w:val="491DE6A8"/>
    <w:rsid w:val="4921C9D6"/>
    <w:rsid w:val="494E00C0"/>
    <w:rsid w:val="4A52714B"/>
    <w:rsid w:val="4AF49B80"/>
    <w:rsid w:val="4B08EFAA"/>
    <w:rsid w:val="4B0E6BBE"/>
    <w:rsid w:val="4B513326"/>
    <w:rsid w:val="4B7CC95A"/>
    <w:rsid w:val="4BF2C262"/>
    <w:rsid w:val="4C022EAF"/>
    <w:rsid w:val="4C1BF536"/>
    <w:rsid w:val="4C774A08"/>
    <w:rsid w:val="4C7FE588"/>
    <w:rsid w:val="4CC9BC29"/>
    <w:rsid w:val="4CCF0F52"/>
    <w:rsid w:val="4D1D8C52"/>
    <w:rsid w:val="4D3A98EE"/>
    <w:rsid w:val="4D62A490"/>
    <w:rsid w:val="4DA4538E"/>
    <w:rsid w:val="4E984369"/>
    <w:rsid w:val="506D0A67"/>
    <w:rsid w:val="509208CD"/>
    <w:rsid w:val="50A312D8"/>
    <w:rsid w:val="50A62922"/>
    <w:rsid w:val="51C50831"/>
    <w:rsid w:val="52B4453A"/>
    <w:rsid w:val="52DED6EE"/>
    <w:rsid w:val="5302B99D"/>
    <w:rsid w:val="5375E99C"/>
    <w:rsid w:val="539632E0"/>
    <w:rsid w:val="53D4D433"/>
    <w:rsid w:val="53E53654"/>
    <w:rsid w:val="543D6B66"/>
    <w:rsid w:val="5464274E"/>
    <w:rsid w:val="54B431F7"/>
    <w:rsid w:val="54BDBE38"/>
    <w:rsid w:val="54BF6CB9"/>
    <w:rsid w:val="54D4C5C9"/>
    <w:rsid w:val="5525A6A1"/>
    <w:rsid w:val="55F32D72"/>
    <w:rsid w:val="58C475CD"/>
    <w:rsid w:val="58FDDF6F"/>
    <w:rsid w:val="598D259B"/>
    <w:rsid w:val="5A412A4F"/>
    <w:rsid w:val="5A4D059A"/>
    <w:rsid w:val="5ADE6014"/>
    <w:rsid w:val="5B07AFA0"/>
    <w:rsid w:val="5B21A24F"/>
    <w:rsid w:val="5B69F109"/>
    <w:rsid w:val="5BC39DC6"/>
    <w:rsid w:val="5BE1B7D3"/>
    <w:rsid w:val="5BEE16B5"/>
    <w:rsid w:val="5C7DD033"/>
    <w:rsid w:val="5C9B87E3"/>
    <w:rsid w:val="5CA0DB84"/>
    <w:rsid w:val="5CA3B2D2"/>
    <w:rsid w:val="5CB52D76"/>
    <w:rsid w:val="5DBD653A"/>
    <w:rsid w:val="5DC2D41D"/>
    <w:rsid w:val="5E3D58D1"/>
    <w:rsid w:val="5E6C8B4D"/>
    <w:rsid w:val="5F08937B"/>
    <w:rsid w:val="5FAC83D7"/>
    <w:rsid w:val="6074AA4E"/>
    <w:rsid w:val="60FA74DF"/>
    <w:rsid w:val="60FE7CA8"/>
    <w:rsid w:val="615385A9"/>
    <w:rsid w:val="617C65A3"/>
    <w:rsid w:val="61F4A1DF"/>
    <w:rsid w:val="6212773C"/>
    <w:rsid w:val="6218C425"/>
    <w:rsid w:val="6224CA4C"/>
    <w:rsid w:val="62964540"/>
    <w:rsid w:val="62F94C01"/>
    <w:rsid w:val="6304013B"/>
    <w:rsid w:val="63141641"/>
    <w:rsid w:val="6377DCF7"/>
    <w:rsid w:val="63E5A166"/>
    <w:rsid w:val="64BFCEE5"/>
    <w:rsid w:val="64E7AAD3"/>
    <w:rsid w:val="6639B965"/>
    <w:rsid w:val="66AF7DB9"/>
    <w:rsid w:val="66C7139B"/>
    <w:rsid w:val="6776FDB1"/>
    <w:rsid w:val="67AA77F7"/>
    <w:rsid w:val="67E0EB03"/>
    <w:rsid w:val="68083B82"/>
    <w:rsid w:val="68233928"/>
    <w:rsid w:val="6843E1BA"/>
    <w:rsid w:val="685EAE7F"/>
    <w:rsid w:val="68962D9C"/>
    <w:rsid w:val="697AACA5"/>
    <w:rsid w:val="69CD1583"/>
    <w:rsid w:val="69E2E3E1"/>
    <w:rsid w:val="6A5932AC"/>
    <w:rsid w:val="6A5F38E8"/>
    <w:rsid w:val="6AEDE46A"/>
    <w:rsid w:val="6B22A616"/>
    <w:rsid w:val="6B7FF984"/>
    <w:rsid w:val="6BAD54FD"/>
    <w:rsid w:val="6BEB3DC1"/>
    <w:rsid w:val="6BF8A0D1"/>
    <w:rsid w:val="6C6757E9"/>
    <w:rsid w:val="6D29EBE3"/>
    <w:rsid w:val="6D6A2AE8"/>
    <w:rsid w:val="6D9F1985"/>
    <w:rsid w:val="6DC3D753"/>
    <w:rsid w:val="6DF107A6"/>
    <w:rsid w:val="6E1E259A"/>
    <w:rsid w:val="6E545B67"/>
    <w:rsid w:val="6F101A90"/>
    <w:rsid w:val="6F219F49"/>
    <w:rsid w:val="6F40834F"/>
    <w:rsid w:val="6FAE28FD"/>
    <w:rsid w:val="70B8F004"/>
    <w:rsid w:val="70E262F4"/>
    <w:rsid w:val="70EC75DA"/>
    <w:rsid w:val="718B5F87"/>
    <w:rsid w:val="720D7F4E"/>
    <w:rsid w:val="72134684"/>
    <w:rsid w:val="72784E7B"/>
    <w:rsid w:val="72CBEA5B"/>
    <w:rsid w:val="734EA2EE"/>
    <w:rsid w:val="7406D5DC"/>
    <w:rsid w:val="74415F2A"/>
    <w:rsid w:val="7457E7C5"/>
    <w:rsid w:val="74596EA0"/>
    <w:rsid w:val="74AB5BF8"/>
    <w:rsid w:val="7577ACA2"/>
    <w:rsid w:val="762DE356"/>
    <w:rsid w:val="764BAC7A"/>
    <w:rsid w:val="767C8625"/>
    <w:rsid w:val="768076A1"/>
    <w:rsid w:val="76DDEAE0"/>
    <w:rsid w:val="76EC1424"/>
    <w:rsid w:val="77097C9B"/>
    <w:rsid w:val="781C4702"/>
    <w:rsid w:val="786C48AB"/>
    <w:rsid w:val="78A884F9"/>
    <w:rsid w:val="7906ED5D"/>
    <w:rsid w:val="7A133B2E"/>
    <w:rsid w:val="7AE1AB52"/>
    <w:rsid w:val="7B2AFAAC"/>
    <w:rsid w:val="7BB0DEB6"/>
    <w:rsid w:val="7C421079"/>
    <w:rsid w:val="7C66368C"/>
    <w:rsid w:val="7CBE8CBE"/>
    <w:rsid w:val="7D0F4509"/>
    <w:rsid w:val="7D926A87"/>
    <w:rsid w:val="7DC3496F"/>
    <w:rsid w:val="7DE1DBF9"/>
    <w:rsid w:val="7F0D0F07"/>
    <w:rsid w:val="7F0DB0E7"/>
    <w:rsid w:val="7F5E4224"/>
    <w:rsid w:val="7FA3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9198F2"/>
  <w15:chartTrackingRefBased/>
  <w15:docId w15:val="{9CE5CF7E-876D-45A3-ADD2-AE09E8A0C6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7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uiPriority="38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hAnsiTheme="majorHAnsi"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styleId="VariantaB-odrky" w:customStyle="1">
    <w:name w:val="Varianta B - odrážky"/>
    <w:uiPriority w:val="99"/>
    <w:rsid w:val="007102D2"/>
    <w:pPr>
      <w:numPr>
        <w:numId w:val="7"/>
      </w:numPr>
    </w:pPr>
  </w:style>
  <w:style w:type="character" w:styleId="Nadpis1Char" w:customStyle="1">
    <w:name w:val="Nadpis 1 Char"/>
    <w:basedOn w:val="Standardnpsmoodstavce"/>
    <w:link w:val="Nadpis1"/>
    <w:uiPriority w:val="7"/>
    <w:rsid w:val="003250CB"/>
    <w:rPr>
      <w:rFonts w:asciiTheme="majorHAnsi" w:hAnsiTheme="majorHAnsi" w:eastAsiaTheme="majorEastAsia" w:cstheme="majorBidi"/>
      <w:b/>
      <w:color w:val="000000" w:themeColor="text1"/>
      <w:sz w:val="28"/>
      <w:szCs w:val="32"/>
    </w:rPr>
  </w:style>
  <w:style w:type="numbering" w:styleId="VariantaA-odrky" w:customStyle="1">
    <w:name w:val="Varianta A - odrážky"/>
    <w:uiPriority w:val="99"/>
    <w:rsid w:val="00262DAF"/>
    <w:pPr>
      <w:numPr>
        <w:numId w:val="8"/>
      </w:numPr>
    </w:pPr>
  </w:style>
  <w:style w:type="character" w:styleId="Nadpis2Char" w:customStyle="1">
    <w:name w:val="Nadpis 2 Char"/>
    <w:basedOn w:val="Standardnpsmoodstavce"/>
    <w:link w:val="Nadpis2"/>
    <w:uiPriority w:val="7"/>
    <w:rsid w:val="003250CB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numbering" w:styleId="VariantaA-sla" w:customStyle="1">
    <w:name w:val="Varianta A - čísla"/>
    <w:uiPriority w:val="99"/>
    <w:rsid w:val="00B50EE6"/>
    <w:pPr>
      <w:numPr>
        <w:numId w:val="10"/>
      </w:numPr>
    </w:pPr>
  </w:style>
  <w:style w:type="numbering" w:styleId="VariantaB-sla" w:customStyle="1">
    <w:name w:val="Varianta B - čísla"/>
    <w:uiPriority w:val="99"/>
    <w:rsid w:val="009F7F46"/>
    <w:pPr>
      <w:numPr>
        <w:numId w:val="9"/>
      </w:numPr>
    </w:pPr>
  </w:style>
  <w:style w:type="character" w:styleId="Nadpis3Char" w:customStyle="1">
    <w:name w:val="Nadpis 3 Char"/>
    <w:basedOn w:val="Standardnpsmoodstavce"/>
    <w:link w:val="Nadpis3"/>
    <w:uiPriority w:val="7"/>
    <w:rsid w:val="003250CB"/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7"/>
    <w:rsid w:val="003250CB"/>
    <w:rPr>
      <w:rFonts w:asciiTheme="majorHAnsi" w:hAnsiTheme="majorHAnsi" w:eastAsiaTheme="majorEastAsia" w:cstheme="majorBidi"/>
      <w:i/>
      <w:iCs/>
      <w:color w:val="000000" w:themeColor="text1"/>
      <w:sz w:val="24"/>
    </w:rPr>
  </w:style>
  <w:style w:type="character" w:styleId="Nadpis5Char" w:customStyle="1">
    <w:name w:val="Nadpis 5 Char"/>
    <w:basedOn w:val="Standardnpsmoodstavce"/>
    <w:link w:val="Nadpis5"/>
    <w:uiPriority w:val="7"/>
    <w:rsid w:val="003250CB"/>
    <w:rPr>
      <w:rFonts w:asciiTheme="majorHAnsi" w:hAnsiTheme="majorHAnsi" w:eastAsiaTheme="majorEastAsia" w:cstheme="majorBidi"/>
      <w:b/>
      <w:color w:val="000000" w:themeColor="text1"/>
    </w:rPr>
  </w:style>
  <w:style w:type="character" w:styleId="Nadpis6Char" w:customStyle="1">
    <w:name w:val="Nadpis 6 Char"/>
    <w:basedOn w:val="Standardnpsmoodstavce"/>
    <w:link w:val="Nadpis6"/>
    <w:uiPriority w:val="7"/>
    <w:rsid w:val="003250CB"/>
    <w:rPr>
      <w:rFonts w:asciiTheme="majorHAnsi" w:hAnsiTheme="majorHAnsi" w:eastAsiaTheme="majorEastAsia" w:cstheme="majorBidi"/>
      <w:i/>
      <w:color w:val="000000" w:themeColor="text1"/>
    </w:rPr>
  </w:style>
  <w:style w:type="character" w:styleId="Nadpis7Char" w:customStyle="1">
    <w:name w:val="Nadpis 7 Char"/>
    <w:basedOn w:val="Standardnpsmoodstavce"/>
    <w:link w:val="Nadpis7"/>
    <w:uiPriority w:val="7"/>
    <w:rsid w:val="003250CB"/>
    <w:rPr>
      <w:rFonts w:asciiTheme="majorHAnsi" w:hAnsiTheme="majorHAnsi" w:eastAsiaTheme="majorEastAsia" w:cstheme="majorBidi"/>
      <w:iCs/>
      <w:color w:val="000000" w:themeColor="text1"/>
    </w:rPr>
  </w:style>
  <w:style w:type="character" w:styleId="Nadpis8Char" w:customStyle="1">
    <w:name w:val="Nadpis 8 Char"/>
    <w:basedOn w:val="Standardnpsmoodstavce"/>
    <w:link w:val="Nadpis8"/>
    <w:uiPriority w:val="7"/>
    <w:rsid w:val="003250CB"/>
    <w:rPr>
      <w:rFonts w:asciiTheme="majorHAnsi" w:hAnsiTheme="majorHAnsi" w:eastAsiaTheme="majorEastAsia" w:cstheme="majorBidi"/>
      <w:b/>
      <w:color w:val="272727" w:themeColor="text1" w:themeTint="D8"/>
      <w:szCs w:val="21"/>
    </w:rPr>
  </w:style>
  <w:style w:type="character" w:styleId="Nadpis9Char" w:customStyle="1">
    <w:name w:val="Nadpis 9 Char"/>
    <w:basedOn w:val="Standardnpsmoodstavce"/>
    <w:link w:val="Nadpis9"/>
    <w:uiPriority w:val="7"/>
    <w:rsid w:val="003250CB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48"/>
      <w:szCs w:val="56"/>
    </w:rPr>
  </w:style>
  <w:style w:type="character" w:styleId="NzevChar" w:customStyle="1">
    <w:name w:val="Název Char"/>
    <w:basedOn w:val="Standardnpsmoodstavce"/>
    <w:link w:val="Nzev"/>
    <w:uiPriority w:val="4"/>
    <w:rsid w:val="003250CB"/>
    <w:rPr>
      <w:rFonts w:asciiTheme="majorHAnsi" w:hAnsiTheme="majorHAnsi" w:eastAsiaTheme="majorEastAsia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color="000000" w:themeColor="text1" w:sz="4" w:space="10"/>
        <w:bottom w:val="single" w:color="000000" w:themeColor="text1" w:sz="4" w:space="10"/>
      </w:pBdr>
      <w:spacing w:before="240" w:after="240"/>
      <w:ind w:left="357" w:right="357"/>
    </w:pPr>
    <w:rPr>
      <w:i/>
      <w:iCs/>
    </w:rPr>
  </w:style>
  <w:style w:type="character" w:styleId="VrazncittChar" w:customStyle="1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1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1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1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1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13"/>
      </w:numPr>
      <w:spacing w:after="0"/>
      <w:contextualSpacing/>
    </w:pPr>
  </w:style>
  <w:style w:type="paragraph" w:styleId="slovanseznamB" w:customStyle="1">
    <w:name w:val="Číslovaný seznam B"/>
    <w:basedOn w:val="Normln"/>
    <w:uiPriority w:val="16"/>
    <w:rsid w:val="009F7F46"/>
    <w:pPr>
      <w:numPr>
        <w:numId w:val="11"/>
      </w:numPr>
      <w:spacing w:after="0"/>
    </w:pPr>
  </w:style>
  <w:style w:type="paragraph" w:styleId="slovanseznamB2" w:customStyle="1">
    <w:name w:val="Číslovaný seznam B 2"/>
    <w:basedOn w:val="Normln"/>
    <w:uiPriority w:val="16"/>
    <w:rsid w:val="009F7F46"/>
    <w:pPr>
      <w:numPr>
        <w:ilvl w:val="1"/>
        <w:numId w:val="11"/>
      </w:numPr>
      <w:spacing w:after="0"/>
    </w:pPr>
  </w:style>
  <w:style w:type="paragraph" w:styleId="slovanseznamB3" w:customStyle="1">
    <w:name w:val="Číslovaný seznam B 3"/>
    <w:basedOn w:val="Normln"/>
    <w:uiPriority w:val="16"/>
    <w:rsid w:val="009F7F46"/>
    <w:pPr>
      <w:numPr>
        <w:ilvl w:val="2"/>
        <w:numId w:val="11"/>
      </w:numPr>
      <w:spacing w:after="0"/>
    </w:pPr>
  </w:style>
  <w:style w:type="paragraph" w:styleId="slovanseznamB4" w:customStyle="1">
    <w:name w:val="Číslovaný seznam B 4"/>
    <w:basedOn w:val="Normln"/>
    <w:uiPriority w:val="16"/>
    <w:rsid w:val="009F7F46"/>
    <w:pPr>
      <w:numPr>
        <w:ilvl w:val="3"/>
        <w:numId w:val="11"/>
      </w:numPr>
      <w:spacing w:after="0"/>
    </w:pPr>
  </w:style>
  <w:style w:type="paragraph" w:styleId="slovanseznamB5" w:customStyle="1">
    <w:name w:val="Číslovaný seznam B 5"/>
    <w:basedOn w:val="Normln"/>
    <w:uiPriority w:val="16"/>
    <w:rsid w:val="009F7F46"/>
    <w:pPr>
      <w:numPr>
        <w:ilvl w:val="4"/>
        <w:numId w:val="1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1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1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1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1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12"/>
      </w:numPr>
      <w:spacing w:after="0"/>
      <w:contextualSpacing/>
    </w:pPr>
  </w:style>
  <w:style w:type="paragraph" w:styleId="Nadpis1-mimoobsah" w:customStyle="1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styleId="Nadpis2-mimoobsah" w:customStyle="1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styleId="Nadpis3-mimoobsah" w:customStyle="1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styleId="Nadpis4-mimoobsah" w:customStyle="1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styleId="Nadpis5-mimoobsah" w:customStyle="1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styleId="Nadpis7mimoobsah" w:customStyle="1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styleId="Nadpis6mimoobsah" w:customStyle="1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styleId="Nadpis8mimoobsah" w:customStyle="1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styleId="Nadpis9mimoobsah" w:customStyle="1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styleId="PodnadpisChar" w:customStyle="1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styleId="CittChar" w:customStyle="1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styleId="DatumChar" w:customStyle="1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color="000000" w:themeColor="text1" w:sz="2" w:space="10"/>
        <w:left w:val="single" w:color="000000" w:themeColor="text1" w:sz="2" w:space="10"/>
        <w:bottom w:val="single" w:color="000000" w:themeColor="text1" w:sz="2" w:space="10"/>
        <w:right w:val="single" w:color="000000" w:themeColor="text1" w:sz="2" w:space="10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styleId="ZkladntextChar" w:customStyle="1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styleId="ZkladntextodsazenChar" w:customStyle="1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styleId="SeznamsodrkamiB" w:customStyle="1">
    <w:name w:val="Seznam s odrážkami B"/>
    <w:basedOn w:val="Normln"/>
    <w:uiPriority w:val="11"/>
    <w:rsid w:val="007102D2"/>
    <w:pPr>
      <w:numPr>
        <w:numId w:val="14"/>
      </w:numPr>
      <w:spacing w:after="0"/>
    </w:pPr>
  </w:style>
  <w:style w:type="paragraph" w:styleId="SeznamsodrkamiB2" w:customStyle="1">
    <w:name w:val="Seznam s odrážkami B 2"/>
    <w:basedOn w:val="Normln"/>
    <w:uiPriority w:val="11"/>
    <w:rsid w:val="007102D2"/>
    <w:pPr>
      <w:numPr>
        <w:ilvl w:val="1"/>
        <w:numId w:val="14"/>
      </w:numPr>
      <w:spacing w:after="0"/>
    </w:pPr>
  </w:style>
  <w:style w:type="paragraph" w:styleId="SeznamsodrkamiB3" w:customStyle="1">
    <w:name w:val="Seznam s odrážkami B 3"/>
    <w:basedOn w:val="Normln"/>
    <w:uiPriority w:val="11"/>
    <w:rsid w:val="007102D2"/>
    <w:pPr>
      <w:numPr>
        <w:ilvl w:val="2"/>
        <w:numId w:val="14"/>
      </w:numPr>
      <w:spacing w:after="0"/>
    </w:pPr>
  </w:style>
  <w:style w:type="paragraph" w:styleId="SeznamsodrkamiB4" w:customStyle="1">
    <w:name w:val="Seznam s odrážkami B 4"/>
    <w:basedOn w:val="Normln"/>
    <w:uiPriority w:val="11"/>
    <w:rsid w:val="007102D2"/>
    <w:pPr>
      <w:numPr>
        <w:ilvl w:val="3"/>
        <w:numId w:val="14"/>
      </w:numPr>
      <w:spacing w:after="0"/>
    </w:pPr>
  </w:style>
  <w:style w:type="paragraph" w:styleId="SeznamsodrkamiB5" w:customStyle="1">
    <w:name w:val="Seznam s odrážkami B 5"/>
    <w:basedOn w:val="Normln"/>
    <w:uiPriority w:val="11"/>
    <w:rsid w:val="007102D2"/>
    <w:pPr>
      <w:numPr>
        <w:ilvl w:val="4"/>
        <w:numId w:val="14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Default" w:customStyle="1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styleId="K-Nadpis1" w:customStyle="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styleId="K-Nadpis2" w:customStyle="1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styleId="K-Nadpis1Char" w:customStyle="1">
    <w:name w:val="K-Nadpis1 Char"/>
    <w:basedOn w:val="Nadpis1Char"/>
    <w:link w:val="K-Nadpis1"/>
    <w:rsid w:val="00154B73"/>
    <w:rPr>
      <w:rFonts w:ascii="Times New Roman" w:hAnsi="Times New Roman" w:cs="Times New Roman" w:eastAsiaTheme="majorEastAsia"/>
      <w:b/>
      <w:color w:val="000000" w:themeColor="text1"/>
      <w:sz w:val="32"/>
      <w:szCs w:val="32"/>
    </w:rPr>
  </w:style>
  <w:style w:type="paragraph" w:styleId="K-Nadpis3" w:customStyle="1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styleId="K-Nadpis2Char" w:customStyle="1">
    <w:name w:val="K-Nadpis2 Char"/>
    <w:basedOn w:val="Nadpis2Char"/>
    <w:link w:val="K-Nadpis2"/>
    <w:rsid w:val="00154B73"/>
    <w:rPr>
      <w:rFonts w:ascii="Times New Roman" w:hAnsi="Times New Roman" w:cs="Times New Roman" w:eastAsiaTheme="majorEastAsia"/>
      <w:b/>
      <w:color w:val="000000" w:themeColor="text1"/>
      <w:sz w:val="28"/>
      <w:szCs w:val="28"/>
    </w:rPr>
  </w:style>
  <w:style w:type="paragraph" w:styleId="K-Text" w:customStyle="1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styleId="DefaultChar" w:customStyle="1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styleId="K-Nadpis3Char" w:customStyle="1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styleId="K-TextInfo" w:customStyle="1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styleId="K-TextChar" w:customStyle="1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styleId="K-Tabulka" w:customStyle="1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styleId="K-TextInfoChar" w:customStyle="1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styleId="K-TextPozn" w:customStyle="1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styleId="K-TabulkaChar" w:customStyle="1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styleId="K-TextPoznChar" w:customStyle="1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Body" w:customStyle="1">
    <w:name w:val="00 Body"/>
    <w:link w:val="00BodyChar"/>
    <w:qFormat/>
    <w:rsid w:val="366AC567"/>
    <w:pPr>
      <w:spacing w:before="180" w:after="180" w:line="264" w:lineRule="auto"/>
    </w:pPr>
    <w:rPr>
      <w:rFonts w:ascii="Arial (Body)" w:hAnsi="Arial (Body)" w:eastAsia="Times New Roman" w:cs="Times New Roman"/>
      <w:lang w:val="en-US"/>
    </w:rPr>
  </w:style>
  <w:style w:type="character" w:styleId="00BodyChar" w:customStyle="1">
    <w:name w:val="00 Body Char"/>
    <w:link w:val="00Body"/>
    <w:rsid w:val="366AC567"/>
    <w:rPr>
      <w:rFonts w:ascii="Arial (Body)" w:hAnsi="Arial (Body)"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/word/glossary/document.xml" Id="R4da8ecb74bec4b06" /><Relationship Type="http://schemas.openxmlformats.org/officeDocument/2006/relationships/hyperlink" Target="http://www.csicr.cz/html/2020/TZ_Zkusenosti_zaku_ucitelu_ZS_distancni_vyuka_2_pol/html5/index.html?&amp;locale=CSY&amp;pn=15" TargetMode="External" Id="R547842ec462b4b5a" /><Relationship Type="http://schemas.openxmlformats.org/officeDocument/2006/relationships/hyperlink" Target="http://www.csicr.cz/html/2020/TZ_vzdelavani_na_dalku_ZS_SS/html5/index.html?&amp;locale=CSY" TargetMode="External" Id="Rf1cd6da3b7c5476b" /><Relationship Type="http://schemas.openxmlformats.org/officeDocument/2006/relationships/hyperlink" Target="https://www.nku.cz/scripts/detail.php?id=10616" TargetMode="External" Id="R1a792ddf3b2d43a6" /><Relationship Type="http://schemas.openxmlformats.org/officeDocument/2006/relationships/hyperlink" Target="http://idea.cerge-ei.cz/images/COVID/IDEA_Nerovnosti_ve_vzdelavani_COVID-19_kveten2020_18.pdf" TargetMode="External" Id="Rdcd05bf014144851" /><Relationship Type="http://schemas.openxmlformats.org/officeDocument/2006/relationships/hyperlink" Target="https://www.pdf.upol.cz/nc/de/zprava/clanek/ucitele-chteji-vice-vyuzivat-technologie-chybi-jim-ale-potrebne-nastroje-i-podpora-ukazal-vyzkum-1/" TargetMode="External" Id="R238f9598afd247c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b9ec-9d76-4285-8cae-4bf6704429b7}"/>
      </w:docPartPr>
      <w:docPartBody>
        <w:p w14:paraId="5C162E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1758E-458E-400C-A4E9-7E535E591BF2}">
  <ds:schemaRefs>
    <ds:schemaRef ds:uri="329c957c-bbaf-42e6-8a9e-e4166064b989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C61D9F-0B20-4FC7-927F-48A8E50DBC99}"/>
</file>

<file path=customXml/itemProps4.xml><?xml version="1.0" encoding="utf-8"?>
<ds:datastoreItem xmlns:ds="http://schemas.openxmlformats.org/officeDocument/2006/customXml" ds:itemID="{3A32167E-7A7D-4772-976A-063F4E2185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Ministerstvo průmyslu a obchodu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Pápai Adam</dc:creator>
  <keywords/>
  <dc:description/>
  <lastModifiedBy>Mraštíková Lucie</lastModifiedBy>
  <revision>20</revision>
  <dcterms:created xsi:type="dcterms:W3CDTF">2020-12-13T19:22:00.0000000Z</dcterms:created>
  <dcterms:modified xsi:type="dcterms:W3CDTF">2021-01-14T09:39:13.3036416Z</dcterms:modified>
  <contentStatus>Konečný</contentStatus>
</coreProperties>
</file>

<file path=docProps/custom.xml><?xml version="1.0" encoding="utf-8"?>
<op:Properties xmlns="http://schemas.openxmlformats.org/officeDocument/2006/custom-properties"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0x0101008E0668E3FACC0A4D909754AED2896FA5</vt:lpwstr>
  </op:property>
</op:Properties>
</file>