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7EC5" w14:textId="251DA977" w:rsidR="002C20CF" w:rsidRPr="00ED337B" w:rsidRDefault="007C1FD8" w:rsidP="00154B73">
      <w:pPr>
        <w:pStyle w:val="K-Nadpis1"/>
      </w:pPr>
      <w:r>
        <w:t>2.</w:t>
      </w:r>
      <w:r w:rsidR="7659E692">
        <w:t>8</w:t>
      </w:r>
      <w:r>
        <w:t xml:space="preserve"> Regenerace brownfieldů</w:t>
      </w:r>
      <w:r w:rsidR="00154B73">
        <w:t xml:space="preserve"> (</w:t>
      </w:r>
      <w:r>
        <w:t>MMR, MPO</w:t>
      </w:r>
      <w:r w:rsidR="00154B73">
        <w:t>)</w:t>
      </w:r>
      <w:r w:rsidR="002C20CF">
        <w:t xml:space="preserve"> </w:t>
      </w:r>
    </w:p>
    <w:p w14:paraId="00F5B6F2" w14:textId="570D07A4" w:rsidR="002C20CF" w:rsidRPr="00ED337B" w:rsidRDefault="002C20CF" w:rsidP="002C4FCC">
      <w:pPr>
        <w:pStyle w:val="Nadpis2"/>
        <w:rPr>
          <w:rFonts w:ascii="Times New Roman" w:hAnsi="Times New Roman" w:cs="Times New Roman"/>
          <w:sz w:val="28"/>
          <w:szCs w:val="28"/>
        </w:rPr>
      </w:pPr>
      <w:r w:rsidRPr="00ED337B">
        <w:rPr>
          <w:rStyle w:val="K-Nadpis2Char"/>
          <w:b/>
        </w:rPr>
        <w:t xml:space="preserve">1. </w:t>
      </w:r>
      <w:r w:rsidR="00EF374D" w:rsidRPr="00ED337B">
        <w:rPr>
          <w:rStyle w:val="K-Nadpis2Char"/>
          <w:b/>
        </w:rPr>
        <w:t>Popis</w:t>
      </w:r>
      <w:r w:rsidRPr="00ED337B">
        <w:rPr>
          <w:rStyle w:val="K-Nadpis2Char"/>
          <w:b/>
        </w:rPr>
        <w:t xml:space="preserve"> </w:t>
      </w:r>
      <w:r w:rsidR="00EF374D" w:rsidRPr="00ED337B">
        <w:rPr>
          <w:rStyle w:val="K-Nadpis2Char"/>
          <w:b/>
        </w:rPr>
        <w:t>komponenty</w:t>
      </w:r>
    </w:p>
    <w:p w14:paraId="3288F2A0" w14:textId="047CCDE9" w:rsidR="002C20CF" w:rsidRPr="00A87B13" w:rsidRDefault="00EF374D" w:rsidP="00CE0581">
      <w:pPr>
        <w:pStyle w:val="Default"/>
        <w:pBdr>
          <w:top w:val="single" w:sz="4" w:space="1" w:color="auto"/>
          <w:left w:val="single" w:sz="4" w:space="4" w:color="auto"/>
          <w:bottom w:val="single" w:sz="4" w:space="1" w:color="auto"/>
          <w:right w:val="single" w:sz="4" w:space="4" w:color="auto"/>
        </w:pBdr>
        <w:spacing w:after="120"/>
        <w:jc w:val="both"/>
        <w:rPr>
          <w:b/>
          <w:bCs/>
          <w:sz w:val="23"/>
          <w:szCs w:val="23"/>
        </w:rPr>
      </w:pPr>
      <w:r w:rsidRPr="00A87B13">
        <w:rPr>
          <w:rStyle w:val="K-TabulkaChar"/>
        </w:rPr>
        <w:t xml:space="preserve">Souhrnný box </w:t>
      </w:r>
    </w:p>
    <w:p w14:paraId="4D2285D7" w14:textId="6436ABF3" w:rsidR="00EF374D" w:rsidRPr="00095EBD" w:rsidRDefault="00EF374D" w:rsidP="286B46F2">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rPr>
      </w:pPr>
      <w:r w:rsidRPr="286B46F2">
        <w:rPr>
          <w:rStyle w:val="K-TextChar"/>
          <w:rFonts w:eastAsia="Times New Roman"/>
          <w:b/>
          <w:bCs/>
        </w:rPr>
        <w:t>Oblast politiky/obor zájmu:</w:t>
      </w:r>
      <w:r w:rsidR="0015052B" w:rsidRPr="286B46F2">
        <w:rPr>
          <w:rStyle w:val="K-TextChar"/>
          <w:rFonts w:eastAsia="Times New Roman"/>
          <w:b/>
          <w:bCs/>
        </w:rPr>
        <w:t xml:space="preserve"> </w:t>
      </w:r>
      <w:r w:rsidR="0015052B" w:rsidRPr="286B46F2">
        <w:rPr>
          <w:rStyle w:val="K-TextInfoChar"/>
          <w:rFonts w:eastAsia="Times New Roman"/>
          <w:color w:val="auto"/>
          <w:lang w:val="en-GB"/>
        </w:rPr>
        <w:t>Energy efficiency, building renovation, construction/housing, climate policy, social policy, resource efficiency, circular economy</w:t>
      </w:r>
    </w:p>
    <w:p w14:paraId="4109ACF6" w14:textId="5AF7BA62" w:rsidR="00EF374D" w:rsidRPr="00095EBD" w:rsidRDefault="00EF374D" w:rsidP="286B46F2">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rPr>
      </w:pPr>
      <w:r w:rsidRPr="286B46F2">
        <w:rPr>
          <w:rStyle w:val="K-TextChar"/>
          <w:rFonts w:eastAsia="Times New Roman"/>
          <w:b/>
          <w:bCs/>
        </w:rPr>
        <w:t>Cíl:</w:t>
      </w:r>
      <w:r w:rsidR="00095EBD" w:rsidRPr="286B46F2">
        <w:rPr>
          <w:rStyle w:val="K-TextChar"/>
          <w:rFonts w:eastAsia="Times New Roman"/>
          <w:b/>
          <w:bCs/>
        </w:rPr>
        <w:t xml:space="preserve"> </w:t>
      </w:r>
      <w:r w:rsidR="000673DE" w:rsidRPr="286B46F2">
        <w:rPr>
          <w:rStyle w:val="K-TextChar"/>
          <w:rFonts w:eastAsia="Times New Roman"/>
        </w:rPr>
        <w:t>Cílem iniciativy je podpořit v území projekty regenerace brownfieldů a iniciovat tak komplexní přeměny lokalit, posílit ekologickou stabilitu území, omezit zábor nové zemědělské půdy a podpořit zahuštění města bez jeho dalšího rozpínání. Díky podpoře investičních aktivit bude mít naplnění komponenty významným vliv na rozvoj lokálních investic.</w:t>
      </w:r>
      <w:r w:rsidR="000673DE" w:rsidRPr="286B46F2">
        <w:rPr>
          <w:rStyle w:val="K-TextChar"/>
          <w:rFonts w:eastAsia="Times New Roman"/>
          <w:b/>
          <w:bCs/>
        </w:rPr>
        <w:t xml:space="preserve"> </w:t>
      </w:r>
      <w:r w:rsidR="000673DE" w:rsidRPr="286B46F2">
        <w:rPr>
          <w:rStyle w:val="K-TextChar"/>
          <w:rFonts w:eastAsia="Times New Roman"/>
        </w:rPr>
        <w:t>Celkem dojde k revitalizaci nejméně 1</w:t>
      </w:r>
      <w:r w:rsidR="00003369" w:rsidRPr="286B46F2">
        <w:rPr>
          <w:rStyle w:val="K-TextChar"/>
          <w:rFonts w:eastAsia="Times New Roman"/>
        </w:rPr>
        <w:t>9</w:t>
      </w:r>
      <w:r w:rsidR="000673DE" w:rsidRPr="286B46F2">
        <w:rPr>
          <w:rStyle w:val="K-TextChar"/>
          <w:rFonts w:eastAsia="Times New Roman"/>
        </w:rPr>
        <w:t xml:space="preserve">9 brownfieldů a přípravě nejméně 50 </w:t>
      </w:r>
      <w:r w:rsidR="00003369" w:rsidRPr="286B46F2">
        <w:rPr>
          <w:rStyle w:val="K-TextChar"/>
          <w:rFonts w:eastAsia="Times New Roman"/>
        </w:rPr>
        <w:t xml:space="preserve">připravených </w:t>
      </w:r>
      <w:r w:rsidR="000673DE" w:rsidRPr="286B46F2">
        <w:rPr>
          <w:rStyle w:val="K-TextChar"/>
          <w:rFonts w:eastAsia="Times New Roman"/>
        </w:rPr>
        <w:t xml:space="preserve">projektů regenerace brownfieldu. </w:t>
      </w:r>
    </w:p>
    <w:p w14:paraId="2B3D262C" w14:textId="5EDE2154" w:rsidR="00EF374D" w:rsidRPr="00095EBD" w:rsidRDefault="00EF374D" w:rsidP="286B46F2">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b/>
          <w:bCs/>
        </w:rPr>
      </w:pPr>
      <w:r w:rsidRPr="286B46F2">
        <w:rPr>
          <w:rStyle w:val="K-TextChar"/>
          <w:rFonts w:eastAsia="Times New Roman"/>
          <w:b/>
          <w:bCs/>
        </w:rPr>
        <w:t>Reformy a/nebo investice</w:t>
      </w:r>
      <w:r w:rsidRPr="286B46F2">
        <w:rPr>
          <w:rStyle w:val="K-TextChar"/>
          <w:rFonts w:eastAsia="Times New Roman"/>
          <w:b/>
          <w:bCs/>
          <w:vertAlign w:val="superscript"/>
        </w:rPr>
        <w:footnoteReference w:id="2"/>
      </w:r>
      <w:r w:rsidRPr="286B46F2">
        <w:rPr>
          <w:rStyle w:val="K-TextChar"/>
          <w:rFonts w:eastAsia="Times New Roman"/>
          <w:b/>
          <w:bCs/>
        </w:rPr>
        <w:t>:</w:t>
      </w:r>
      <w:r w:rsidR="00095EBD" w:rsidRPr="286B46F2">
        <w:rPr>
          <w:rStyle w:val="K-TextChar"/>
          <w:rFonts w:eastAsia="Times New Roman"/>
          <w:b/>
          <w:bCs/>
        </w:rPr>
        <w:t xml:space="preserve"> </w:t>
      </w:r>
    </w:p>
    <w:p w14:paraId="43AE9C3B" w14:textId="47468979" w:rsidR="009F4CB9" w:rsidRPr="002672D5" w:rsidRDefault="009F4CB9" w:rsidP="286B46F2">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i/>
          <w:color w:val="2196FF" w:themeColor="text2" w:themeTint="99"/>
        </w:rPr>
      </w:pPr>
      <w:r w:rsidRPr="286B46F2">
        <w:rPr>
          <w:rStyle w:val="K-TextChar"/>
          <w:rFonts w:eastAsia="Times New Roman"/>
        </w:rPr>
        <w:t xml:space="preserve">1. Příprava projektů regenerace brownfieldů </w:t>
      </w:r>
      <w:r w:rsidR="002672D5" w:rsidRPr="286B46F2">
        <w:rPr>
          <w:rStyle w:val="K-TextChar"/>
          <w:rFonts w:eastAsia="Times New Roman"/>
        </w:rPr>
        <w:t xml:space="preserve">(COFOG </w:t>
      </w:r>
      <w:r w:rsidR="002672D5" w:rsidRPr="286B46F2">
        <w:rPr>
          <w:rStyle w:val="K-TextInfoChar"/>
          <w:rFonts w:eastAsia="Times New Roman"/>
          <w:i w:val="0"/>
          <w:iCs w:val="0"/>
          <w:color w:val="auto"/>
        </w:rPr>
        <w:t>06.2.0</w:t>
      </w:r>
      <w:r w:rsidR="002672D5" w:rsidRPr="286B46F2">
        <w:rPr>
          <w:rStyle w:val="K-TextChar"/>
          <w:rFonts w:eastAsia="Times New Roman"/>
        </w:rPr>
        <w:t xml:space="preserve">) </w:t>
      </w:r>
      <w:r w:rsidR="00A31808" w:rsidRPr="286B46F2">
        <w:rPr>
          <w:rStyle w:val="K-TextChar"/>
          <w:rFonts w:eastAsia="Times New Roman"/>
        </w:rPr>
        <w:t xml:space="preserve">– investice cílí na podporu projektové přípravy projektů regenerace brownfiledů a tvorby studií budoucího využití lokalit. </w:t>
      </w:r>
    </w:p>
    <w:p w14:paraId="1CAC4A78" w14:textId="4C021134" w:rsidR="009F4CB9" w:rsidRPr="009F4CB9" w:rsidRDefault="009F4CB9" w:rsidP="286B46F2">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rPr>
      </w:pPr>
      <w:r w:rsidRPr="286B46F2">
        <w:rPr>
          <w:rStyle w:val="K-TextChar"/>
          <w:rFonts w:eastAsia="Times New Roman"/>
        </w:rPr>
        <w:t xml:space="preserve">2. Investiční podpora regenerace brownfieldů s cílem zajištění vysoké úrovně energetické účinnosti a adaptace na klimatické změny </w:t>
      </w:r>
      <w:r w:rsidR="002672D5" w:rsidRPr="286B46F2">
        <w:rPr>
          <w:rStyle w:val="K-TextChar"/>
          <w:rFonts w:eastAsia="Times New Roman"/>
        </w:rPr>
        <w:t xml:space="preserve">(COFOG </w:t>
      </w:r>
      <w:r w:rsidR="002672D5" w:rsidRPr="286B46F2">
        <w:rPr>
          <w:rStyle w:val="K-TextInfoChar"/>
          <w:rFonts w:eastAsia="Times New Roman"/>
          <w:i w:val="0"/>
          <w:iCs w:val="0"/>
          <w:color w:val="auto"/>
        </w:rPr>
        <w:t>04.7.4</w:t>
      </w:r>
      <w:r w:rsidR="002672D5" w:rsidRPr="286B46F2">
        <w:rPr>
          <w:rStyle w:val="K-TextChar"/>
          <w:rFonts w:eastAsia="Times New Roman"/>
        </w:rPr>
        <w:t xml:space="preserve">) </w:t>
      </w:r>
      <w:r w:rsidR="00A31808" w:rsidRPr="286B46F2">
        <w:rPr>
          <w:rStyle w:val="K-TextChar"/>
          <w:rFonts w:eastAsia="Times New Roman"/>
        </w:rPr>
        <w:t>– investice cílí na tvorbu jednotného nástroje, ze kterého bude možné čerpat prostředky na kombinované využití brownfieldů. Zejména jde o velké specifické brownfieldy o velikosti několika hektarů, s větším množstvím různorodých objektů a potenciálně kontaminovaných ploch, a využívaných zpravidla jen ve velmi malém rozsahu.</w:t>
      </w:r>
    </w:p>
    <w:p w14:paraId="18B19891" w14:textId="04D34CF1" w:rsidR="009F4CB9" w:rsidRPr="009F4CB9" w:rsidRDefault="009F4CB9" w:rsidP="286B46F2">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rPr>
      </w:pPr>
      <w:r w:rsidRPr="286B46F2">
        <w:rPr>
          <w:rStyle w:val="K-TextChar"/>
          <w:rFonts w:eastAsia="Times New Roman"/>
        </w:rPr>
        <w:t>3. Investiční podpora regenerace brownfieldů ve vlastnictví obcí a kra</w:t>
      </w:r>
      <w:r w:rsidR="00A31808" w:rsidRPr="286B46F2">
        <w:rPr>
          <w:rStyle w:val="K-TextChar"/>
          <w:rFonts w:eastAsia="Times New Roman"/>
        </w:rPr>
        <w:t xml:space="preserve">jů pro nepodnikatelské využití </w:t>
      </w:r>
      <w:r w:rsidR="002672D5" w:rsidRPr="286B46F2">
        <w:rPr>
          <w:rStyle w:val="K-TextChar"/>
          <w:rFonts w:eastAsia="Times New Roman"/>
        </w:rPr>
        <w:t xml:space="preserve">(COFOG 06.2.0) </w:t>
      </w:r>
      <w:r w:rsidR="00A31808" w:rsidRPr="286B46F2">
        <w:rPr>
          <w:rStyle w:val="K-TextChar"/>
          <w:rFonts w:eastAsia="Times New Roman"/>
        </w:rPr>
        <w:t>– investice cílí na podporu projektů zaměřených na regeneraci brownfieldů pro nepodnikatelské využití ve vlastnictví obcí a krajů. Posílení prostředků, které jsou do této oblasti směřovány z prostředků MMR formou státní podpory, by významně přispělo k revitalizaci území, podpoře lokálních investic, zlepšení nedostatečné občanské vybavenosti, snížení záboru zemědělského půdního fondu atd.</w:t>
      </w:r>
    </w:p>
    <w:p w14:paraId="27D37F54" w14:textId="5F517496" w:rsidR="002672D5" w:rsidRDefault="009F4CB9" w:rsidP="286B46F2">
      <w:pPr>
        <w:pStyle w:val="Default"/>
        <w:pBdr>
          <w:top w:val="single" w:sz="4" w:space="1" w:color="auto"/>
          <w:left w:val="single" w:sz="4" w:space="4" w:color="auto"/>
          <w:bottom w:val="single" w:sz="4" w:space="1" w:color="auto"/>
          <w:right w:val="single" w:sz="4" w:space="4" w:color="auto"/>
        </w:pBdr>
        <w:spacing w:after="120"/>
        <w:jc w:val="both"/>
        <w:rPr>
          <w:rStyle w:val="K-TextInfoChar"/>
          <w:rFonts w:eastAsia="Times New Roman"/>
        </w:rPr>
      </w:pPr>
      <w:r w:rsidRPr="286B46F2">
        <w:rPr>
          <w:rStyle w:val="K-TextChar"/>
          <w:rFonts w:eastAsia="Times New Roman"/>
        </w:rPr>
        <w:t>4. Investiční podpora regenerace brownfieldů ve vlastnictví obcí a krajů pro podnikatelské využití</w:t>
      </w:r>
      <w:r w:rsidR="00A31808" w:rsidRPr="286B46F2">
        <w:rPr>
          <w:rStyle w:val="K-TextChar"/>
          <w:rFonts w:eastAsia="Times New Roman"/>
        </w:rPr>
        <w:t xml:space="preserve"> </w:t>
      </w:r>
      <w:r w:rsidR="002672D5" w:rsidRPr="286B46F2">
        <w:rPr>
          <w:rStyle w:val="K-TextChar"/>
          <w:rFonts w:eastAsia="Times New Roman"/>
        </w:rPr>
        <w:t>(COFOG 06.2.0; 05.1.0)</w:t>
      </w:r>
      <w:r w:rsidR="002672D5" w:rsidRPr="286B46F2">
        <w:rPr>
          <w:rStyle w:val="K-TextInfoChar"/>
          <w:rFonts w:eastAsia="Times New Roman"/>
        </w:rPr>
        <w:t xml:space="preserve"> </w:t>
      </w:r>
    </w:p>
    <w:p w14:paraId="318E269E" w14:textId="792455C0" w:rsidR="00454614" w:rsidRDefault="00454614" w:rsidP="286B46F2">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rPr>
      </w:pPr>
      <w:r w:rsidRPr="286B46F2">
        <w:rPr>
          <w:rStyle w:val="K-TextChar"/>
          <w:rFonts w:eastAsia="Times New Roman"/>
        </w:rPr>
        <w:t xml:space="preserve">Cílem programu je revitalizovat a regenerovat lokality brownfields, které jsou specifickou kategorií zatížených území, tedy nedostatečně využité nemovitosti (pozemky, objekty nebo areály), vzniklé jako pozůstatek průmyslové, zemědělské, rezidenční, vojenské či jiné aktivit, často také kontaminované nebezpečnými látkami v důsledku předchozího využití, které brání jejich efektivnímu využití. Kromě primárního rizika pro životní prostředí a zdraví obyvatel tato území přinášejí i další negativa pro širší okolí, jako je snížení atraktivity přilehlých lokalit, koncentraci sociálních problémů apod. Regenerace a využití brownfieldů poskytuje </w:t>
      </w:r>
      <w:r w:rsidR="0026296E" w:rsidRPr="286B46F2">
        <w:rPr>
          <w:rStyle w:val="K-TextChar"/>
          <w:rFonts w:eastAsia="Times New Roman"/>
        </w:rPr>
        <w:t xml:space="preserve">prostor </w:t>
      </w:r>
      <w:r w:rsidRPr="286B46F2">
        <w:rPr>
          <w:rStyle w:val="K-TextChar"/>
          <w:rFonts w:eastAsia="Times New Roman"/>
        </w:rPr>
        <w:t>pro podnikatelské záměry. Jejich přednostní využití přispěje ke snížení tzv. výstavby na zelené louce, a tedy záboru zemědělského půdního fondu. Koncovými uživateli budou převážně podnikatelské subjekty především místních firem. Nepodnikatelské využití těchto lokalit bude doplňkové.</w:t>
      </w:r>
    </w:p>
    <w:p w14:paraId="3E84D94A" w14:textId="6410E71F" w:rsidR="00454614" w:rsidRDefault="001E1711" w:rsidP="286B46F2">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b/>
          <w:bCs/>
        </w:rPr>
      </w:pPr>
      <w:r w:rsidRPr="286B46F2">
        <w:rPr>
          <w:rStyle w:val="K-TextChar"/>
          <w:rFonts w:eastAsia="Times New Roman"/>
          <w:b/>
          <w:bCs/>
        </w:rPr>
        <w:t xml:space="preserve">Flagship: </w:t>
      </w:r>
      <w:r w:rsidRPr="286B46F2">
        <w:rPr>
          <w:rStyle w:val="K-TextChar"/>
          <w:rFonts w:eastAsia="Times New Roman"/>
        </w:rPr>
        <w:t>Renovate</w:t>
      </w:r>
    </w:p>
    <w:p w14:paraId="1DA12578" w14:textId="686D272D" w:rsidR="00454614" w:rsidRPr="002E19BA" w:rsidRDefault="00454614" w:rsidP="286B46F2">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rPr>
      </w:pPr>
      <w:r w:rsidRPr="286B46F2">
        <w:rPr>
          <w:rStyle w:val="K-TextChar"/>
          <w:rFonts w:eastAsia="Times New Roman"/>
          <w:b/>
          <w:bCs/>
        </w:rPr>
        <w:t xml:space="preserve">Odhadované náklady: </w:t>
      </w:r>
    </w:p>
    <w:p w14:paraId="4A273BDE" w14:textId="77777777" w:rsidR="00454614" w:rsidRPr="009D771B" w:rsidRDefault="00454614" w:rsidP="286B46F2">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rPr>
      </w:pPr>
      <w:r w:rsidRPr="286B46F2">
        <w:rPr>
          <w:rStyle w:val="K-TextChar"/>
          <w:rFonts w:eastAsia="Times New Roman"/>
        </w:rPr>
        <w:t>Celkové alokované prostředky v NPO činí 4 mld. Kč</w:t>
      </w:r>
    </w:p>
    <w:p w14:paraId="5E30943B" w14:textId="6ECC4C7E" w:rsidR="00454614" w:rsidRPr="009D771B" w:rsidRDefault="00454614" w:rsidP="286B46F2">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rPr>
      </w:pPr>
      <w:r w:rsidRPr="286B46F2">
        <w:rPr>
          <w:rStyle w:val="K-TextChar"/>
          <w:rFonts w:eastAsia="Times New Roman"/>
        </w:rPr>
        <w:t xml:space="preserve">Celkové investiční výdaje na komponentu lze odhadnout na úrovni </w:t>
      </w:r>
      <w:r w:rsidR="009D771B" w:rsidRPr="286B46F2">
        <w:rPr>
          <w:rStyle w:val="K-TextChar"/>
          <w:rFonts w:eastAsia="Times New Roman"/>
        </w:rPr>
        <w:t>5,5</w:t>
      </w:r>
      <w:r w:rsidRPr="286B46F2">
        <w:rPr>
          <w:rStyle w:val="K-TextChar"/>
          <w:rFonts w:eastAsia="Times New Roman"/>
        </w:rPr>
        <w:t xml:space="preserve"> mld. Kč.</w:t>
      </w:r>
    </w:p>
    <w:p w14:paraId="5433FCC4" w14:textId="5861E158" w:rsidR="00454614" w:rsidRDefault="00454614" w:rsidP="286B46F2">
      <w:pPr>
        <w:pStyle w:val="Default"/>
        <w:pBdr>
          <w:top w:val="single" w:sz="4" w:space="1" w:color="auto"/>
          <w:left w:val="single" w:sz="4" w:space="4" w:color="auto"/>
          <w:bottom w:val="single" w:sz="4" w:space="1" w:color="auto"/>
          <w:right w:val="single" w:sz="4" w:space="4" w:color="auto"/>
        </w:pBdr>
        <w:spacing w:after="120"/>
        <w:jc w:val="both"/>
        <w:rPr>
          <w:rStyle w:val="K-TextChar"/>
          <w:rFonts w:eastAsia="Times New Roman"/>
        </w:rPr>
      </w:pPr>
      <w:r w:rsidRPr="286B46F2">
        <w:rPr>
          <w:rStyle w:val="K-TextChar"/>
          <w:rFonts w:eastAsia="Times New Roman"/>
        </w:rPr>
        <w:t>Veškeré projekty uvedené projekty budou zasmluvněny nejpozději ve 4Q2023.</w:t>
      </w:r>
    </w:p>
    <w:p w14:paraId="3E0EE0E2" w14:textId="77777777" w:rsidR="00C66385" w:rsidRPr="002672D5" w:rsidRDefault="00C66385" w:rsidP="002672D5">
      <w:pPr>
        <w:pStyle w:val="Default"/>
        <w:pBdr>
          <w:top w:val="single" w:sz="4" w:space="1" w:color="auto"/>
          <w:left w:val="single" w:sz="4" w:space="4" w:color="auto"/>
          <w:bottom w:val="single" w:sz="4" w:space="1" w:color="auto"/>
          <w:right w:val="single" w:sz="4" w:space="4" w:color="auto"/>
        </w:pBdr>
        <w:spacing w:after="120"/>
        <w:jc w:val="both"/>
        <w:rPr>
          <w:rStyle w:val="K-TextInfoChar"/>
        </w:rPr>
      </w:pPr>
    </w:p>
    <w:p w14:paraId="124215C3" w14:textId="4C1539FF" w:rsidR="0015052B" w:rsidRPr="00454614" w:rsidRDefault="004562DC" w:rsidP="286B46F2">
      <w:pPr>
        <w:pStyle w:val="Default"/>
        <w:spacing w:after="120"/>
        <w:jc w:val="both"/>
        <w:rPr>
          <w:b/>
          <w:bCs/>
        </w:rPr>
      </w:pPr>
      <w:r w:rsidRPr="286B46F2">
        <w:rPr>
          <w:b/>
          <w:bCs/>
        </w:rPr>
        <w:t>Další popis komponenty</w:t>
      </w:r>
    </w:p>
    <w:p w14:paraId="1AAE60CE" w14:textId="1DDDC332" w:rsidR="00190254" w:rsidRPr="006A18C7" w:rsidRDefault="00190254" w:rsidP="00190254">
      <w:pPr>
        <w:pStyle w:val="K-Nadpis3"/>
        <w:rPr>
          <w:b w:val="0"/>
          <w:iCs/>
          <w:color w:val="auto"/>
          <w:sz w:val="23"/>
        </w:rPr>
      </w:pPr>
      <w:r>
        <w:rPr>
          <w:b w:val="0"/>
          <w:iCs/>
          <w:color w:val="auto"/>
          <w:sz w:val="23"/>
        </w:rPr>
        <w:lastRenderedPageBreak/>
        <w:t>Při nedostatečné</w:t>
      </w:r>
      <w:r w:rsidR="0026296E">
        <w:rPr>
          <w:b w:val="0"/>
          <w:iCs/>
          <w:color w:val="auto"/>
          <w:sz w:val="23"/>
        </w:rPr>
        <w:t>m</w:t>
      </w:r>
      <w:r>
        <w:rPr>
          <w:b w:val="0"/>
          <w:iCs/>
          <w:color w:val="auto"/>
          <w:sz w:val="23"/>
        </w:rPr>
        <w:t xml:space="preserve"> </w:t>
      </w:r>
      <w:r w:rsidRPr="006A18C7">
        <w:rPr>
          <w:b w:val="0"/>
          <w:iCs/>
          <w:color w:val="auto"/>
          <w:sz w:val="23"/>
        </w:rPr>
        <w:t xml:space="preserve">využívání brownfieldů je rozvoj </w:t>
      </w:r>
      <w:r>
        <w:rPr>
          <w:b w:val="0"/>
          <w:iCs/>
          <w:color w:val="auto"/>
          <w:sz w:val="23"/>
        </w:rPr>
        <w:t>směřován do lokalit</w:t>
      </w:r>
      <w:r w:rsidRPr="006A18C7">
        <w:rPr>
          <w:b w:val="0"/>
          <w:iCs/>
          <w:color w:val="auto"/>
          <w:sz w:val="23"/>
        </w:rPr>
        <w:t xml:space="preserve"> na okraji intravilánu, ve větší vzdálenosti od centrálních částí s nižšími vstupními náklady na rozvoj, ale vyššími nároky na spotřebu energií, nižší energetickou efektivitu, negativnějším vlivem na klima v důsledku rychlejšího snižování ploch s vegetačním pokryvem, dlouhodobými důsledky pro udržitelný rozvoj osídlení a kvalitu života obyvatel, například v souvislosti s delšími dojezdovými vzdálenostmi, nárůstem dopravy, prodražení dopravní obslužnosti atd.</w:t>
      </w:r>
    </w:p>
    <w:p w14:paraId="2370D9D0" w14:textId="5393397D" w:rsidR="00C23D9A" w:rsidRDefault="00190254" w:rsidP="00190254">
      <w:pPr>
        <w:pStyle w:val="K-Nadpis3"/>
        <w:rPr>
          <w:b w:val="0"/>
          <w:iCs/>
          <w:color w:val="auto"/>
          <w:sz w:val="23"/>
        </w:rPr>
      </w:pPr>
      <w:r w:rsidRPr="00003369">
        <w:rPr>
          <w:b w:val="0"/>
          <w:iCs/>
          <w:color w:val="auto"/>
          <w:sz w:val="23"/>
        </w:rPr>
        <w:t xml:space="preserve">Cílem komponenty je </w:t>
      </w:r>
      <w:r>
        <w:rPr>
          <w:b w:val="0"/>
          <w:iCs/>
          <w:color w:val="auto"/>
          <w:sz w:val="23"/>
        </w:rPr>
        <w:t xml:space="preserve">naopak </w:t>
      </w:r>
      <w:r w:rsidRPr="00003369">
        <w:rPr>
          <w:b w:val="0"/>
          <w:iCs/>
          <w:color w:val="auto"/>
          <w:sz w:val="23"/>
        </w:rPr>
        <w:t xml:space="preserve">využít potenciál brownfieldů jakožto ploch, </w:t>
      </w:r>
      <w:r>
        <w:rPr>
          <w:b w:val="0"/>
          <w:iCs/>
          <w:color w:val="auto"/>
          <w:sz w:val="23"/>
        </w:rPr>
        <w:t xml:space="preserve">do </w:t>
      </w:r>
      <w:r w:rsidRPr="00003369">
        <w:rPr>
          <w:b w:val="0"/>
          <w:iCs/>
          <w:color w:val="auto"/>
          <w:sz w:val="23"/>
        </w:rPr>
        <w:t>kter</w:t>
      </w:r>
      <w:r>
        <w:rPr>
          <w:b w:val="0"/>
          <w:iCs/>
          <w:color w:val="auto"/>
          <w:sz w:val="23"/>
        </w:rPr>
        <w:t>ých</w:t>
      </w:r>
      <w:r w:rsidRPr="00003369">
        <w:rPr>
          <w:b w:val="0"/>
          <w:iCs/>
          <w:color w:val="auto"/>
          <w:sz w:val="23"/>
        </w:rPr>
        <w:t xml:space="preserve"> by měl především směřovat rozvoj území a investice.</w:t>
      </w:r>
      <w:r w:rsidRPr="00190254">
        <w:rPr>
          <w:b w:val="0"/>
          <w:iCs/>
          <w:color w:val="auto"/>
          <w:sz w:val="23"/>
        </w:rPr>
        <w:t xml:space="preserve"> </w:t>
      </w:r>
      <w:r w:rsidRPr="006A18C7">
        <w:rPr>
          <w:b w:val="0"/>
          <w:iCs/>
          <w:color w:val="auto"/>
          <w:sz w:val="23"/>
        </w:rPr>
        <w:t>To, co i současná krize (pandemie COVID-19) s různou mírou intenzity potvrzuje, je nevhodnost vytváření monofunkčních zón, které jsou nakonec velmi málo odolné vůči změnám a přicházejícím rizikům. Proto je třeba dbát na polyfunkční transformaci lokalit a zároveň klást důraz na prosazování inovativních řešení, která v sobě mají zakódovánu také dostatečnou flexibilitu jak z hlediska organizace, řízení, spolupráce aktérů a financování projektů, tak také prostorového a časového využití realizovaných záměrů.</w:t>
      </w:r>
    </w:p>
    <w:p w14:paraId="19643506" w14:textId="17ACA9B0" w:rsidR="0062364A" w:rsidRPr="006A18C7" w:rsidRDefault="0062364A" w:rsidP="0062364A">
      <w:pPr>
        <w:pStyle w:val="K-Nadpis3"/>
        <w:rPr>
          <w:b w:val="0"/>
          <w:iCs/>
          <w:color w:val="auto"/>
          <w:sz w:val="23"/>
        </w:rPr>
      </w:pPr>
      <w:r w:rsidRPr="006A18C7">
        <w:rPr>
          <w:b w:val="0"/>
          <w:iCs/>
          <w:color w:val="auto"/>
          <w:sz w:val="23"/>
        </w:rPr>
        <w:t xml:space="preserve">Přístup, který tato komponenta navrhuje, dává velký prostor z brownfieldů, vnímaných jako problém, vytvořit naopak příležitost a s veřejnou podporou a současným zapojením dalších aktérů, vytvořit příklady dobré praxe a nastartovat pozitivní změny zejména v nejohroženějších oblastech. </w:t>
      </w:r>
    </w:p>
    <w:p w14:paraId="23BE1054" w14:textId="1B028BBE" w:rsidR="0041359A" w:rsidRPr="0041359A" w:rsidRDefault="0062364A" w:rsidP="0041359A">
      <w:pPr>
        <w:pStyle w:val="K-Nadpis3"/>
        <w:rPr>
          <w:b w:val="0"/>
          <w:iCs/>
          <w:color w:val="auto"/>
          <w:sz w:val="23"/>
        </w:rPr>
      </w:pPr>
      <w:r w:rsidRPr="007C6E2A">
        <w:rPr>
          <w:b w:val="0"/>
          <w:iCs/>
          <w:color w:val="auto"/>
          <w:sz w:val="23"/>
        </w:rPr>
        <w:t xml:space="preserve">Komponenta kombinuje rozdílné </w:t>
      </w:r>
      <w:r w:rsidR="00190254" w:rsidRPr="007C6E2A">
        <w:rPr>
          <w:b w:val="0"/>
          <w:iCs/>
          <w:color w:val="auto"/>
          <w:sz w:val="23"/>
        </w:rPr>
        <w:t>investice</w:t>
      </w:r>
      <w:r w:rsidRPr="007C6E2A">
        <w:rPr>
          <w:b w:val="0"/>
          <w:iCs/>
          <w:color w:val="auto"/>
          <w:sz w:val="23"/>
        </w:rPr>
        <w:t xml:space="preserve"> tak, aby na jednu stranu došlo k iniciaci přípravy projektů, ale také aby byla podpořená samotná realizace projektů. Jedná se především o podporu nepodnikatelského a podnikatelského využití brownfieldů ve vlastnictví územních samosprávných celků</w:t>
      </w:r>
      <w:r w:rsidR="0041359A">
        <w:rPr>
          <w:b w:val="0"/>
          <w:iCs/>
          <w:color w:val="auto"/>
          <w:sz w:val="23"/>
        </w:rPr>
        <w:t xml:space="preserve"> a investice potřebné pro budoucí využívávání rozsáhlých brownfieldů. </w:t>
      </w:r>
      <w:r w:rsidR="0041359A" w:rsidRPr="0041359A">
        <w:rPr>
          <w:b w:val="0"/>
          <w:iCs/>
          <w:color w:val="auto"/>
          <w:sz w:val="23"/>
        </w:rPr>
        <w:t xml:space="preserve">Komponenta bude rozdělena do gesce několika rezortů – především Ministerstva pro místní rozvoj a Ministerstva průmyslu a obchodu. </w:t>
      </w:r>
    </w:p>
    <w:p w14:paraId="1C15FAC5" w14:textId="77777777" w:rsidR="0041359A" w:rsidRDefault="0041359A" w:rsidP="002C4FCC">
      <w:pPr>
        <w:pStyle w:val="Nadpis2"/>
        <w:rPr>
          <w:rFonts w:ascii="Times New Roman" w:hAnsi="Times New Roman" w:cs="Times New Roman"/>
          <w:sz w:val="28"/>
          <w:szCs w:val="28"/>
        </w:rPr>
      </w:pPr>
    </w:p>
    <w:p w14:paraId="1E505E7D" w14:textId="3A090759" w:rsidR="002C20CF" w:rsidRPr="00ED337B" w:rsidRDefault="002C20CF" w:rsidP="002C4FCC">
      <w:pPr>
        <w:pStyle w:val="Nadpis2"/>
        <w:rPr>
          <w:rFonts w:ascii="Times New Roman" w:hAnsi="Times New Roman" w:cs="Times New Roman"/>
          <w:sz w:val="28"/>
          <w:szCs w:val="28"/>
        </w:rPr>
      </w:pPr>
      <w:r w:rsidRPr="00ED337B">
        <w:rPr>
          <w:rFonts w:ascii="Times New Roman" w:hAnsi="Times New Roman" w:cs="Times New Roman"/>
          <w:sz w:val="28"/>
          <w:szCs w:val="28"/>
        </w:rPr>
        <w:t xml:space="preserve">2. </w:t>
      </w:r>
      <w:r w:rsidR="00EF374D" w:rsidRPr="00ED337B">
        <w:rPr>
          <w:rStyle w:val="K-Nadpis2Char"/>
          <w:b/>
        </w:rPr>
        <w:t>Hlavní výzvy a cíle</w:t>
      </w:r>
    </w:p>
    <w:p w14:paraId="3AD3226A" w14:textId="77777777" w:rsidR="009D771B" w:rsidRDefault="009D771B" w:rsidP="00CE0581">
      <w:pPr>
        <w:pStyle w:val="Default"/>
        <w:spacing w:after="120"/>
        <w:jc w:val="both"/>
        <w:rPr>
          <w:rStyle w:val="K-Nadpis3Char"/>
        </w:rPr>
      </w:pPr>
    </w:p>
    <w:p w14:paraId="4357DEF3" w14:textId="0D095A1F" w:rsidR="002C20CF" w:rsidRPr="00ED337B" w:rsidRDefault="002C20CF" w:rsidP="00CE0581">
      <w:pPr>
        <w:pStyle w:val="Default"/>
        <w:spacing w:after="120"/>
        <w:jc w:val="both"/>
        <w:rPr>
          <w:b/>
        </w:rPr>
      </w:pPr>
      <w:r w:rsidRPr="00ED337B">
        <w:rPr>
          <w:rStyle w:val="K-Nadpis3Char"/>
        </w:rPr>
        <w:t xml:space="preserve">a) </w:t>
      </w:r>
      <w:r w:rsidR="00EF374D" w:rsidRPr="00ED337B">
        <w:rPr>
          <w:rStyle w:val="K-Nadpis3Char"/>
        </w:rPr>
        <w:t>Hlavní výzvy</w:t>
      </w:r>
    </w:p>
    <w:p w14:paraId="4DF0411B" w14:textId="1AC5D655" w:rsidR="005275BD" w:rsidRDefault="005275BD" w:rsidP="00154B73">
      <w:pPr>
        <w:pStyle w:val="K-Nadpis3"/>
        <w:rPr>
          <w:b w:val="0"/>
          <w:iCs/>
          <w:color w:val="auto"/>
          <w:sz w:val="23"/>
        </w:rPr>
      </w:pPr>
      <w:r w:rsidRPr="005275BD">
        <w:rPr>
          <w:b w:val="0"/>
          <w:iCs/>
          <w:color w:val="auto"/>
          <w:sz w:val="23"/>
        </w:rPr>
        <w:t>Brownfieldy pře</w:t>
      </w:r>
      <w:r w:rsidR="0026296E">
        <w:rPr>
          <w:b w:val="0"/>
          <w:iCs/>
          <w:color w:val="auto"/>
          <w:sz w:val="23"/>
        </w:rPr>
        <w:t xml:space="preserve">dstavují rozsáhlý a dlouhodobý </w:t>
      </w:r>
      <w:r w:rsidRPr="005275BD">
        <w:rPr>
          <w:b w:val="0"/>
          <w:iCs/>
          <w:color w:val="auto"/>
          <w:sz w:val="23"/>
        </w:rPr>
        <w:t xml:space="preserve">problém. Na území ČR v současnosti existuje více než 10 000 brownfieldů. Jde o lokality s degradovaným, neexistujícím nebo nedostatečným využitím. Zpravidla se vyznačují kontaminací pozemků a překážkami ve formě zchátralých budov a objektů infrastruktury, které vytvářejí konkurenční nevýhodu vůči rozvoji v dosud nezastavěných lokalitách. Kromě toho mají brownfieldy negativní vliv na vnímání </w:t>
      </w:r>
      <w:r w:rsidR="006A18C7">
        <w:rPr>
          <w:b w:val="0"/>
          <w:iCs/>
          <w:color w:val="auto"/>
          <w:sz w:val="23"/>
        </w:rPr>
        <w:t>image lokalit</w:t>
      </w:r>
      <w:r w:rsidRPr="005275BD">
        <w:rPr>
          <w:b w:val="0"/>
          <w:iCs/>
          <w:color w:val="auto"/>
          <w:sz w:val="23"/>
        </w:rPr>
        <w:t xml:space="preserve"> a snižují atraktivitu měst, obcí a jejich čtvrtí pro další rozvoj. Regenerace brownfieldů je finančně náročnější než výstavba na „zelené louce“ (greenfield). Klíčovým předpokladem pro nastartování regenerace brownfieldů je finanční podpora z veřejných zdrojů sloužící k eliminaci znevýhodnění těchto lokalit a bariér dalšího rozvoje.</w:t>
      </w:r>
    </w:p>
    <w:p w14:paraId="59319708" w14:textId="4D4D0EB3" w:rsidR="005275BD" w:rsidRPr="005275BD" w:rsidRDefault="006A18C7" w:rsidP="005275BD">
      <w:pPr>
        <w:pStyle w:val="K-Nadpis3"/>
        <w:rPr>
          <w:b w:val="0"/>
          <w:iCs/>
          <w:color w:val="auto"/>
          <w:sz w:val="23"/>
        </w:rPr>
      </w:pPr>
      <w:r>
        <w:rPr>
          <w:b w:val="0"/>
          <w:iCs/>
          <w:color w:val="auto"/>
          <w:sz w:val="23"/>
        </w:rPr>
        <w:t>V České republice se vyskytují brownfieldy nejrůznějšího původu</w:t>
      </w:r>
      <w:r w:rsidR="009D771B">
        <w:rPr>
          <w:b w:val="0"/>
          <w:iCs/>
          <w:color w:val="auto"/>
          <w:sz w:val="23"/>
        </w:rPr>
        <w:t xml:space="preserve"> (</w:t>
      </w:r>
      <w:r w:rsidR="009D771B" w:rsidRPr="005275BD">
        <w:rPr>
          <w:b w:val="0"/>
          <w:iCs/>
          <w:color w:val="auto"/>
          <w:sz w:val="23"/>
        </w:rPr>
        <w:t>bývalé průmyslové areály a objekty dopravní infrastruktury, zemědělské objekty a areály a vojenské</w:t>
      </w:r>
      <w:r w:rsidR="009D771B">
        <w:rPr>
          <w:b w:val="0"/>
          <w:iCs/>
          <w:color w:val="auto"/>
          <w:sz w:val="23"/>
        </w:rPr>
        <w:t>, objekty pro bydlení, občanskou vybavenost ad.)</w:t>
      </w:r>
      <w:r w:rsidR="009D771B" w:rsidRPr="005275BD">
        <w:rPr>
          <w:b w:val="0"/>
          <w:iCs/>
          <w:color w:val="auto"/>
          <w:sz w:val="23"/>
        </w:rPr>
        <w:t xml:space="preserve"> </w:t>
      </w:r>
      <w:r w:rsidR="005275BD" w:rsidRPr="005275BD">
        <w:rPr>
          <w:b w:val="0"/>
          <w:iCs/>
          <w:color w:val="auto"/>
          <w:sz w:val="23"/>
        </w:rPr>
        <w:t xml:space="preserve">Vznikají transformací ekonomiky a celé společnosti a jejích potřeb. Jsou </w:t>
      </w:r>
      <w:r>
        <w:rPr>
          <w:b w:val="0"/>
          <w:iCs/>
          <w:color w:val="auto"/>
          <w:sz w:val="23"/>
        </w:rPr>
        <w:t xml:space="preserve">také </w:t>
      </w:r>
      <w:r w:rsidR="005275BD" w:rsidRPr="005275BD">
        <w:rPr>
          <w:b w:val="0"/>
          <w:iCs/>
          <w:color w:val="auto"/>
          <w:sz w:val="23"/>
        </w:rPr>
        <w:t>důsledkem postupných technologických změn (například vodárenské objekty u železničních tratí). Je</w:t>
      </w:r>
      <w:r w:rsidR="005275BD">
        <w:rPr>
          <w:b w:val="0"/>
          <w:iCs/>
          <w:color w:val="auto"/>
          <w:sz w:val="23"/>
        </w:rPr>
        <w:t>jich</w:t>
      </w:r>
      <w:r w:rsidR="005275BD" w:rsidRPr="005275BD">
        <w:rPr>
          <w:b w:val="0"/>
          <w:iCs/>
          <w:color w:val="auto"/>
          <w:sz w:val="23"/>
        </w:rPr>
        <w:t xml:space="preserve"> opětovné využití pro původní účely není velmi často možné ani vhodné. Původ brownfieldů nacházíme jak v době rychlé transformace devadesátých let, al</w:t>
      </w:r>
      <w:r w:rsidR="0026296E">
        <w:rPr>
          <w:b w:val="0"/>
          <w:iCs/>
          <w:color w:val="auto"/>
          <w:sz w:val="23"/>
        </w:rPr>
        <w:t xml:space="preserve">e i v důsledku změn pozdějších </w:t>
      </w:r>
      <w:r w:rsidR="005275BD" w:rsidRPr="005275BD">
        <w:rPr>
          <w:b w:val="0"/>
          <w:iCs/>
          <w:color w:val="auto"/>
          <w:sz w:val="23"/>
        </w:rPr>
        <w:t>spojených s technologickým pokrokem</w:t>
      </w:r>
      <w:r w:rsidR="0026296E">
        <w:rPr>
          <w:b w:val="0"/>
          <w:iCs/>
          <w:color w:val="auto"/>
          <w:sz w:val="23"/>
        </w:rPr>
        <w:t>,</w:t>
      </w:r>
      <w:r w:rsidR="005275BD" w:rsidRPr="005275BD">
        <w:rPr>
          <w:b w:val="0"/>
          <w:iCs/>
          <w:color w:val="auto"/>
          <w:sz w:val="23"/>
        </w:rPr>
        <w:t xml:space="preserve"> ale i v důsledku hospodářských výkyvů.</w:t>
      </w:r>
    </w:p>
    <w:p w14:paraId="0B2DA610" w14:textId="77777777" w:rsidR="005275BD" w:rsidRPr="005275BD" w:rsidRDefault="005275BD" w:rsidP="005275BD">
      <w:pPr>
        <w:pStyle w:val="K-Nadpis3"/>
        <w:rPr>
          <w:b w:val="0"/>
          <w:iCs/>
          <w:color w:val="auto"/>
          <w:sz w:val="23"/>
        </w:rPr>
      </w:pPr>
      <w:r w:rsidRPr="005275BD">
        <w:rPr>
          <w:b w:val="0"/>
          <w:iCs/>
          <w:color w:val="auto"/>
          <w:sz w:val="23"/>
        </w:rPr>
        <w:t>Brownfieldy se daří regenerovat především v lokalitách, které jsou atraktivní pro soukromé investory (dobrá poloha, vyjasněné vlastnické vztahy, malá nebo žádná kontaminace apod.). V případě mnoha lokalit převyšují potřebné investice pro překonání zátěží a rozvojových bariér finanční možnosti vlastníků.</w:t>
      </w:r>
    </w:p>
    <w:p w14:paraId="666C34A6" w14:textId="77777777" w:rsidR="005275BD" w:rsidRPr="005275BD" w:rsidRDefault="005275BD" w:rsidP="00154B73">
      <w:pPr>
        <w:pStyle w:val="K-Nadpis3"/>
        <w:rPr>
          <w:b w:val="0"/>
          <w:iCs/>
          <w:color w:val="auto"/>
          <w:sz w:val="23"/>
        </w:rPr>
      </w:pPr>
    </w:p>
    <w:p w14:paraId="75616F84" w14:textId="5C373B71" w:rsidR="002C20CF" w:rsidRPr="00ED337B" w:rsidRDefault="002C20CF" w:rsidP="00154B73">
      <w:pPr>
        <w:pStyle w:val="K-Nadpis3"/>
      </w:pPr>
      <w:r w:rsidRPr="00ED337B">
        <w:t xml:space="preserve">b) </w:t>
      </w:r>
      <w:r w:rsidR="00EF374D" w:rsidRPr="00ED337B">
        <w:t>Cíle</w:t>
      </w:r>
      <w:r w:rsidRPr="00ED337B">
        <w:t xml:space="preserve"> </w:t>
      </w:r>
    </w:p>
    <w:p w14:paraId="25A6F3C9" w14:textId="41D94913" w:rsidR="00886CC8" w:rsidRPr="00886CC8" w:rsidRDefault="00886CC8" w:rsidP="00886CC8">
      <w:pPr>
        <w:pStyle w:val="K-Nadpis3"/>
        <w:rPr>
          <w:b w:val="0"/>
          <w:iCs/>
          <w:color w:val="auto"/>
          <w:sz w:val="23"/>
        </w:rPr>
      </w:pPr>
      <w:r w:rsidRPr="00886CC8">
        <w:rPr>
          <w:b w:val="0"/>
          <w:iCs/>
          <w:color w:val="auto"/>
          <w:sz w:val="23"/>
        </w:rPr>
        <w:t>Cílem komponenty je vytvořit podmínky pro regeneraci brownfieldů, které povedou k efektivnímu využití v současnosti degradovaného a nedostatečně využívaného území</w:t>
      </w:r>
      <w:r w:rsidR="0062364A">
        <w:rPr>
          <w:b w:val="0"/>
          <w:iCs/>
          <w:color w:val="auto"/>
          <w:sz w:val="23"/>
        </w:rPr>
        <w:t xml:space="preserve"> a výrazně tak přispějí k </w:t>
      </w:r>
      <w:r w:rsidRPr="00886CC8">
        <w:rPr>
          <w:b w:val="0"/>
          <w:iCs/>
          <w:color w:val="auto"/>
          <w:sz w:val="23"/>
        </w:rPr>
        <w:t xml:space="preserve">efektivnímu a environmentálně šetrnějšímu využití zdrojů. </w:t>
      </w:r>
    </w:p>
    <w:p w14:paraId="5168E060" w14:textId="186019D8" w:rsidR="00886CC8" w:rsidRPr="00886CC8" w:rsidRDefault="00886CC8" w:rsidP="00886CC8">
      <w:pPr>
        <w:pStyle w:val="K-Nadpis3"/>
        <w:rPr>
          <w:b w:val="0"/>
          <w:iCs/>
          <w:color w:val="auto"/>
          <w:sz w:val="23"/>
        </w:rPr>
      </w:pPr>
      <w:r w:rsidRPr="00886CC8">
        <w:rPr>
          <w:b w:val="0"/>
          <w:iCs/>
          <w:color w:val="auto"/>
          <w:sz w:val="23"/>
        </w:rPr>
        <w:lastRenderedPageBreak/>
        <w:t xml:space="preserve">Regenerace brownfieldů přispěje k zahušťování zastavěného prostředí měst a obcí a tím k efektivnějšímu využívání technické a dopravní infrastruktury, snížení nákladů na jejich provoz, snížení spotřeby energií a zvýšení energetické účinnosti. Vytvoření podmínek pro rozvoj brownfieldů pomůže </w:t>
      </w:r>
      <w:r w:rsidR="00CC1C66">
        <w:rPr>
          <w:b w:val="0"/>
          <w:iCs/>
          <w:color w:val="auto"/>
          <w:sz w:val="23"/>
        </w:rPr>
        <w:t>snížit zábor</w:t>
      </w:r>
      <w:r w:rsidRPr="00886CC8">
        <w:rPr>
          <w:b w:val="0"/>
          <w:iCs/>
          <w:color w:val="auto"/>
          <w:sz w:val="23"/>
        </w:rPr>
        <w:t xml:space="preserve"> zemědělské půdy </w:t>
      </w:r>
      <w:r w:rsidR="00CC1C66">
        <w:rPr>
          <w:b w:val="0"/>
          <w:iCs/>
          <w:color w:val="auto"/>
          <w:sz w:val="23"/>
        </w:rPr>
        <w:t>a bude mít</w:t>
      </w:r>
      <w:r w:rsidRPr="00886CC8">
        <w:rPr>
          <w:b w:val="0"/>
          <w:iCs/>
          <w:color w:val="auto"/>
          <w:sz w:val="23"/>
        </w:rPr>
        <w:t xml:space="preserve"> pozitivními důsledky </w:t>
      </w:r>
      <w:r w:rsidR="0062364A">
        <w:rPr>
          <w:b w:val="0"/>
          <w:iCs/>
          <w:color w:val="auto"/>
          <w:sz w:val="23"/>
        </w:rPr>
        <w:t>na</w:t>
      </w:r>
      <w:r w:rsidRPr="00886CC8">
        <w:rPr>
          <w:b w:val="0"/>
          <w:iCs/>
          <w:color w:val="auto"/>
          <w:sz w:val="23"/>
        </w:rPr>
        <w:t xml:space="preserve"> globální změny klimatu a vyváření lepších místních podmínek pro adaptaci na klimatické změny. </w:t>
      </w:r>
    </w:p>
    <w:p w14:paraId="571B66E8" w14:textId="79FDB5C8" w:rsidR="00886CC8" w:rsidRPr="00886CC8" w:rsidRDefault="00886CC8" w:rsidP="3F9F811D">
      <w:pPr>
        <w:pStyle w:val="K-Nadpis3"/>
        <w:rPr>
          <w:b w:val="0"/>
          <w:color w:val="auto"/>
          <w:sz w:val="23"/>
        </w:rPr>
      </w:pPr>
      <w:r w:rsidRPr="3F9F811D">
        <w:rPr>
          <w:b w:val="0"/>
          <w:color w:val="auto"/>
          <w:sz w:val="23"/>
        </w:rPr>
        <w:t xml:space="preserve">Regenerace brownfieldů změní negativní vnímání lokalit, zvýší </w:t>
      </w:r>
      <w:r w:rsidR="00CC1C66" w:rsidRPr="3F9F811D">
        <w:rPr>
          <w:b w:val="0"/>
          <w:color w:val="auto"/>
          <w:sz w:val="23"/>
        </w:rPr>
        <w:t xml:space="preserve">jejich </w:t>
      </w:r>
      <w:r w:rsidRPr="3F9F811D">
        <w:rPr>
          <w:b w:val="0"/>
          <w:color w:val="auto"/>
          <w:sz w:val="23"/>
        </w:rPr>
        <w:t xml:space="preserve">atraktivitu pro investory a přinese pozitivní multiplikační efekty. Regenerované plochy budou využity pro podporu ekonomického rozvoje a podnikání a rovněž pro nabídku nekomerčních služeb, v obou případech s prioritou kladenou na realizaci aktivit rozvíjející digitalizaci. Úspěšně dokončená regenerace brownfieldů zvýší kvalitu života obyvatel, což bude mít příznivé důsledky pro migraci obyvatel a sociální a kulturní prostředí. </w:t>
      </w:r>
    </w:p>
    <w:p w14:paraId="58B0C0E3" w14:textId="77777777" w:rsidR="00886CC8" w:rsidRDefault="00886CC8" w:rsidP="00ED337B">
      <w:pPr>
        <w:pStyle w:val="K-TextInfo"/>
      </w:pPr>
    </w:p>
    <w:p w14:paraId="6CD31FED" w14:textId="79635398" w:rsidR="007A2737" w:rsidRDefault="007A2737" w:rsidP="007A2737">
      <w:pPr>
        <w:pStyle w:val="K-Nadpis3"/>
      </w:pPr>
      <w:r>
        <w:t xml:space="preserve">c) </w:t>
      </w:r>
      <w:r w:rsidR="006C30EB">
        <w:t>Národní strategický kontext</w:t>
      </w:r>
    </w:p>
    <w:p w14:paraId="2568F0EC" w14:textId="0000A696" w:rsidR="19698A68" w:rsidRPr="005275BD" w:rsidRDefault="37049348" w:rsidP="286B46F2">
      <w:pPr>
        <w:pStyle w:val="K-Nadpis3"/>
        <w:rPr>
          <w:rFonts w:eastAsia="Times New Roman"/>
          <w:b w:val="0"/>
          <w:color w:val="auto"/>
          <w:sz w:val="23"/>
        </w:rPr>
      </w:pPr>
      <w:r w:rsidRPr="286B46F2">
        <w:rPr>
          <w:rFonts w:eastAsia="Times New Roman"/>
          <w:b w:val="0"/>
          <w:color w:val="auto"/>
          <w:sz w:val="23"/>
        </w:rPr>
        <w:t xml:space="preserve">Regenerace lokalit </w:t>
      </w:r>
      <w:r w:rsidR="42EDE7DF" w:rsidRPr="286B46F2">
        <w:rPr>
          <w:rFonts w:eastAsia="Times New Roman"/>
          <w:b w:val="0"/>
          <w:color w:val="auto"/>
          <w:sz w:val="23"/>
        </w:rPr>
        <w:t xml:space="preserve">typu </w:t>
      </w:r>
      <w:proofErr w:type="gramStart"/>
      <w:r w:rsidR="42EDE7DF" w:rsidRPr="286B46F2">
        <w:rPr>
          <w:rFonts w:eastAsia="Times New Roman"/>
          <w:b w:val="0"/>
          <w:color w:val="auto"/>
          <w:sz w:val="23"/>
        </w:rPr>
        <w:t>brownfield</w:t>
      </w:r>
      <w:proofErr w:type="gramEnd"/>
      <w:r w:rsidRPr="286B46F2">
        <w:rPr>
          <w:rFonts w:eastAsia="Times New Roman"/>
          <w:b w:val="0"/>
          <w:color w:val="auto"/>
          <w:sz w:val="23"/>
        </w:rPr>
        <w:t xml:space="preserve"> a tedy i tato komponenta je plně v souladu se strategií ČR, a to se </w:t>
      </w:r>
      <w:r w:rsidR="42EDE7DF" w:rsidRPr="286B46F2">
        <w:rPr>
          <w:rFonts w:eastAsia="Times New Roman"/>
          <w:b w:val="0"/>
          <w:color w:val="auto"/>
          <w:sz w:val="23"/>
        </w:rPr>
        <w:t>Statní</w:t>
      </w:r>
      <w:r w:rsidRPr="286B46F2">
        <w:rPr>
          <w:rFonts w:eastAsia="Times New Roman"/>
          <w:b w:val="0"/>
          <w:color w:val="auto"/>
          <w:sz w:val="23"/>
        </w:rPr>
        <w:t xml:space="preserve"> politikou životního </w:t>
      </w:r>
      <w:r w:rsidR="11B2B89E" w:rsidRPr="286B46F2">
        <w:rPr>
          <w:rFonts w:eastAsia="Times New Roman"/>
          <w:b w:val="0"/>
          <w:color w:val="auto"/>
          <w:sz w:val="23"/>
        </w:rPr>
        <w:t>pr</w:t>
      </w:r>
      <w:r w:rsidRPr="286B46F2">
        <w:rPr>
          <w:rFonts w:eastAsia="Times New Roman"/>
          <w:b w:val="0"/>
          <w:color w:val="auto"/>
          <w:sz w:val="23"/>
        </w:rPr>
        <w:t>o</w:t>
      </w:r>
      <w:r w:rsidR="671D22C7" w:rsidRPr="286B46F2">
        <w:rPr>
          <w:rFonts w:eastAsia="Times New Roman"/>
          <w:b w:val="0"/>
          <w:color w:val="auto"/>
          <w:sz w:val="23"/>
        </w:rPr>
        <w:t>s</w:t>
      </w:r>
      <w:r w:rsidRPr="286B46F2">
        <w:rPr>
          <w:rFonts w:eastAsia="Times New Roman"/>
          <w:b w:val="0"/>
          <w:color w:val="auto"/>
          <w:sz w:val="23"/>
        </w:rPr>
        <w:t>tředí</w:t>
      </w:r>
      <w:r w:rsidR="599963D6" w:rsidRPr="286B46F2">
        <w:rPr>
          <w:rFonts w:eastAsia="Times New Roman"/>
          <w:b w:val="0"/>
          <w:color w:val="auto"/>
          <w:sz w:val="23"/>
        </w:rPr>
        <w:t xml:space="preserve"> 2012</w:t>
      </w:r>
      <w:r w:rsidR="009D771B" w:rsidRPr="286B46F2">
        <w:rPr>
          <w:rFonts w:eastAsia="Times New Roman"/>
          <w:b w:val="0"/>
          <w:color w:val="auto"/>
          <w:sz w:val="23"/>
        </w:rPr>
        <w:t>–</w:t>
      </w:r>
      <w:r w:rsidR="599963D6" w:rsidRPr="286B46F2">
        <w:rPr>
          <w:rFonts w:eastAsia="Times New Roman"/>
          <w:b w:val="0"/>
          <w:color w:val="auto"/>
          <w:sz w:val="23"/>
        </w:rPr>
        <w:t>2020</w:t>
      </w:r>
      <w:r w:rsidR="2C6C7DC5" w:rsidRPr="286B46F2">
        <w:rPr>
          <w:rFonts w:eastAsia="Times New Roman"/>
          <w:b w:val="0"/>
          <w:color w:val="auto"/>
          <w:sz w:val="23"/>
        </w:rPr>
        <w:t>, která byla schválena vládou dne 9. ledna 2013</w:t>
      </w:r>
      <w:r w:rsidR="599963D6" w:rsidRPr="286B46F2">
        <w:rPr>
          <w:rFonts w:eastAsia="Times New Roman"/>
          <w:b w:val="0"/>
          <w:color w:val="auto"/>
          <w:sz w:val="23"/>
        </w:rPr>
        <w:t>.</w:t>
      </w:r>
      <w:r w:rsidRPr="286B46F2">
        <w:rPr>
          <w:rFonts w:eastAsia="Times New Roman"/>
          <w:b w:val="0"/>
          <w:color w:val="auto"/>
          <w:sz w:val="23"/>
        </w:rPr>
        <w:t xml:space="preserve"> </w:t>
      </w:r>
      <w:r w:rsidR="5897C429" w:rsidRPr="286B46F2">
        <w:rPr>
          <w:rFonts w:eastAsia="Times New Roman"/>
          <w:b w:val="0"/>
          <w:color w:val="auto"/>
          <w:sz w:val="23"/>
        </w:rPr>
        <w:t xml:space="preserve">V návaznosti na </w:t>
      </w:r>
      <w:r w:rsidR="06C77822" w:rsidRPr="286B46F2">
        <w:rPr>
          <w:rFonts w:eastAsia="Times New Roman"/>
          <w:b w:val="0"/>
          <w:color w:val="auto"/>
          <w:sz w:val="23"/>
        </w:rPr>
        <w:t>úko</w:t>
      </w:r>
      <w:r w:rsidR="1ED5CA7E" w:rsidRPr="286B46F2">
        <w:rPr>
          <w:rFonts w:eastAsia="Times New Roman"/>
          <w:b w:val="0"/>
          <w:color w:val="auto"/>
          <w:sz w:val="23"/>
        </w:rPr>
        <w:t xml:space="preserve">ly z </w:t>
      </w:r>
      <w:r w:rsidR="42EDE7DF" w:rsidRPr="286B46F2">
        <w:rPr>
          <w:rFonts w:eastAsia="Times New Roman"/>
          <w:b w:val="0"/>
          <w:color w:val="auto"/>
          <w:sz w:val="23"/>
        </w:rPr>
        <w:t>tohoto</w:t>
      </w:r>
      <w:r w:rsidR="1ED5CA7E" w:rsidRPr="286B46F2">
        <w:rPr>
          <w:rFonts w:eastAsia="Times New Roman"/>
          <w:b w:val="0"/>
          <w:color w:val="auto"/>
          <w:sz w:val="23"/>
        </w:rPr>
        <w:t xml:space="preserve"> materiálu byl zpracován dokument Národní strategie brownfieldů a jeho </w:t>
      </w:r>
      <w:r w:rsidR="42EDE7DF" w:rsidRPr="286B46F2">
        <w:rPr>
          <w:rFonts w:eastAsia="Times New Roman"/>
          <w:b w:val="0"/>
          <w:color w:val="auto"/>
          <w:sz w:val="23"/>
        </w:rPr>
        <w:t>aktualizace</w:t>
      </w:r>
      <w:r w:rsidR="1ED5CA7E" w:rsidRPr="286B46F2">
        <w:rPr>
          <w:rFonts w:eastAsia="Times New Roman"/>
          <w:b w:val="0"/>
          <w:color w:val="auto"/>
          <w:sz w:val="23"/>
        </w:rPr>
        <w:t xml:space="preserve">, </w:t>
      </w:r>
      <w:r w:rsidR="42EDE7DF" w:rsidRPr="286B46F2">
        <w:rPr>
          <w:rFonts w:eastAsia="Times New Roman"/>
          <w:b w:val="0"/>
          <w:color w:val="auto"/>
          <w:sz w:val="23"/>
        </w:rPr>
        <w:t>kter</w:t>
      </w:r>
      <w:r w:rsidR="31BEFA9D" w:rsidRPr="286B46F2">
        <w:rPr>
          <w:rFonts w:eastAsia="Times New Roman"/>
          <w:b w:val="0"/>
          <w:color w:val="auto"/>
          <w:sz w:val="23"/>
        </w:rPr>
        <w:t>ou</w:t>
      </w:r>
      <w:r w:rsidR="1ED5CA7E" w:rsidRPr="286B46F2">
        <w:rPr>
          <w:rFonts w:eastAsia="Times New Roman"/>
          <w:b w:val="0"/>
          <w:color w:val="auto"/>
          <w:sz w:val="23"/>
        </w:rPr>
        <w:t xml:space="preserve"> vláda </w:t>
      </w:r>
      <w:r w:rsidR="5E2F98E9" w:rsidRPr="286B46F2">
        <w:rPr>
          <w:rFonts w:eastAsia="Times New Roman"/>
          <w:b w:val="0"/>
          <w:color w:val="auto"/>
          <w:sz w:val="23"/>
        </w:rPr>
        <w:t xml:space="preserve">schválila </w:t>
      </w:r>
      <w:r w:rsidR="1ED5CA7E" w:rsidRPr="286B46F2">
        <w:rPr>
          <w:rFonts w:eastAsia="Times New Roman"/>
          <w:b w:val="0"/>
          <w:color w:val="auto"/>
          <w:sz w:val="23"/>
        </w:rPr>
        <w:t xml:space="preserve">dne </w:t>
      </w:r>
      <w:r w:rsidR="6AC79B55" w:rsidRPr="286B46F2">
        <w:rPr>
          <w:rFonts w:eastAsia="Times New Roman"/>
          <w:b w:val="0"/>
          <w:color w:val="auto"/>
          <w:sz w:val="23"/>
        </w:rPr>
        <w:t>9. července 2008</w:t>
      </w:r>
      <w:r w:rsidR="1ED5CA7E" w:rsidRPr="286B46F2">
        <w:rPr>
          <w:rFonts w:eastAsia="Times New Roman"/>
          <w:b w:val="0"/>
          <w:color w:val="auto"/>
          <w:sz w:val="23"/>
        </w:rPr>
        <w:t>.</w:t>
      </w:r>
      <w:r w:rsidR="12C7E744" w:rsidRPr="286B46F2">
        <w:rPr>
          <w:rFonts w:eastAsia="Times New Roman"/>
          <w:b w:val="0"/>
          <w:color w:val="auto"/>
          <w:sz w:val="23"/>
        </w:rPr>
        <w:t xml:space="preserve"> V </w:t>
      </w:r>
      <w:r w:rsidR="6402C39C" w:rsidRPr="286B46F2">
        <w:rPr>
          <w:rFonts w:eastAsia="Times New Roman"/>
          <w:b w:val="0"/>
          <w:color w:val="auto"/>
          <w:sz w:val="23"/>
        </w:rPr>
        <w:t>současné</w:t>
      </w:r>
      <w:r w:rsidR="12C7E744" w:rsidRPr="286B46F2">
        <w:rPr>
          <w:rFonts w:eastAsia="Times New Roman"/>
          <w:b w:val="0"/>
          <w:color w:val="auto"/>
          <w:sz w:val="23"/>
        </w:rPr>
        <w:t xml:space="preserve"> době probíhá příprava Státní politiky životního prostředí na období 2020</w:t>
      </w:r>
      <w:r w:rsidR="009D771B" w:rsidRPr="286B46F2">
        <w:rPr>
          <w:rFonts w:eastAsia="Times New Roman"/>
          <w:b w:val="0"/>
          <w:color w:val="auto"/>
          <w:sz w:val="23"/>
        </w:rPr>
        <w:t>–</w:t>
      </w:r>
      <w:r w:rsidR="12C7E744" w:rsidRPr="286B46F2">
        <w:rPr>
          <w:rFonts w:eastAsia="Times New Roman"/>
          <w:b w:val="0"/>
          <w:color w:val="auto"/>
          <w:sz w:val="23"/>
        </w:rPr>
        <w:t>2030</w:t>
      </w:r>
      <w:r w:rsidR="1ED5CA7E" w:rsidRPr="286B46F2">
        <w:rPr>
          <w:rFonts w:eastAsia="Times New Roman"/>
          <w:b w:val="0"/>
          <w:color w:val="auto"/>
          <w:sz w:val="23"/>
        </w:rPr>
        <w:t>.</w:t>
      </w:r>
    </w:p>
    <w:p w14:paraId="73F6E1F7" w14:textId="19AE5C18" w:rsidR="01BEEB2B" w:rsidRDefault="01BEEB2B" w:rsidP="286B46F2">
      <w:pPr>
        <w:pStyle w:val="K-Nadpis3"/>
        <w:rPr>
          <w:rFonts w:eastAsia="Times New Roman"/>
          <w:b w:val="0"/>
          <w:color w:val="auto"/>
          <w:sz w:val="23"/>
        </w:rPr>
      </w:pPr>
    </w:p>
    <w:p w14:paraId="5F038EB3" w14:textId="4A5F7765" w:rsidR="5A800AB0" w:rsidRDefault="095043BA" w:rsidP="286B46F2">
      <w:pPr>
        <w:pStyle w:val="K-Nadpis3"/>
        <w:rPr>
          <w:rFonts w:eastAsia="Times New Roman"/>
          <w:b w:val="0"/>
          <w:color w:val="auto"/>
          <w:sz w:val="23"/>
        </w:rPr>
      </w:pPr>
      <w:r w:rsidRPr="286B46F2">
        <w:rPr>
          <w:rFonts w:eastAsia="Times New Roman"/>
          <w:b w:val="0"/>
          <w:color w:val="auto"/>
          <w:sz w:val="23"/>
        </w:rPr>
        <w:t xml:space="preserve">V rámci Státní politiky životního prostředí se jedná o </w:t>
      </w:r>
      <w:r w:rsidR="32062E83" w:rsidRPr="286B46F2">
        <w:rPr>
          <w:rFonts w:eastAsia="Times New Roman"/>
          <w:b w:val="0"/>
          <w:color w:val="auto"/>
          <w:sz w:val="23"/>
        </w:rPr>
        <w:t>specifický cíl 1.3.2 a specifický cíl 1.6.</w:t>
      </w:r>
      <w:r w:rsidR="1BFFD4C4" w:rsidRPr="286B46F2">
        <w:rPr>
          <w:rFonts w:eastAsia="Times New Roman"/>
          <w:b w:val="0"/>
          <w:color w:val="auto"/>
          <w:sz w:val="23"/>
        </w:rPr>
        <w:t>2</w:t>
      </w:r>
      <w:r w:rsidR="32062E83" w:rsidRPr="286B46F2">
        <w:rPr>
          <w:rFonts w:eastAsia="Times New Roman"/>
          <w:b w:val="0"/>
          <w:color w:val="auto"/>
          <w:sz w:val="23"/>
        </w:rPr>
        <w:t>.</w:t>
      </w:r>
    </w:p>
    <w:p w14:paraId="6DE1F436" w14:textId="4803B160" w:rsidR="0AC5A3CC" w:rsidRDefault="1F4A0402" w:rsidP="286B46F2">
      <w:pPr>
        <w:pStyle w:val="K-Nadpis3"/>
        <w:numPr>
          <w:ilvl w:val="0"/>
          <w:numId w:val="28"/>
        </w:numPr>
        <w:rPr>
          <w:rFonts w:eastAsia="Times New Roman"/>
          <w:b w:val="0"/>
          <w:color w:val="000000" w:themeColor="text1"/>
          <w:sz w:val="23"/>
        </w:rPr>
      </w:pPr>
      <w:r w:rsidRPr="286B46F2">
        <w:rPr>
          <w:rFonts w:eastAsia="Times New Roman"/>
          <w:b w:val="0"/>
          <w:color w:val="auto"/>
          <w:sz w:val="23"/>
        </w:rPr>
        <w:t xml:space="preserve">Specifický cíl 1.3.2 </w:t>
      </w:r>
      <w:r w:rsidR="3D93C82D" w:rsidRPr="286B46F2">
        <w:rPr>
          <w:rFonts w:eastAsia="Times New Roman"/>
          <w:b w:val="0"/>
          <w:color w:val="auto"/>
          <w:sz w:val="23"/>
        </w:rPr>
        <w:t>“</w:t>
      </w:r>
      <w:r w:rsidRPr="286B46F2">
        <w:rPr>
          <w:rFonts w:eastAsia="Times New Roman"/>
          <w:b w:val="0"/>
          <w:color w:val="auto"/>
          <w:sz w:val="23"/>
        </w:rPr>
        <w:t>Kontaminovaná území, vč. starých ekologických zátěží, jsou evidována a účinně sanována</w:t>
      </w:r>
      <w:r w:rsidR="30CD5615" w:rsidRPr="286B46F2">
        <w:rPr>
          <w:rFonts w:eastAsia="Times New Roman"/>
          <w:b w:val="0"/>
          <w:color w:val="auto"/>
          <w:sz w:val="23"/>
        </w:rPr>
        <w:t>”</w:t>
      </w:r>
    </w:p>
    <w:p w14:paraId="22F38165" w14:textId="3643C28D" w:rsidR="5A800AB0" w:rsidRDefault="4BF4C5B5" w:rsidP="286B46F2">
      <w:pPr>
        <w:pStyle w:val="K-Nadpis3"/>
        <w:numPr>
          <w:ilvl w:val="0"/>
          <w:numId w:val="28"/>
        </w:numPr>
        <w:rPr>
          <w:rFonts w:eastAsia="Times New Roman"/>
          <w:b w:val="0"/>
          <w:color w:val="000000" w:themeColor="text1"/>
          <w:sz w:val="23"/>
        </w:rPr>
      </w:pPr>
      <w:r w:rsidRPr="286B46F2">
        <w:rPr>
          <w:rFonts w:eastAsia="Times New Roman"/>
          <w:b w:val="0"/>
          <w:color w:val="auto"/>
          <w:sz w:val="23"/>
        </w:rPr>
        <w:t xml:space="preserve">Specifický cíl 1.6.2 </w:t>
      </w:r>
      <w:r w:rsidR="4205625A" w:rsidRPr="286B46F2">
        <w:rPr>
          <w:rFonts w:eastAsia="Times New Roman"/>
          <w:b w:val="0"/>
          <w:color w:val="auto"/>
          <w:sz w:val="23"/>
        </w:rPr>
        <w:t>“</w:t>
      </w:r>
      <w:r w:rsidRPr="286B46F2">
        <w:rPr>
          <w:rFonts w:eastAsia="Times New Roman"/>
          <w:b w:val="0"/>
          <w:color w:val="auto"/>
          <w:sz w:val="23"/>
        </w:rPr>
        <w:t>Rozvoj sídel je koncepční, přednostně jsou využívány brownfieldy a již využité území</w:t>
      </w:r>
      <w:r w:rsidR="1EF6EDC3" w:rsidRPr="286B46F2">
        <w:rPr>
          <w:rFonts w:eastAsia="Times New Roman"/>
          <w:b w:val="0"/>
          <w:color w:val="auto"/>
          <w:sz w:val="23"/>
        </w:rPr>
        <w:t>”</w:t>
      </w:r>
    </w:p>
    <w:p w14:paraId="3B2849B6" w14:textId="4C1EB592" w:rsidR="77D0F617" w:rsidRDefault="6AEE41ED" w:rsidP="286B46F2">
      <w:pPr>
        <w:pStyle w:val="K-Nadpis3"/>
        <w:rPr>
          <w:rFonts w:eastAsia="Times New Roman"/>
          <w:b w:val="0"/>
          <w:color w:val="auto"/>
          <w:sz w:val="23"/>
        </w:rPr>
      </w:pPr>
      <w:r w:rsidRPr="3F9F811D">
        <w:rPr>
          <w:rFonts w:eastAsia="Times New Roman"/>
          <w:b w:val="0"/>
          <w:color w:val="auto"/>
          <w:sz w:val="23"/>
        </w:rPr>
        <w:t>Dle</w:t>
      </w:r>
      <w:r w:rsidR="301B2058" w:rsidRPr="3F9F811D">
        <w:rPr>
          <w:rFonts w:eastAsia="Times New Roman"/>
          <w:b w:val="0"/>
          <w:color w:val="auto"/>
          <w:sz w:val="23"/>
        </w:rPr>
        <w:t xml:space="preserve"> </w:t>
      </w:r>
      <w:r w:rsidRPr="3F9F811D">
        <w:rPr>
          <w:rFonts w:eastAsia="Times New Roman"/>
          <w:b w:val="0"/>
          <w:color w:val="auto"/>
          <w:sz w:val="23"/>
        </w:rPr>
        <w:t xml:space="preserve">Státní politiky životního prostředí </w:t>
      </w:r>
      <w:r w:rsidR="4809CF96" w:rsidRPr="3F9F811D">
        <w:rPr>
          <w:rFonts w:eastAsia="Times New Roman"/>
          <w:b w:val="0"/>
          <w:color w:val="auto"/>
          <w:sz w:val="23"/>
        </w:rPr>
        <w:t xml:space="preserve">jsou </w:t>
      </w:r>
      <w:r w:rsidRPr="3F9F811D">
        <w:rPr>
          <w:rFonts w:eastAsia="Times New Roman"/>
          <w:b w:val="0"/>
          <w:color w:val="auto"/>
          <w:sz w:val="23"/>
        </w:rPr>
        <w:t>lokality brownfields</w:t>
      </w:r>
      <w:r w:rsidR="48C8EAF1" w:rsidRPr="3F9F811D">
        <w:rPr>
          <w:rFonts w:eastAsia="Times New Roman"/>
          <w:b w:val="0"/>
          <w:color w:val="auto"/>
          <w:sz w:val="23"/>
        </w:rPr>
        <w:t xml:space="preserve"> </w:t>
      </w:r>
      <w:r w:rsidR="301B2058" w:rsidRPr="3F9F811D">
        <w:rPr>
          <w:rFonts w:eastAsia="Times New Roman"/>
          <w:b w:val="0"/>
          <w:color w:val="auto"/>
          <w:sz w:val="23"/>
        </w:rPr>
        <w:t>specifick</w:t>
      </w:r>
      <w:r w:rsidR="468525C7" w:rsidRPr="3F9F811D">
        <w:rPr>
          <w:rFonts w:eastAsia="Times New Roman"/>
          <w:b w:val="0"/>
          <w:color w:val="auto"/>
          <w:sz w:val="23"/>
        </w:rPr>
        <w:t>á</w:t>
      </w:r>
      <w:r w:rsidR="301B2058" w:rsidRPr="3F9F811D">
        <w:rPr>
          <w:rFonts w:eastAsia="Times New Roman"/>
          <w:b w:val="0"/>
          <w:color w:val="auto"/>
          <w:sz w:val="23"/>
        </w:rPr>
        <w:t xml:space="preserve"> kategori</w:t>
      </w:r>
      <w:r w:rsidR="59E70AB2" w:rsidRPr="3F9F811D">
        <w:rPr>
          <w:rFonts w:eastAsia="Times New Roman"/>
          <w:b w:val="0"/>
          <w:color w:val="auto"/>
          <w:sz w:val="23"/>
        </w:rPr>
        <w:t>e</w:t>
      </w:r>
      <w:r w:rsidR="4566A422" w:rsidRPr="3F9F811D">
        <w:rPr>
          <w:rFonts w:eastAsia="Times New Roman"/>
          <w:b w:val="0"/>
          <w:color w:val="auto"/>
          <w:sz w:val="23"/>
        </w:rPr>
        <w:t xml:space="preserve"> zatížených území, tedy nedostatečně využité nemovitosti (pozemky, objekty nebo areály), vzniklé jako pozůstatek průmyslové, zemědělské, rezidenční, vojenské či jiné aktivit, často také kontaminované nebezpečnými látkami v důsledku předchozího využití, které brání jejich efektivnímu využití. Kromě primárního rizika pro životní prostředí a zdraví obyvatel tato území přinášejí i další negativa pro širší okolí, jako je snížení atraktivity přilehlých lokalit, koncentraci sociálních problémů apod. Regenerace a využití brownfieldů poskytuje prostor pro rozvoj sídel, prostory pro podnikatelské záměry. Jejich přednostní využití přispěje ke snížení tzv. výstavby na zelené louce, a tedy záboru zemědělského půdního fondu</w:t>
      </w:r>
      <w:r w:rsidR="57DD7596" w:rsidRPr="3F9F811D">
        <w:rPr>
          <w:rFonts w:eastAsia="Times New Roman"/>
          <w:b w:val="0"/>
          <w:color w:val="auto"/>
          <w:sz w:val="23"/>
        </w:rPr>
        <w:t xml:space="preserve">. </w:t>
      </w:r>
      <w:r w:rsidR="4566A422" w:rsidRPr="3F9F811D">
        <w:rPr>
          <w:rFonts w:eastAsia="Times New Roman"/>
          <w:b w:val="0"/>
          <w:color w:val="auto"/>
          <w:sz w:val="23"/>
        </w:rPr>
        <w:t xml:space="preserve">Proto byla přijata Národní strategie regenerace brownfieldů 2019–2024 a od roku 2018 jsou brownfieldy nově sledovaným jevem územně analytických podkladů. </w:t>
      </w:r>
    </w:p>
    <w:p w14:paraId="58A09588" w14:textId="5AF4B009" w:rsidR="7605C763" w:rsidRDefault="248F579B" w:rsidP="286B46F2">
      <w:pPr>
        <w:pStyle w:val="K-Nadpis3"/>
        <w:rPr>
          <w:rFonts w:eastAsia="Times New Roman"/>
          <w:b w:val="0"/>
          <w:color w:val="auto"/>
          <w:sz w:val="23"/>
        </w:rPr>
      </w:pPr>
      <w:r w:rsidRPr="286B46F2">
        <w:rPr>
          <w:rFonts w:eastAsia="Times New Roman"/>
          <w:b w:val="0"/>
          <w:color w:val="auto"/>
          <w:sz w:val="23"/>
        </w:rPr>
        <w:t>Národní strategie regenerací brownfieldů 2019</w:t>
      </w:r>
      <w:r w:rsidR="009D771B" w:rsidRPr="286B46F2">
        <w:rPr>
          <w:rFonts w:eastAsia="Times New Roman"/>
          <w:b w:val="0"/>
          <w:color w:val="auto"/>
          <w:sz w:val="23"/>
        </w:rPr>
        <w:t>–</w:t>
      </w:r>
      <w:r w:rsidRPr="286B46F2">
        <w:rPr>
          <w:rFonts w:eastAsia="Times New Roman"/>
          <w:b w:val="0"/>
          <w:color w:val="auto"/>
          <w:sz w:val="23"/>
        </w:rPr>
        <w:t>2024 (dále jen NSRB 2024) je aktualizovaná Národní strategie regenerace brownfieldů (dále jen NSRB), která byla vzata na vědomí Vládou ČR dne 9. července 2008</w:t>
      </w:r>
      <w:r w:rsidR="1856A45B" w:rsidRPr="286B46F2">
        <w:rPr>
          <w:rFonts w:eastAsia="Times New Roman"/>
          <w:b w:val="0"/>
          <w:color w:val="auto"/>
          <w:sz w:val="23"/>
        </w:rPr>
        <w:t xml:space="preserve"> a následně 8 července 2019.</w:t>
      </w:r>
    </w:p>
    <w:p w14:paraId="7123420D" w14:textId="1D82F222" w:rsidR="7605C763" w:rsidRDefault="248F579B" w:rsidP="286B46F2">
      <w:pPr>
        <w:pStyle w:val="K-Nadpis3"/>
        <w:rPr>
          <w:rFonts w:eastAsia="Times New Roman"/>
          <w:b w:val="0"/>
          <w:color w:val="auto"/>
          <w:sz w:val="23"/>
        </w:rPr>
      </w:pPr>
      <w:r w:rsidRPr="286B46F2">
        <w:rPr>
          <w:rFonts w:eastAsia="Times New Roman"/>
          <w:b w:val="0"/>
          <w:color w:val="auto"/>
          <w:sz w:val="23"/>
        </w:rPr>
        <w:t>NSRB 2024 stanovuje vizi a cíle v období 2019</w:t>
      </w:r>
      <w:r w:rsidR="009D771B" w:rsidRPr="286B46F2">
        <w:rPr>
          <w:rFonts w:eastAsia="Times New Roman"/>
          <w:b w:val="0"/>
          <w:color w:val="auto"/>
          <w:sz w:val="23"/>
        </w:rPr>
        <w:t>–</w:t>
      </w:r>
      <w:r w:rsidRPr="286B46F2">
        <w:rPr>
          <w:rFonts w:eastAsia="Times New Roman"/>
          <w:b w:val="0"/>
          <w:color w:val="auto"/>
          <w:sz w:val="23"/>
        </w:rPr>
        <w:t xml:space="preserve">2024, rozčleněné do čtyř tematických oblastí. Pro jednotlivé cíle jsou navržena opatření, určeny zodpovědné a spolupracující instituce a termíny plnění. </w:t>
      </w:r>
    </w:p>
    <w:p w14:paraId="1E91170E" w14:textId="2128A201" w:rsidR="7605C763" w:rsidRDefault="248F579B" w:rsidP="286B46F2">
      <w:pPr>
        <w:pStyle w:val="K-Nadpis3"/>
        <w:rPr>
          <w:rFonts w:eastAsia="Times New Roman"/>
          <w:b w:val="0"/>
          <w:color w:val="auto"/>
          <w:sz w:val="23"/>
        </w:rPr>
      </w:pPr>
      <w:r w:rsidRPr="286B46F2">
        <w:rPr>
          <w:rFonts w:eastAsia="Times New Roman"/>
          <w:b w:val="0"/>
          <w:color w:val="auto"/>
          <w:sz w:val="23"/>
        </w:rPr>
        <w:t>V rámci této strategie nejsou řešeny důlní brownfieldy po povrchové těžbě, které představují rozsáhlé plochy určené rekultivačními plány k rekultivaci. Tyto plochy nejsou zahrnuty do databází brownfieldů a jsou detailně řešeny v Návrhu jednotné koncepce správy a následného využívání rekultivovaných území a v dalších strategických dokumentech.</w:t>
      </w:r>
    </w:p>
    <w:p w14:paraId="087606BF" w14:textId="41284E5C" w:rsidR="7605C763" w:rsidRDefault="248F579B" w:rsidP="286B46F2">
      <w:pPr>
        <w:pStyle w:val="K-Nadpis3"/>
        <w:rPr>
          <w:rFonts w:eastAsia="Times New Roman"/>
          <w:b w:val="0"/>
          <w:color w:val="auto"/>
          <w:sz w:val="23"/>
        </w:rPr>
      </w:pPr>
      <w:r w:rsidRPr="286B46F2">
        <w:rPr>
          <w:rFonts w:eastAsia="Times New Roman"/>
          <w:b w:val="0"/>
          <w:color w:val="auto"/>
          <w:sz w:val="23"/>
        </w:rPr>
        <w:t xml:space="preserve">NSRB 2024 nastavuje podporu pro regenerace průmyslových i ostatních typů brownfieldů. Účelem je koordinovaná podpora ze strany státní a veřejné správy zaměřená na regenerace brownfieldů na celém území ČR, která urychlí a usnadní najít nové ekonomické nebo veřejně prospěšné využití pro opuštěné a nedostatečně využívané nemovitosti – brownfieldy na území našich měst a obcí.  </w:t>
      </w:r>
    </w:p>
    <w:p w14:paraId="2121D661" w14:textId="1E77C5EE" w:rsidR="2CDC2507" w:rsidRDefault="76530002" w:rsidP="286B46F2">
      <w:pPr>
        <w:pStyle w:val="K-Nadpis3"/>
        <w:rPr>
          <w:rFonts w:eastAsia="Times New Roman"/>
          <w:b w:val="0"/>
          <w:color w:val="auto"/>
          <w:sz w:val="23"/>
        </w:rPr>
      </w:pPr>
      <w:r w:rsidRPr="286B46F2">
        <w:rPr>
          <w:rFonts w:eastAsia="Times New Roman"/>
          <w:b w:val="0"/>
          <w:color w:val="auto"/>
          <w:sz w:val="23"/>
        </w:rPr>
        <w:t xml:space="preserve">Součástí NSRB jsou i </w:t>
      </w:r>
      <w:r w:rsidR="009D771B" w:rsidRPr="286B46F2">
        <w:rPr>
          <w:rFonts w:eastAsia="Times New Roman"/>
          <w:b w:val="0"/>
          <w:color w:val="auto"/>
          <w:sz w:val="23"/>
        </w:rPr>
        <w:t xml:space="preserve">tyto </w:t>
      </w:r>
      <w:r w:rsidRPr="286B46F2">
        <w:rPr>
          <w:rFonts w:eastAsia="Times New Roman"/>
          <w:b w:val="0"/>
          <w:color w:val="auto"/>
          <w:sz w:val="23"/>
        </w:rPr>
        <w:t xml:space="preserve">úkoly </w:t>
      </w:r>
      <w:r w:rsidR="543841BC" w:rsidRPr="286B46F2">
        <w:rPr>
          <w:rFonts w:eastAsia="Times New Roman"/>
          <w:b w:val="0"/>
          <w:color w:val="auto"/>
          <w:sz w:val="23"/>
        </w:rPr>
        <w:t>pro jednotlivé rezorty.</w:t>
      </w:r>
    </w:p>
    <w:p w14:paraId="44CB2565" w14:textId="321E7E8D" w:rsidR="54B804B4" w:rsidRDefault="54B804B4" w:rsidP="286B46F2">
      <w:pPr>
        <w:pStyle w:val="K-Nadpis3"/>
        <w:numPr>
          <w:ilvl w:val="0"/>
          <w:numId w:val="29"/>
        </w:numPr>
        <w:rPr>
          <w:rFonts w:eastAsia="Times New Roman"/>
          <w:b w:val="0"/>
          <w:color w:val="000000" w:themeColor="text1"/>
          <w:sz w:val="23"/>
        </w:rPr>
      </w:pPr>
      <w:r w:rsidRPr="286B46F2">
        <w:rPr>
          <w:rFonts w:eastAsia="Times New Roman"/>
          <w:b w:val="0"/>
          <w:color w:val="auto"/>
          <w:sz w:val="23"/>
        </w:rPr>
        <w:t xml:space="preserve">Opatření 2.1: </w:t>
      </w:r>
      <w:r w:rsidR="250E67AB" w:rsidRPr="286B46F2">
        <w:rPr>
          <w:rFonts w:eastAsia="Times New Roman"/>
          <w:b w:val="0"/>
          <w:color w:val="auto"/>
          <w:sz w:val="23"/>
        </w:rPr>
        <w:t>“</w:t>
      </w:r>
      <w:r w:rsidRPr="286B46F2">
        <w:rPr>
          <w:rFonts w:eastAsia="Times New Roman"/>
          <w:b w:val="0"/>
          <w:color w:val="auto"/>
          <w:sz w:val="23"/>
        </w:rPr>
        <w:t>Nové podnikatelské nemovitosti směřovat na plochy brownfieldů.</w:t>
      </w:r>
      <w:r w:rsidR="11D69C83" w:rsidRPr="286B46F2">
        <w:rPr>
          <w:rFonts w:eastAsia="Times New Roman"/>
          <w:b w:val="0"/>
          <w:color w:val="auto"/>
          <w:sz w:val="23"/>
        </w:rPr>
        <w:t>”</w:t>
      </w:r>
    </w:p>
    <w:p w14:paraId="6818A8F3" w14:textId="143A47BD" w:rsidR="54B804B4" w:rsidRDefault="54B804B4" w:rsidP="286B46F2">
      <w:pPr>
        <w:pStyle w:val="K-Nadpis3"/>
        <w:numPr>
          <w:ilvl w:val="1"/>
          <w:numId w:val="29"/>
        </w:numPr>
        <w:rPr>
          <w:rFonts w:eastAsia="Times New Roman"/>
          <w:b w:val="0"/>
          <w:color w:val="000000" w:themeColor="text1"/>
          <w:sz w:val="23"/>
        </w:rPr>
      </w:pPr>
      <w:r w:rsidRPr="286B46F2">
        <w:rPr>
          <w:rFonts w:eastAsia="Times New Roman"/>
          <w:b w:val="0"/>
          <w:color w:val="auto"/>
          <w:sz w:val="23"/>
        </w:rPr>
        <w:lastRenderedPageBreak/>
        <w:t>Úkol: v programech posilovat zaměření na regenerace brownfieldů. Projekty regenerací brownfieldů preferovat před výstavbou na zelené louce.</w:t>
      </w:r>
    </w:p>
    <w:p w14:paraId="6BA0FDF9" w14:textId="5FF1E80E" w:rsidR="54B804B4" w:rsidRPr="00D42000" w:rsidRDefault="54B804B4" w:rsidP="286B46F2">
      <w:pPr>
        <w:pStyle w:val="K-TextInfo"/>
        <w:numPr>
          <w:ilvl w:val="1"/>
          <w:numId w:val="29"/>
        </w:numPr>
        <w:rPr>
          <w:rFonts w:eastAsia="Times New Roman"/>
          <w:i w:val="0"/>
          <w:iCs w:val="0"/>
          <w:color w:val="000000" w:themeColor="text1"/>
        </w:rPr>
      </w:pPr>
      <w:r w:rsidRPr="286B46F2">
        <w:rPr>
          <w:rFonts w:eastAsia="Times New Roman"/>
          <w:i w:val="0"/>
          <w:iCs w:val="0"/>
          <w:color w:val="auto"/>
        </w:rPr>
        <w:t>Úkol je plněn prostřednictvím programu Regenerace a podnikatelské využití brownfieldů.</w:t>
      </w:r>
      <w:r w:rsidR="2DAE31E8" w:rsidRPr="286B46F2">
        <w:rPr>
          <w:rFonts w:eastAsia="Times New Roman"/>
          <w:i w:val="0"/>
          <w:iCs w:val="0"/>
          <w:color w:val="auto"/>
        </w:rPr>
        <w:t xml:space="preserve"> Dotační program je součástí této komponenty</w:t>
      </w:r>
      <w:r w:rsidR="00D42000" w:rsidRPr="286B46F2">
        <w:rPr>
          <w:rFonts w:eastAsia="Times New Roman"/>
          <w:i w:val="0"/>
          <w:iCs w:val="0"/>
          <w:color w:val="auto"/>
        </w:rPr>
        <w:t>.</w:t>
      </w:r>
    </w:p>
    <w:p w14:paraId="0E859036" w14:textId="099C33B1" w:rsidR="54B804B4" w:rsidRDefault="54B804B4" w:rsidP="286B46F2">
      <w:pPr>
        <w:pStyle w:val="K-Nadpis3"/>
        <w:numPr>
          <w:ilvl w:val="0"/>
          <w:numId w:val="29"/>
        </w:numPr>
        <w:rPr>
          <w:rFonts w:eastAsia="Times New Roman"/>
          <w:b w:val="0"/>
          <w:color w:val="000000" w:themeColor="text1"/>
          <w:sz w:val="23"/>
        </w:rPr>
      </w:pPr>
      <w:r w:rsidRPr="286B46F2">
        <w:rPr>
          <w:rFonts w:eastAsia="Times New Roman"/>
          <w:b w:val="0"/>
          <w:color w:val="auto"/>
          <w:sz w:val="23"/>
        </w:rPr>
        <w:t xml:space="preserve">Opatření 2.2: </w:t>
      </w:r>
      <w:r w:rsidR="54A89F7D" w:rsidRPr="286B46F2">
        <w:rPr>
          <w:rFonts w:eastAsia="Times New Roman"/>
          <w:b w:val="0"/>
          <w:color w:val="auto"/>
          <w:sz w:val="23"/>
        </w:rPr>
        <w:t>“</w:t>
      </w:r>
      <w:r w:rsidRPr="286B46F2">
        <w:rPr>
          <w:rFonts w:eastAsia="Times New Roman"/>
          <w:b w:val="0"/>
          <w:color w:val="auto"/>
          <w:sz w:val="23"/>
        </w:rPr>
        <w:t>V programech posilovat zaměření na regenerace brownfieldů. Projekty regenerací brownfieldů preferovat před výstavbou na zelené louce.</w:t>
      </w:r>
      <w:r w:rsidR="7DAB4AE7" w:rsidRPr="286B46F2">
        <w:rPr>
          <w:rFonts w:eastAsia="Times New Roman"/>
          <w:b w:val="0"/>
          <w:color w:val="auto"/>
          <w:sz w:val="23"/>
        </w:rPr>
        <w:t>”</w:t>
      </w:r>
    </w:p>
    <w:p w14:paraId="2A2B79E7" w14:textId="77777777" w:rsidR="009D771B" w:rsidRDefault="009D771B" w:rsidP="286B46F2">
      <w:pPr>
        <w:pStyle w:val="K-Nadpis3"/>
        <w:numPr>
          <w:ilvl w:val="1"/>
          <w:numId w:val="29"/>
        </w:numPr>
        <w:rPr>
          <w:rFonts w:eastAsia="Times New Roman"/>
          <w:b w:val="0"/>
          <w:color w:val="000000" w:themeColor="text1"/>
          <w:sz w:val="23"/>
        </w:rPr>
      </w:pPr>
      <w:r w:rsidRPr="286B46F2">
        <w:rPr>
          <w:rFonts w:eastAsia="Times New Roman"/>
          <w:b w:val="0"/>
          <w:color w:val="auto"/>
          <w:sz w:val="23"/>
        </w:rPr>
        <w:t xml:space="preserve">Úkol: umožnit obcím čerpat prostředky na projekty regenerace pro funkce bydlení, veřejných prostranství, občanské vybavenosti a infrastruktury. </w:t>
      </w:r>
    </w:p>
    <w:p w14:paraId="60F06471" w14:textId="4EEBCB0F" w:rsidR="009D771B" w:rsidRDefault="009D771B" w:rsidP="286B46F2">
      <w:pPr>
        <w:pStyle w:val="K-Nadpis3"/>
        <w:numPr>
          <w:ilvl w:val="1"/>
          <w:numId w:val="29"/>
        </w:numPr>
        <w:rPr>
          <w:rFonts w:eastAsia="Times New Roman"/>
          <w:b w:val="0"/>
          <w:color w:val="000000" w:themeColor="text1"/>
          <w:sz w:val="23"/>
        </w:rPr>
      </w:pPr>
      <w:r w:rsidRPr="286B46F2">
        <w:rPr>
          <w:rFonts w:eastAsia="Times New Roman"/>
          <w:b w:val="0"/>
          <w:color w:val="auto"/>
          <w:sz w:val="23"/>
        </w:rPr>
        <w:t>Úkol je plněn prostřednictvím programů MMR. Dotační program je součástí této komponenty.</w:t>
      </w:r>
    </w:p>
    <w:p w14:paraId="466F7CA7" w14:textId="0A04B63F" w:rsidR="009D771B" w:rsidRPr="009D771B" w:rsidRDefault="009D771B" w:rsidP="286B46F2">
      <w:pPr>
        <w:pStyle w:val="K-Nadpis3"/>
        <w:numPr>
          <w:ilvl w:val="0"/>
          <w:numId w:val="29"/>
        </w:numPr>
        <w:rPr>
          <w:rFonts w:eastAsia="Times New Roman"/>
          <w:b w:val="0"/>
          <w:color w:val="000000" w:themeColor="text1"/>
          <w:sz w:val="23"/>
        </w:rPr>
      </w:pPr>
      <w:r w:rsidRPr="286B46F2">
        <w:rPr>
          <w:rFonts w:eastAsia="Times New Roman"/>
          <w:b w:val="0"/>
          <w:color w:val="auto"/>
          <w:sz w:val="23"/>
        </w:rPr>
        <w:t>Opatření 2.6: Zjednodušení podpory regenerace specifických brownfieldů.</w:t>
      </w:r>
    </w:p>
    <w:p w14:paraId="4877BBC2" w14:textId="11C153C6" w:rsidR="009D771B" w:rsidRDefault="009D771B" w:rsidP="286B46F2">
      <w:pPr>
        <w:pStyle w:val="K-Nadpis3"/>
        <w:numPr>
          <w:ilvl w:val="1"/>
          <w:numId w:val="29"/>
        </w:numPr>
        <w:rPr>
          <w:rFonts w:eastAsia="Times New Roman"/>
          <w:b w:val="0"/>
          <w:color w:val="000000" w:themeColor="text1"/>
          <w:sz w:val="23"/>
        </w:rPr>
      </w:pPr>
      <w:r w:rsidRPr="286B46F2">
        <w:rPr>
          <w:rFonts w:eastAsia="Times New Roman"/>
          <w:b w:val="0"/>
          <w:color w:val="auto"/>
          <w:sz w:val="23"/>
        </w:rPr>
        <w:t>Úkol: Navrhnout opatření, které by se týkalo zjednodušení podpory regenerace specifických brownfieldů, které vyžadují součinnost několika dotačních titulů (sanace, podnikatelské a nepodnikatelské využití) a které by vedlo k multifunkčnosti využití objektů.</w:t>
      </w:r>
    </w:p>
    <w:p w14:paraId="40B77E8A" w14:textId="39D009E2" w:rsidR="009D771B" w:rsidRDefault="009D771B" w:rsidP="286B46F2">
      <w:pPr>
        <w:pStyle w:val="K-Nadpis3"/>
        <w:numPr>
          <w:ilvl w:val="1"/>
          <w:numId w:val="29"/>
        </w:numPr>
        <w:rPr>
          <w:rFonts w:eastAsia="Times New Roman"/>
          <w:b w:val="0"/>
          <w:color w:val="000000" w:themeColor="text1"/>
          <w:sz w:val="23"/>
        </w:rPr>
      </w:pPr>
      <w:r w:rsidRPr="286B46F2">
        <w:rPr>
          <w:rFonts w:eastAsia="Times New Roman"/>
          <w:b w:val="0"/>
          <w:color w:val="auto"/>
          <w:sz w:val="23"/>
        </w:rPr>
        <w:t>Podpora je součástí této komponenty.</w:t>
      </w:r>
    </w:p>
    <w:p w14:paraId="26792DAA" w14:textId="32B1D6D6" w:rsidR="0A6A5A25" w:rsidRPr="00D42000" w:rsidRDefault="00D42000" w:rsidP="286B46F2">
      <w:pPr>
        <w:pStyle w:val="K-Nadpis3"/>
        <w:rPr>
          <w:rFonts w:eastAsia="Times New Roman"/>
          <w:b w:val="0"/>
          <w:color w:val="auto"/>
          <w:sz w:val="23"/>
        </w:rPr>
      </w:pPr>
      <w:r w:rsidRPr="286B46F2">
        <w:rPr>
          <w:rFonts w:eastAsia="Times New Roman"/>
          <w:b w:val="0"/>
          <w:color w:val="auto"/>
          <w:sz w:val="23"/>
        </w:rPr>
        <w:t>Potřeba řešit regenerace brownfieldů je také uložena na základě vládní strategie hospodářské restrukturalizace Ústeckého, Moravskoslezského a Karlovarského kraje (</w:t>
      </w:r>
      <w:proofErr w:type="gramStart"/>
      <w:r w:rsidRPr="286B46F2">
        <w:rPr>
          <w:rFonts w:eastAsia="Times New Roman"/>
          <w:b w:val="0"/>
          <w:color w:val="auto"/>
          <w:sz w:val="23"/>
        </w:rPr>
        <w:t>Re:Start</w:t>
      </w:r>
      <w:proofErr w:type="gramEnd"/>
      <w:r w:rsidRPr="286B46F2">
        <w:rPr>
          <w:rFonts w:eastAsia="Times New Roman"/>
          <w:b w:val="0"/>
          <w:color w:val="auto"/>
          <w:sz w:val="23"/>
        </w:rPr>
        <w:t xml:space="preserve">). Ta ukládá MMR i MPO nutnost řešit podnikatelské i nepodnikatelské využití brownfieldů ve vlastnictví územně samosprávných celků, potřebu řešit rozsáhlé specifické brownfieldy a podporovat vznik studií a analýz budoucího využití brownfieldů.  </w:t>
      </w:r>
    </w:p>
    <w:p w14:paraId="6B8B9772" w14:textId="77777777" w:rsidR="00D42000" w:rsidRDefault="00D42000" w:rsidP="00D42000">
      <w:pPr>
        <w:pStyle w:val="Normln-tun"/>
      </w:pPr>
    </w:p>
    <w:p w14:paraId="1C015FB3" w14:textId="77777777" w:rsidR="007A2737" w:rsidRDefault="007A2737" w:rsidP="007A2737">
      <w:pPr>
        <w:pStyle w:val="K-Nadpis3"/>
      </w:pPr>
      <w:r>
        <w:t xml:space="preserve">d) </w:t>
      </w:r>
      <w:r w:rsidRPr="007A2737">
        <w:t>Předchozí snahy</w:t>
      </w:r>
    </w:p>
    <w:p w14:paraId="3B904715" w14:textId="31469BE4" w:rsidR="00B804DC" w:rsidRDefault="00B804DC" w:rsidP="005119E2">
      <w:pPr>
        <w:pStyle w:val="K-TextInfo"/>
        <w:rPr>
          <w:i w:val="0"/>
          <w:color w:val="auto"/>
        </w:rPr>
      </w:pPr>
      <w:r w:rsidRPr="00B804DC">
        <w:rPr>
          <w:i w:val="0"/>
          <w:color w:val="auto"/>
        </w:rPr>
        <w:t xml:space="preserve">Existují programy, které regenerace brownfieldů podporují. </w:t>
      </w:r>
      <w:r w:rsidR="00C66385">
        <w:rPr>
          <w:i w:val="0"/>
          <w:color w:val="auto"/>
        </w:rPr>
        <w:t xml:space="preserve">Alokace prostředků je ale nedostatečná, chybí možnost kombinovat programy a snaha řešit problematiku systematicky. </w:t>
      </w:r>
    </w:p>
    <w:p w14:paraId="6AB532DE" w14:textId="542F383A" w:rsidR="00C66385" w:rsidRDefault="00C66385" w:rsidP="005119E2">
      <w:pPr>
        <w:pStyle w:val="K-TextInfo"/>
        <w:rPr>
          <w:i w:val="0"/>
          <w:color w:val="auto"/>
        </w:rPr>
      </w:pPr>
      <w:r>
        <w:rPr>
          <w:i w:val="0"/>
          <w:color w:val="auto"/>
        </w:rPr>
        <w:t xml:space="preserve">V rámci OP PIK jsou z programu Nemovitosti podporovány rekonstrukce brownfieldů pro podnikatelské využití, oprávněnými žadateli jsou malé a střední podniky. V rámci OP ŽP jsou alokované prostředky na sanace ekologických zátěží. </w:t>
      </w:r>
    </w:p>
    <w:p w14:paraId="5ADC70AE" w14:textId="6B7A2874" w:rsidR="005275BD" w:rsidRPr="005275BD" w:rsidRDefault="00C66385" w:rsidP="005119E2">
      <w:pPr>
        <w:pStyle w:val="K-TextInfo"/>
        <w:rPr>
          <w:i w:val="0"/>
          <w:color w:val="auto"/>
        </w:rPr>
      </w:pPr>
      <w:r>
        <w:rPr>
          <w:i w:val="0"/>
          <w:color w:val="auto"/>
        </w:rPr>
        <w:t xml:space="preserve">Zbytek podpory je poskytován z prostředků státního rozpočtu, </w:t>
      </w:r>
      <w:r w:rsidR="00190254" w:rsidRPr="005275BD">
        <w:rPr>
          <w:i w:val="0"/>
          <w:color w:val="auto"/>
        </w:rPr>
        <w:t>MPO</w:t>
      </w:r>
      <w:r>
        <w:rPr>
          <w:i w:val="0"/>
          <w:color w:val="auto"/>
        </w:rPr>
        <w:t xml:space="preserve"> a</w:t>
      </w:r>
      <w:r w:rsidR="00190254" w:rsidRPr="005275BD">
        <w:rPr>
          <w:i w:val="0"/>
          <w:color w:val="auto"/>
        </w:rPr>
        <w:t xml:space="preserve"> MMR vyhlašují dotační programy pro </w:t>
      </w:r>
      <w:r>
        <w:rPr>
          <w:i w:val="0"/>
          <w:color w:val="auto"/>
        </w:rPr>
        <w:t xml:space="preserve">regenerace </w:t>
      </w:r>
      <w:r w:rsidR="00190254" w:rsidRPr="005275BD">
        <w:rPr>
          <w:i w:val="0"/>
          <w:color w:val="auto"/>
        </w:rPr>
        <w:t xml:space="preserve">brownfieldů </w:t>
      </w:r>
      <w:r>
        <w:rPr>
          <w:i w:val="0"/>
          <w:color w:val="auto"/>
        </w:rPr>
        <w:t xml:space="preserve">ve vlastnictví obcí a krajů pro nepodnikatelské a podnikatelské využití. </w:t>
      </w:r>
      <w:r w:rsidRPr="005275BD">
        <w:rPr>
          <w:i w:val="0"/>
          <w:color w:val="auto"/>
        </w:rPr>
        <w:t xml:space="preserve">MMR administruje dotační podprogram, v </w:t>
      </w:r>
      <w:proofErr w:type="gramStart"/>
      <w:r w:rsidRPr="005275BD">
        <w:rPr>
          <w:i w:val="0"/>
          <w:color w:val="auto"/>
        </w:rPr>
        <w:t>rámci</w:t>
      </w:r>
      <w:proofErr w:type="gramEnd"/>
      <w:r w:rsidRPr="005275BD">
        <w:rPr>
          <w:i w:val="0"/>
          <w:color w:val="auto"/>
        </w:rPr>
        <w:t xml:space="preserve"> něhož dostanou obce a kraje finanční prostředky na tvorbu analýzy nebo studie budoucího využití konkrétního specifického brownfieldu.</w:t>
      </w:r>
      <w:r>
        <w:rPr>
          <w:i w:val="0"/>
          <w:color w:val="auto"/>
        </w:rPr>
        <w:t xml:space="preserve"> </w:t>
      </w:r>
      <w:r w:rsidR="00190254" w:rsidRPr="005275BD">
        <w:rPr>
          <w:i w:val="0"/>
          <w:color w:val="auto"/>
        </w:rPr>
        <w:t xml:space="preserve">MZe v dotačních programech bodově zvýhodňuje využívání </w:t>
      </w:r>
      <w:r w:rsidRPr="005275BD">
        <w:rPr>
          <w:i w:val="0"/>
          <w:color w:val="auto"/>
        </w:rPr>
        <w:t>brownfieldů</w:t>
      </w:r>
      <w:r w:rsidR="00190254" w:rsidRPr="005275BD">
        <w:rPr>
          <w:i w:val="0"/>
          <w:color w:val="auto"/>
        </w:rPr>
        <w:t>.</w:t>
      </w:r>
      <w:r w:rsidR="002672D5">
        <w:rPr>
          <w:i w:val="0"/>
          <w:color w:val="auto"/>
        </w:rPr>
        <w:t xml:space="preserve"> </w:t>
      </w:r>
    </w:p>
    <w:p w14:paraId="4F347385" w14:textId="77777777" w:rsidR="00D42000" w:rsidRDefault="00D42000" w:rsidP="00154B73">
      <w:pPr>
        <w:pStyle w:val="K-Nadpis2"/>
      </w:pPr>
    </w:p>
    <w:p w14:paraId="5BA8CBEF" w14:textId="04691AC4" w:rsidR="002C20CF" w:rsidRPr="00ED337B" w:rsidRDefault="002C20CF" w:rsidP="00154B73">
      <w:pPr>
        <w:pStyle w:val="K-Nadpis2"/>
      </w:pPr>
      <w:r w:rsidRPr="00ED337B">
        <w:t xml:space="preserve">3. </w:t>
      </w:r>
      <w:r w:rsidR="00AF3BAB" w:rsidRPr="00ED337B">
        <w:t>Popis reforem</w:t>
      </w:r>
      <w:r w:rsidR="009C04D3" w:rsidRPr="00ED337B">
        <w:t xml:space="preserve"> a investic</w:t>
      </w:r>
      <w:r w:rsidR="00AF3BAB" w:rsidRPr="00ED337B">
        <w:t xml:space="preserve"> k</w:t>
      </w:r>
      <w:r w:rsidRPr="00ED337B">
        <w:t>omponent</w:t>
      </w:r>
      <w:r w:rsidR="00AF3BAB" w:rsidRPr="00ED337B">
        <w:t>y</w:t>
      </w:r>
      <w:r w:rsidRPr="00ED337B">
        <w:t xml:space="preserve"> </w:t>
      </w:r>
    </w:p>
    <w:p w14:paraId="4E920967" w14:textId="77777777" w:rsidR="00D42000" w:rsidRDefault="00D42000" w:rsidP="002E19BA">
      <w:pPr>
        <w:pStyle w:val="K-Nadpis3"/>
      </w:pPr>
    </w:p>
    <w:p w14:paraId="1FCE690A" w14:textId="335E954A" w:rsidR="002E19BA" w:rsidRDefault="0015052B" w:rsidP="002E19BA">
      <w:pPr>
        <w:pStyle w:val="K-Nadpis3"/>
      </w:pPr>
      <w:r>
        <w:t>b</w:t>
      </w:r>
      <w:r w:rsidR="000C0598">
        <w:t xml:space="preserve">) Popis </w:t>
      </w:r>
      <w:r w:rsidR="002E19BA">
        <w:t>investic</w:t>
      </w:r>
    </w:p>
    <w:p w14:paraId="79B56DC3" w14:textId="08211C67" w:rsidR="009171FE" w:rsidRPr="00C66385" w:rsidRDefault="0062364A" w:rsidP="286B46F2">
      <w:pPr>
        <w:pStyle w:val="K-Nadpis3"/>
        <w:rPr>
          <w:rFonts w:eastAsia="Times New Roman"/>
          <w:b w:val="0"/>
          <w:sz w:val="23"/>
        </w:rPr>
      </w:pPr>
      <w:r w:rsidRPr="286B46F2">
        <w:rPr>
          <w:rFonts w:eastAsia="Times New Roman"/>
          <w:b w:val="0"/>
          <w:sz w:val="23"/>
        </w:rPr>
        <w:t xml:space="preserve">Problematika brownfieldů je v českém kontextu </w:t>
      </w:r>
      <w:r w:rsidR="00847C01" w:rsidRPr="286B46F2">
        <w:rPr>
          <w:rFonts w:eastAsia="Times New Roman"/>
          <w:b w:val="0"/>
          <w:sz w:val="23"/>
        </w:rPr>
        <w:t>rozdělena</w:t>
      </w:r>
      <w:r w:rsidRPr="286B46F2">
        <w:rPr>
          <w:rFonts w:eastAsia="Times New Roman"/>
          <w:b w:val="0"/>
          <w:sz w:val="23"/>
        </w:rPr>
        <w:t xml:space="preserve"> do gesce několika rezortů (MPO, MŽP, MMR, MZe)</w:t>
      </w:r>
      <w:r w:rsidR="009F4A08" w:rsidRPr="286B46F2">
        <w:rPr>
          <w:rFonts w:eastAsia="Times New Roman"/>
          <w:b w:val="0"/>
          <w:sz w:val="23"/>
        </w:rPr>
        <w:t xml:space="preserve">, čemuž odpovídají i roztříštěnost nástrojů, které v současnosti regenerace brownfieldů umožňují. </w:t>
      </w:r>
      <w:r w:rsidR="00847C01" w:rsidRPr="286B46F2">
        <w:rPr>
          <w:rFonts w:eastAsia="Times New Roman"/>
          <w:b w:val="0"/>
          <w:sz w:val="23"/>
        </w:rPr>
        <w:t xml:space="preserve">Navrhovaná komponenta staví na kombinovaných investicích do regenerace brownfieldů realizovanými především územně samosprávnými celky, které realizovanými investicemi budou zajišťovat často nedostatečnou občanskou vybavenost, připravovat prostředí pro podnikatelskou činnost a obec či kraj tak budou pečovat všestranný rozvoj svého území a o potřeby svých občanů. Jednotlivé investice se vzájemně doplňují a budou tak vytvářet komplexní podporu pro přeměnu a znovuvyužití lokalit typu brownfield. </w:t>
      </w:r>
      <w:r w:rsidR="00003369" w:rsidRPr="286B46F2">
        <w:rPr>
          <w:rFonts w:eastAsia="Times New Roman"/>
          <w:b w:val="0"/>
          <w:sz w:val="23"/>
        </w:rPr>
        <w:t xml:space="preserve">Podpořena bude jak projektová příprava, tak samotné investice do lokalit, které jsou především ve vlastnictví územních samosprávných celků (podnikatelské, nepodnikatelské a kombinované využití </w:t>
      </w:r>
      <w:r w:rsidR="00003369" w:rsidRPr="286B46F2">
        <w:rPr>
          <w:rFonts w:eastAsia="Times New Roman"/>
          <w:b w:val="0"/>
          <w:sz w:val="23"/>
        </w:rPr>
        <w:lastRenderedPageBreak/>
        <w:t xml:space="preserve">lokalit). Komponenta bude rozdělena do gesce několika rezortů – především Ministerstva pro místní rozvoj a Ministerstva průmyslu a obchodu. </w:t>
      </w:r>
    </w:p>
    <w:p w14:paraId="67638348" w14:textId="77777777" w:rsidR="00886CC8" w:rsidRPr="00C66385" w:rsidRDefault="00886CC8" w:rsidP="000C0598">
      <w:pPr>
        <w:pStyle w:val="K-TextInfo"/>
      </w:pPr>
    </w:p>
    <w:p w14:paraId="182A7AA4" w14:textId="4435D6CA" w:rsidR="00C96099" w:rsidRDefault="003C04B2" w:rsidP="00C96099">
      <w:pPr>
        <w:pStyle w:val="K-Tabulka"/>
      </w:pPr>
      <w:r w:rsidRPr="003C04B2">
        <w:t>1. Příprava projektů regenerace brownfieldů</w:t>
      </w:r>
    </w:p>
    <w:tbl>
      <w:tblPr>
        <w:tblStyle w:val="Mkatabulky"/>
        <w:tblW w:w="0" w:type="auto"/>
        <w:tblLook w:val="04A0" w:firstRow="1" w:lastRow="0" w:firstColumn="1" w:lastColumn="0" w:noHBand="0" w:noVBand="1"/>
      </w:tblPr>
      <w:tblGrid>
        <w:gridCol w:w="2405"/>
        <w:gridCol w:w="7223"/>
      </w:tblGrid>
      <w:tr w:rsidR="00C96099" w14:paraId="1EE1EABD" w14:textId="77777777" w:rsidTr="286B46F2">
        <w:tc>
          <w:tcPr>
            <w:tcW w:w="2405" w:type="dxa"/>
          </w:tcPr>
          <w:p w14:paraId="30AFAAF7" w14:textId="77777777" w:rsidR="00C96099" w:rsidRPr="00852465" w:rsidRDefault="00C96099" w:rsidP="00F5715C">
            <w:pPr>
              <w:pStyle w:val="K-Text"/>
              <w:jc w:val="left"/>
            </w:pPr>
            <w:r w:rsidRPr="00852465">
              <w:t>Výzva</w:t>
            </w:r>
          </w:p>
        </w:tc>
        <w:tc>
          <w:tcPr>
            <w:tcW w:w="7223" w:type="dxa"/>
          </w:tcPr>
          <w:p w14:paraId="5E3E80D9" w14:textId="3D34076C" w:rsidR="00C96099" w:rsidRDefault="5FD97E83" w:rsidP="286B46F2">
            <w:pPr>
              <w:pStyle w:val="K-TextInfo"/>
              <w:rPr>
                <w:rFonts w:eastAsia="Times New Roman"/>
                <w:i w:val="0"/>
                <w:iCs w:val="0"/>
                <w:color w:val="auto"/>
              </w:rPr>
            </w:pPr>
            <w:r w:rsidRPr="286B46F2">
              <w:rPr>
                <w:rFonts w:eastAsia="Times New Roman"/>
                <w:i w:val="0"/>
                <w:iCs w:val="0"/>
                <w:color w:val="auto"/>
              </w:rPr>
              <w:t>Problémem</w:t>
            </w:r>
            <w:r w:rsidR="214EECAD" w:rsidRPr="286B46F2">
              <w:rPr>
                <w:rFonts w:eastAsia="Times New Roman"/>
                <w:i w:val="0"/>
                <w:iCs w:val="0"/>
                <w:color w:val="auto"/>
              </w:rPr>
              <w:t xml:space="preserve">, který často brání zpracování kvalitního projektu regenerace brownfieldu, je nedostatečná analýza současného stavu území, jeho limitů a potenciálu tak, aby mohl být navržen projekt, který </w:t>
            </w:r>
            <w:r w:rsidR="4B4ADE89" w:rsidRPr="286B46F2">
              <w:rPr>
                <w:rFonts w:eastAsia="Times New Roman"/>
                <w:i w:val="0"/>
                <w:iCs w:val="0"/>
                <w:color w:val="auto"/>
              </w:rPr>
              <w:t xml:space="preserve">respektuje dispozice a možnosti lokality, ale zároveň přináší moderní a udržitelná řešení. Právě přípravná fáze investic je často podceňovaná, což se následně odráží v kvalitě předkládaných projektů. </w:t>
            </w:r>
          </w:p>
        </w:tc>
      </w:tr>
      <w:tr w:rsidR="00C96099" w14:paraId="114F659C" w14:textId="77777777" w:rsidTr="286B46F2">
        <w:tc>
          <w:tcPr>
            <w:tcW w:w="2405" w:type="dxa"/>
          </w:tcPr>
          <w:p w14:paraId="5BF70955" w14:textId="77777777" w:rsidR="00C96099" w:rsidRPr="00852465" w:rsidRDefault="00C96099" w:rsidP="00F5715C">
            <w:pPr>
              <w:pStyle w:val="K-Text"/>
              <w:jc w:val="left"/>
            </w:pPr>
            <w:r>
              <w:t>Cíl</w:t>
            </w:r>
          </w:p>
        </w:tc>
        <w:tc>
          <w:tcPr>
            <w:tcW w:w="7223" w:type="dxa"/>
          </w:tcPr>
          <w:p w14:paraId="743B6949" w14:textId="58ED9093" w:rsidR="00377D88" w:rsidRPr="00377D88" w:rsidRDefault="46626C44" w:rsidP="286B46F2">
            <w:pPr>
              <w:pStyle w:val="K-TextInfo"/>
              <w:rPr>
                <w:rFonts w:eastAsia="Times New Roman"/>
                <w:i w:val="0"/>
                <w:iCs w:val="0"/>
                <w:color w:val="auto"/>
              </w:rPr>
            </w:pPr>
            <w:r w:rsidRPr="286B46F2">
              <w:rPr>
                <w:rFonts w:eastAsia="Times New Roman"/>
                <w:i w:val="0"/>
                <w:iCs w:val="0"/>
                <w:color w:val="auto"/>
              </w:rPr>
              <w:t xml:space="preserve">Cílem investice je </w:t>
            </w:r>
            <w:r w:rsidR="5210CE71" w:rsidRPr="286B46F2">
              <w:rPr>
                <w:rFonts w:eastAsia="Times New Roman"/>
                <w:i w:val="0"/>
                <w:iCs w:val="0"/>
                <w:color w:val="auto"/>
              </w:rPr>
              <w:t xml:space="preserve">zlepšit přípravu </w:t>
            </w:r>
            <w:r w:rsidR="26A43D81" w:rsidRPr="286B46F2">
              <w:rPr>
                <w:rFonts w:eastAsia="Times New Roman"/>
                <w:i w:val="0"/>
                <w:iCs w:val="0"/>
                <w:color w:val="auto"/>
              </w:rPr>
              <w:t>projektů podporou přípravné fáze regenerace specifických brownfieldů ve městech a obcích směřujících k jejich dalšímu efektivnímu využití. Investicí bude podpořeno zpracování studie/studií využitelnosti území a možností revitalizace objektů a pozemků (bez ohledu na způsob jejich předchozího využití) včetně navržení vhodných možností nového využití, a to i kombinací různých funkcí, vč. možných urbanistických řešení. Součástí studie využitelnosti bude i rámcové posouzení finanční a ekonomické návratnosti investice do znovuvyužití daných nemovitostí.</w:t>
            </w:r>
          </w:p>
          <w:p w14:paraId="2F2DF652" w14:textId="4F8FA3BD" w:rsidR="00C96099" w:rsidRDefault="26A43D81" w:rsidP="286B46F2">
            <w:pPr>
              <w:pStyle w:val="K-TextInfo"/>
              <w:rPr>
                <w:rFonts w:eastAsia="Times New Roman"/>
              </w:rPr>
            </w:pPr>
            <w:r w:rsidRPr="286B46F2">
              <w:rPr>
                <w:rFonts w:eastAsia="Times New Roman"/>
                <w:i w:val="0"/>
                <w:iCs w:val="0"/>
                <w:color w:val="auto"/>
              </w:rPr>
              <w:t>V rámci investice bude mezi lety 2021 a 2023 podpořeno 50 projektů regenerace brownfieldů.</w:t>
            </w:r>
            <w:r w:rsidRPr="286B46F2">
              <w:rPr>
                <w:rFonts w:eastAsia="Times New Roman"/>
              </w:rPr>
              <w:t xml:space="preserve">  </w:t>
            </w:r>
          </w:p>
        </w:tc>
      </w:tr>
      <w:tr w:rsidR="00C96099" w14:paraId="5C365FE9" w14:textId="77777777" w:rsidTr="286B46F2">
        <w:tc>
          <w:tcPr>
            <w:tcW w:w="2405" w:type="dxa"/>
          </w:tcPr>
          <w:p w14:paraId="2DF9BF88" w14:textId="77777777" w:rsidR="00C96099" w:rsidRPr="00852465" w:rsidRDefault="00C96099" w:rsidP="00F5715C">
            <w:pPr>
              <w:pStyle w:val="K-Text"/>
              <w:jc w:val="left"/>
            </w:pPr>
            <w:r w:rsidRPr="00852465">
              <w:t>Implementace</w:t>
            </w:r>
          </w:p>
        </w:tc>
        <w:tc>
          <w:tcPr>
            <w:tcW w:w="7223" w:type="dxa"/>
          </w:tcPr>
          <w:p w14:paraId="24255EC0" w14:textId="77777777" w:rsidR="00C96099" w:rsidRDefault="003C04B2" w:rsidP="286B46F2">
            <w:pPr>
              <w:pStyle w:val="K-TextInfo"/>
              <w:rPr>
                <w:rFonts w:eastAsia="Times New Roman"/>
                <w:i w:val="0"/>
                <w:iCs w:val="0"/>
                <w:color w:val="auto"/>
              </w:rPr>
            </w:pPr>
            <w:r w:rsidRPr="286B46F2">
              <w:rPr>
                <w:rFonts w:eastAsia="Times New Roman"/>
                <w:i w:val="0"/>
                <w:iCs w:val="0"/>
                <w:color w:val="auto"/>
              </w:rPr>
              <w:t>MMR</w:t>
            </w:r>
            <w:r w:rsidR="333D3380" w:rsidRPr="286B46F2">
              <w:rPr>
                <w:rFonts w:eastAsia="Times New Roman"/>
                <w:i w:val="0"/>
                <w:iCs w:val="0"/>
                <w:color w:val="auto"/>
              </w:rPr>
              <w:t xml:space="preserve"> </w:t>
            </w:r>
            <w:r w:rsidRPr="286B46F2">
              <w:rPr>
                <w:rFonts w:eastAsia="Times New Roman"/>
                <w:i w:val="0"/>
                <w:iCs w:val="0"/>
                <w:color w:val="auto"/>
              </w:rPr>
              <w:t>(dotační program)</w:t>
            </w:r>
          </w:p>
          <w:p w14:paraId="61357E2D" w14:textId="13BF6EA0" w:rsidR="00886CC8" w:rsidRPr="003C04B2" w:rsidRDefault="00886CC8" w:rsidP="286B46F2">
            <w:pPr>
              <w:pStyle w:val="K-TextInfo"/>
              <w:rPr>
                <w:rFonts w:eastAsia="Times New Roman"/>
                <w:i w:val="0"/>
                <w:iCs w:val="0"/>
                <w:color w:val="auto"/>
              </w:rPr>
            </w:pPr>
            <w:r w:rsidRPr="286B46F2">
              <w:rPr>
                <w:rFonts w:eastAsia="Times New Roman"/>
                <w:i w:val="0"/>
                <w:iCs w:val="0"/>
                <w:color w:val="auto"/>
              </w:rPr>
              <w:t>Vazba na komponentu 4.1 Podpora veřejného financování</w:t>
            </w:r>
          </w:p>
        </w:tc>
      </w:tr>
      <w:tr w:rsidR="00C96099" w14:paraId="4A3DC733" w14:textId="77777777" w:rsidTr="286B46F2">
        <w:trPr>
          <w:trHeight w:val="70"/>
        </w:trPr>
        <w:tc>
          <w:tcPr>
            <w:tcW w:w="2405" w:type="dxa"/>
          </w:tcPr>
          <w:p w14:paraId="2D0A4623" w14:textId="77777777" w:rsidR="00C96099" w:rsidRPr="00852465" w:rsidRDefault="00C96099" w:rsidP="00F5715C">
            <w:pPr>
              <w:pStyle w:val="K-Text"/>
              <w:jc w:val="left"/>
            </w:pPr>
            <w:r>
              <w:t>Spolupráce a z</w:t>
            </w:r>
            <w:r w:rsidRPr="00852465">
              <w:t>apojení zúčastněných stran</w:t>
            </w:r>
          </w:p>
        </w:tc>
        <w:tc>
          <w:tcPr>
            <w:tcW w:w="7223" w:type="dxa"/>
          </w:tcPr>
          <w:p w14:paraId="7E31740B" w14:textId="5656612E" w:rsidR="00C96099" w:rsidRDefault="00454614" w:rsidP="286B46F2">
            <w:pPr>
              <w:pStyle w:val="K-TextInfo"/>
              <w:rPr>
                <w:rFonts w:eastAsia="Times New Roman"/>
              </w:rPr>
            </w:pPr>
            <w:r w:rsidRPr="286B46F2">
              <w:rPr>
                <w:rFonts w:eastAsia="Times New Roman"/>
                <w:i w:val="0"/>
                <w:iCs w:val="0"/>
                <w:color w:val="auto"/>
              </w:rPr>
              <w:t xml:space="preserve">Zpracovatelé studií, místní komunita zapojená do definování nového využití lokality (podnikatelé, spolky, </w:t>
            </w:r>
            <w:proofErr w:type="gramStart"/>
            <w:r w:rsidRPr="286B46F2">
              <w:rPr>
                <w:rFonts w:eastAsia="Times New Roman"/>
                <w:i w:val="0"/>
                <w:iCs w:val="0"/>
                <w:color w:val="auto"/>
              </w:rPr>
              <w:t>občané,…</w:t>
            </w:r>
            <w:proofErr w:type="gramEnd"/>
            <w:r w:rsidRPr="286B46F2">
              <w:rPr>
                <w:rFonts w:eastAsia="Times New Roman"/>
                <w:i w:val="0"/>
                <w:iCs w:val="0"/>
                <w:color w:val="auto"/>
              </w:rPr>
              <w:t>)</w:t>
            </w:r>
            <w:r w:rsidR="333D3380" w:rsidRPr="286B46F2">
              <w:rPr>
                <w:rFonts w:eastAsia="Times New Roman"/>
              </w:rPr>
              <w:t xml:space="preserve"> </w:t>
            </w:r>
          </w:p>
        </w:tc>
      </w:tr>
      <w:tr w:rsidR="00C96099" w14:paraId="05BCE861" w14:textId="77777777" w:rsidTr="286B46F2">
        <w:tc>
          <w:tcPr>
            <w:tcW w:w="2405" w:type="dxa"/>
          </w:tcPr>
          <w:p w14:paraId="3F0FDD73" w14:textId="77777777" w:rsidR="00C96099" w:rsidRPr="00852465" w:rsidRDefault="00C96099" w:rsidP="00F5715C">
            <w:pPr>
              <w:pStyle w:val="K-Text"/>
              <w:jc w:val="left"/>
            </w:pPr>
            <w:r w:rsidRPr="00852465">
              <w:t>Překážky</w:t>
            </w:r>
            <w:r>
              <w:t xml:space="preserve"> a rizika</w:t>
            </w:r>
          </w:p>
        </w:tc>
        <w:tc>
          <w:tcPr>
            <w:tcW w:w="7223" w:type="dxa"/>
          </w:tcPr>
          <w:p w14:paraId="5EAF4A29" w14:textId="7A508F48" w:rsidR="00C96099" w:rsidRDefault="5E3DA4D1" w:rsidP="286B46F2">
            <w:pPr>
              <w:pStyle w:val="K-TextInfo"/>
              <w:rPr>
                <w:rFonts w:eastAsia="Times New Roman"/>
              </w:rPr>
            </w:pPr>
            <w:r w:rsidRPr="286B46F2">
              <w:rPr>
                <w:rFonts w:eastAsia="Times New Roman"/>
                <w:i w:val="0"/>
                <w:iCs w:val="0"/>
                <w:color w:val="auto"/>
              </w:rPr>
              <w:t>Obtížné hledání budoucího využití pro brownfieldy v neatraktivních lokalitách,</w:t>
            </w:r>
            <w:r w:rsidRPr="286B46F2">
              <w:rPr>
                <w:rFonts w:eastAsia="Times New Roman"/>
              </w:rPr>
              <w:t xml:space="preserve"> </w:t>
            </w:r>
          </w:p>
        </w:tc>
      </w:tr>
      <w:tr w:rsidR="00C96099" w14:paraId="5DCC73F4" w14:textId="77777777" w:rsidTr="286B46F2">
        <w:tc>
          <w:tcPr>
            <w:tcW w:w="2405" w:type="dxa"/>
          </w:tcPr>
          <w:p w14:paraId="3B2B90C7" w14:textId="77777777" w:rsidR="00C96099" w:rsidRPr="00852465" w:rsidRDefault="00C96099" w:rsidP="00F5715C">
            <w:pPr>
              <w:pStyle w:val="K-Text"/>
              <w:jc w:val="left"/>
            </w:pPr>
            <w:r w:rsidRPr="00852465">
              <w:t xml:space="preserve">Cílové skupiny populace a </w:t>
            </w:r>
            <w:r>
              <w:t>ekonomické</w:t>
            </w:r>
            <w:r w:rsidRPr="00852465">
              <w:t xml:space="preserve"> subjekty</w:t>
            </w:r>
          </w:p>
        </w:tc>
        <w:tc>
          <w:tcPr>
            <w:tcW w:w="7223" w:type="dxa"/>
          </w:tcPr>
          <w:p w14:paraId="115DFD56" w14:textId="03CACC81" w:rsidR="00C96099" w:rsidRDefault="64D12EAE" w:rsidP="286B46F2">
            <w:pPr>
              <w:pStyle w:val="K-TextInfo"/>
              <w:rPr>
                <w:rFonts w:eastAsia="Times New Roman"/>
                <w:i w:val="0"/>
                <w:iCs w:val="0"/>
                <w:color w:val="auto"/>
              </w:rPr>
            </w:pPr>
            <w:r w:rsidRPr="286B46F2">
              <w:rPr>
                <w:rFonts w:eastAsia="Times New Roman"/>
                <w:i w:val="0"/>
                <w:iCs w:val="0"/>
                <w:color w:val="auto"/>
              </w:rPr>
              <w:t>Územně samosprávné celky jako příjemci podpory</w:t>
            </w:r>
          </w:p>
        </w:tc>
      </w:tr>
      <w:tr w:rsidR="00C96099" w14:paraId="4DCE4A5C" w14:textId="77777777" w:rsidTr="286B46F2">
        <w:tc>
          <w:tcPr>
            <w:tcW w:w="2405" w:type="dxa"/>
          </w:tcPr>
          <w:p w14:paraId="07893BD3" w14:textId="77777777" w:rsidR="00C96099" w:rsidRPr="00852465" w:rsidRDefault="00C96099" w:rsidP="00F5715C">
            <w:pPr>
              <w:pStyle w:val="K-Text"/>
              <w:jc w:val="left"/>
            </w:pPr>
            <w:r>
              <w:t>Souhrnné náklady realizace financované z RRF za celé období</w:t>
            </w:r>
          </w:p>
        </w:tc>
        <w:tc>
          <w:tcPr>
            <w:tcW w:w="7223" w:type="dxa"/>
          </w:tcPr>
          <w:p w14:paraId="36C8BB82" w14:textId="5B570B08" w:rsidR="00C96099" w:rsidRPr="001B6D19" w:rsidRDefault="64D12EAE" w:rsidP="286B46F2">
            <w:pPr>
              <w:pStyle w:val="K-TextInfo"/>
              <w:rPr>
                <w:rFonts w:eastAsia="Times New Roman"/>
                <w:i w:val="0"/>
                <w:iCs w:val="0"/>
                <w:color w:val="auto"/>
              </w:rPr>
            </w:pPr>
            <w:r w:rsidRPr="286B46F2">
              <w:rPr>
                <w:rFonts w:eastAsia="Times New Roman"/>
                <w:i w:val="0"/>
                <w:iCs w:val="0"/>
                <w:color w:val="auto"/>
              </w:rPr>
              <w:t>100</w:t>
            </w:r>
            <w:r w:rsidR="48C5A869" w:rsidRPr="286B46F2">
              <w:rPr>
                <w:rFonts w:eastAsia="Times New Roman"/>
                <w:i w:val="0"/>
                <w:iCs w:val="0"/>
                <w:color w:val="auto"/>
              </w:rPr>
              <w:t> 000 000</w:t>
            </w:r>
            <w:r w:rsidRPr="286B46F2">
              <w:rPr>
                <w:rFonts w:eastAsia="Times New Roman"/>
                <w:i w:val="0"/>
                <w:iCs w:val="0"/>
                <w:color w:val="auto"/>
              </w:rPr>
              <w:t xml:space="preserve"> Kč</w:t>
            </w:r>
            <w:r w:rsidR="333D3380" w:rsidRPr="286B46F2">
              <w:rPr>
                <w:rFonts w:eastAsia="Times New Roman"/>
                <w:i w:val="0"/>
                <w:iCs w:val="0"/>
                <w:color w:val="auto"/>
              </w:rPr>
              <w:t xml:space="preserve"> </w:t>
            </w:r>
          </w:p>
        </w:tc>
      </w:tr>
      <w:tr w:rsidR="00C96099" w14:paraId="7B6F2909" w14:textId="77777777" w:rsidTr="286B46F2">
        <w:tc>
          <w:tcPr>
            <w:tcW w:w="2405" w:type="dxa"/>
          </w:tcPr>
          <w:p w14:paraId="7E0786FB" w14:textId="77777777" w:rsidR="00C96099" w:rsidRPr="00852465" w:rsidRDefault="00C96099" w:rsidP="00F5715C">
            <w:pPr>
              <w:pStyle w:val="K-Text"/>
              <w:jc w:val="left"/>
            </w:pPr>
            <w:r w:rsidRPr="00852465">
              <w:t>Dodržování pravidel státní podpory</w:t>
            </w:r>
          </w:p>
        </w:tc>
        <w:tc>
          <w:tcPr>
            <w:tcW w:w="7223" w:type="dxa"/>
          </w:tcPr>
          <w:p w14:paraId="01D24A0B" w14:textId="598564CF" w:rsidR="00C96099" w:rsidRPr="001B6D19" w:rsidRDefault="64D12EAE" w:rsidP="286B46F2">
            <w:pPr>
              <w:pStyle w:val="K-TextInfo"/>
              <w:rPr>
                <w:rFonts w:eastAsia="Times New Roman"/>
                <w:i w:val="0"/>
                <w:iCs w:val="0"/>
                <w:color w:val="auto"/>
              </w:rPr>
            </w:pPr>
            <w:r w:rsidRPr="286B46F2">
              <w:rPr>
                <w:rFonts w:eastAsia="Times New Roman"/>
                <w:i w:val="0"/>
                <w:iCs w:val="0"/>
                <w:color w:val="auto"/>
              </w:rPr>
              <w:t>Mimo rámec veřejné podpory</w:t>
            </w:r>
            <w:r w:rsidR="333D3380" w:rsidRPr="286B46F2">
              <w:rPr>
                <w:rFonts w:eastAsia="Times New Roman"/>
                <w:i w:val="0"/>
                <w:iCs w:val="0"/>
                <w:color w:val="auto"/>
              </w:rPr>
              <w:t xml:space="preserve"> </w:t>
            </w:r>
          </w:p>
        </w:tc>
      </w:tr>
      <w:tr w:rsidR="00C96099" w14:paraId="2EAB3354" w14:textId="77777777" w:rsidTr="286B46F2">
        <w:tc>
          <w:tcPr>
            <w:tcW w:w="2405" w:type="dxa"/>
          </w:tcPr>
          <w:p w14:paraId="72864271" w14:textId="77777777" w:rsidR="00C96099" w:rsidRPr="00852465" w:rsidRDefault="00C96099" w:rsidP="00F5715C">
            <w:pPr>
              <w:pStyle w:val="K-Text"/>
              <w:jc w:val="left"/>
            </w:pPr>
            <w:r>
              <w:t>Uveďte dobu implementace</w:t>
            </w:r>
          </w:p>
        </w:tc>
        <w:tc>
          <w:tcPr>
            <w:tcW w:w="7223" w:type="dxa"/>
          </w:tcPr>
          <w:p w14:paraId="23AFE9DB" w14:textId="15C5F39E" w:rsidR="00C96099" w:rsidRDefault="05368656" w:rsidP="286B46F2">
            <w:pPr>
              <w:pStyle w:val="K-Text"/>
              <w:spacing w:line="240" w:lineRule="auto"/>
              <w:jc w:val="left"/>
              <w:rPr>
                <w:rFonts w:eastAsia="Times New Roman"/>
              </w:rPr>
            </w:pPr>
            <w:r w:rsidRPr="286B46F2">
              <w:rPr>
                <w:rFonts w:eastAsia="Times New Roman"/>
              </w:rPr>
              <w:t>Všechny projekty budou zasmluvněny do konce roku 2023 a realizovány od roku 2021 do konce roku 2025.</w:t>
            </w:r>
          </w:p>
        </w:tc>
      </w:tr>
    </w:tbl>
    <w:p w14:paraId="4F06ED6B" w14:textId="77777777" w:rsidR="002E19BA" w:rsidRDefault="002E19BA" w:rsidP="006F1BEA">
      <w:pPr>
        <w:pStyle w:val="K-Text"/>
      </w:pPr>
    </w:p>
    <w:p w14:paraId="3EAACAD4" w14:textId="3097FB6E" w:rsidR="003C04B2" w:rsidRDefault="003C04B2" w:rsidP="003C04B2">
      <w:pPr>
        <w:pStyle w:val="K-Tabulka"/>
      </w:pPr>
      <w:r w:rsidRPr="003C04B2">
        <w:t>2. Investiční podpora regenerace brownfieldů s cílem zajištění vysoké úrovně energetické účinnosti a adaptace na klimatické změny</w:t>
      </w:r>
    </w:p>
    <w:tbl>
      <w:tblPr>
        <w:tblStyle w:val="Mkatabulky"/>
        <w:tblW w:w="0" w:type="auto"/>
        <w:tblLook w:val="04A0" w:firstRow="1" w:lastRow="0" w:firstColumn="1" w:lastColumn="0" w:noHBand="0" w:noVBand="1"/>
      </w:tblPr>
      <w:tblGrid>
        <w:gridCol w:w="2405"/>
        <w:gridCol w:w="7223"/>
      </w:tblGrid>
      <w:tr w:rsidR="003C04B2" w14:paraId="66F27F0C" w14:textId="77777777" w:rsidTr="286B46F2">
        <w:tc>
          <w:tcPr>
            <w:tcW w:w="2405" w:type="dxa"/>
          </w:tcPr>
          <w:p w14:paraId="39340F17" w14:textId="77777777" w:rsidR="003C04B2" w:rsidRPr="00852465" w:rsidRDefault="003C04B2" w:rsidP="286B46F2">
            <w:pPr>
              <w:pStyle w:val="K-Text"/>
              <w:jc w:val="left"/>
              <w:rPr>
                <w:rFonts w:eastAsia="Times New Roman"/>
              </w:rPr>
            </w:pPr>
            <w:r w:rsidRPr="286B46F2">
              <w:rPr>
                <w:rFonts w:eastAsia="Times New Roman"/>
              </w:rPr>
              <w:t>Výzva</w:t>
            </w:r>
          </w:p>
        </w:tc>
        <w:tc>
          <w:tcPr>
            <w:tcW w:w="7223" w:type="dxa"/>
          </w:tcPr>
          <w:p w14:paraId="1D33CAA9" w14:textId="014A1989" w:rsidR="003C04B2" w:rsidRDefault="00847C01" w:rsidP="286B46F2">
            <w:pPr>
              <w:pStyle w:val="K-Text"/>
              <w:spacing w:line="240" w:lineRule="auto"/>
              <w:rPr>
                <w:rFonts w:eastAsia="Times New Roman"/>
              </w:rPr>
            </w:pPr>
            <w:r w:rsidRPr="286B46F2">
              <w:rPr>
                <w:rFonts w:eastAsia="Times New Roman"/>
              </w:rPr>
              <w:t>Na území ČR se</w:t>
            </w:r>
            <w:r w:rsidR="32E2F676" w:rsidRPr="286B46F2">
              <w:rPr>
                <w:rFonts w:eastAsia="Times New Roman"/>
              </w:rPr>
              <w:t xml:space="preserve"> vyskytují rozsáhlé brownfieldy</w:t>
            </w:r>
            <w:r w:rsidRPr="286B46F2">
              <w:rPr>
                <w:rFonts w:eastAsia="Times New Roman"/>
              </w:rPr>
              <w:t xml:space="preserve"> s větším množstvím různorodých objektů a potenciálně kontaminovaných ploch, s velkým počtem vlastníků, které jsou využív</w:t>
            </w:r>
            <w:r w:rsidR="0E3C35EE" w:rsidRPr="286B46F2">
              <w:rPr>
                <w:rFonts w:eastAsia="Times New Roman"/>
              </w:rPr>
              <w:t>ány</w:t>
            </w:r>
            <w:r w:rsidRPr="286B46F2">
              <w:rPr>
                <w:rFonts w:eastAsia="Times New Roman"/>
              </w:rPr>
              <w:t xml:space="preserve"> zpravidla jen ve velmi malém rozsahu. </w:t>
            </w:r>
          </w:p>
        </w:tc>
      </w:tr>
      <w:tr w:rsidR="003C04B2" w14:paraId="6EE13BF9" w14:textId="77777777" w:rsidTr="286B46F2">
        <w:tc>
          <w:tcPr>
            <w:tcW w:w="2405" w:type="dxa"/>
          </w:tcPr>
          <w:p w14:paraId="0000DE68" w14:textId="77777777" w:rsidR="003C04B2" w:rsidRPr="00852465" w:rsidRDefault="003C04B2" w:rsidP="286B46F2">
            <w:pPr>
              <w:pStyle w:val="K-Text"/>
              <w:jc w:val="left"/>
              <w:rPr>
                <w:rFonts w:eastAsia="Times New Roman"/>
              </w:rPr>
            </w:pPr>
            <w:r w:rsidRPr="286B46F2">
              <w:rPr>
                <w:rFonts w:eastAsia="Times New Roman"/>
              </w:rPr>
              <w:lastRenderedPageBreak/>
              <w:t>Cíl</w:t>
            </w:r>
          </w:p>
        </w:tc>
        <w:tc>
          <w:tcPr>
            <w:tcW w:w="7223" w:type="dxa"/>
          </w:tcPr>
          <w:p w14:paraId="6DE7E009" w14:textId="104AD00B" w:rsidR="00AE605C" w:rsidRPr="00DF095F" w:rsidRDefault="0E3C35EE" w:rsidP="286B46F2">
            <w:pPr>
              <w:pStyle w:val="K-Text"/>
              <w:spacing w:line="240" w:lineRule="auto"/>
              <w:rPr>
                <w:rFonts w:eastAsia="Times New Roman"/>
              </w:rPr>
            </w:pPr>
            <w:r w:rsidRPr="286B46F2">
              <w:rPr>
                <w:rFonts w:eastAsia="Times New Roman"/>
              </w:rPr>
              <w:t>Cílem investice je podpořit projekty</w:t>
            </w:r>
            <w:r w:rsidR="5827CF4F" w:rsidRPr="286B46F2">
              <w:rPr>
                <w:rFonts w:eastAsia="Times New Roman"/>
              </w:rPr>
              <w:t xml:space="preserve"> regenerace brownfieldů, které budou zaměřeny na </w:t>
            </w:r>
            <w:r w:rsidRPr="286B46F2">
              <w:rPr>
                <w:rFonts w:eastAsia="Times New Roman"/>
              </w:rPr>
              <w:t xml:space="preserve">odstranění bariér a přípravě ploch pro další </w:t>
            </w:r>
            <w:r w:rsidR="5827CF4F" w:rsidRPr="286B46F2">
              <w:rPr>
                <w:rFonts w:eastAsia="Times New Roman"/>
              </w:rPr>
              <w:t xml:space="preserve">multifunkční </w:t>
            </w:r>
            <w:r w:rsidRPr="286B46F2">
              <w:rPr>
                <w:rFonts w:eastAsia="Times New Roman"/>
              </w:rPr>
              <w:t xml:space="preserve">využití (včetně </w:t>
            </w:r>
            <w:proofErr w:type="gramStart"/>
            <w:r w:rsidRPr="286B46F2">
              <w:rPr>
                <w:rFonts w:eastAsia="Times New Roman"/>
              </w:rPr>
              <w:t>obnovy  a</w:t>
            </w:r>
            <w:proofErr w:type="gramEnd"/>
            <w:r w:rsidRPr="286B46F2">
              <w:rPr>
                <w:rFonts w:eastAsia="Times New Roman"/>
              </w:rPr>
              <w:t xml:space="preserve"> vybudování infrastruktury, demolice budov atd.)</w:t>
            </w:r>
            <w:r w:rsidR="5827CF4F" w:rsidRPr="286B46F2">
              <w:rPr>
                <w:rFonts w:eastAsia="Times New Roman"/>
              </w:rPr>
              <w:t xml:space="preserve">. Podpora bude poskytovaná na realizace opatření sloužících pro energeticky úsporná a energeticky účinná řešení, využití nebo aplikace prvků zelené infrastruktury sídel a krajiny a realizaci digitální agendy. </w:t>
            </w:r>
          </w:p>
          <w:p w14:paraId="3C60F69A" w14:textId="576D3C51" w:rsidR="003C04B2" w:rsidRDefault="5827CF4F" w:rsidP="286B46F2">
            <w:pPr>
              <w:pStyle w:val="K-Text"/>
              <w:spacing w:line="240" w:lineRule="auto"/>
              <w:rPr>
                <w:rFonts w:eastAsia="Times New Roman"/>
              </w:rPr>
            </w:pPr>
            <w:r w:rsidRPr="286B46F2">
              <w:rPr>
                <w:rFonts w:eastAsia="Times New Roman"/>
              </w:rPr>
              <w:t xml:space="preserve">V rámci investice bude mezi lety 2021 a 2023 podpořeno 60 projektů regenerace brownfieldů.  </w:t>
            </w:r>
          </w:p>
        </w:tc>
      </w:tr>
      <w:tr w:rsidR="003C04B2" w14:paraId="712C9F7E" w14:textId="77777777" w:rsidTr="286B46F2">
        <w:tc>
          <w:tcPr>
            <w:tcW w:w="2405" w:type="dxa"/>
          </w:tcPr>
          <w:p w14:paraId="51C6B8C4" w14:textId="77777777" w:rsidR="003C04B2" w:rsidRPr="00852465" w:rsidRDefault="003C04B2" w:rsidP="286B46F2">
            <w:pPr>
              <w:pStyle w:val="K-Text"/>
              <w:jc w:val="left"/>
              <w:rPr>
                <w:rFonts w:eastAsia="Times New Roman"/>
              </w:rPr>
            </w:pPr>
            <w:r w:rsidRPr="286B46F2">
              <w:rPr>
                <w:rFonts w:eastAsia="Times New Roman"/>
              </w:rPr>
              <w:t>Implementace</w:t>
            </w:r>
          </w:p>
        </w:tc>
        <w:tc>
          <w:tcPr>
            <w:tcW w:w="7223" w:type="dxa"/>
          </w:tcPr>
          <w:p w14:paraId="4FAB140A" w14:textId="7AE7C5E0" w:rsidR="003C04B2" w:rsidRPr="003C04B2" w:rsidRDefault="003C04B2" w:rsidP="286B46F2">
            <w:pPr>
              <w:pStyle w:val="K-TextInfo"/>
              <w:rPr>
                <w:rFonts w:eastAsia="Times New Roman"/>
                <w:i w:val="0"/>
                <w:iCs w:val="0"/>
              </w:rPr>
            </w:pPr>
            <w:r w:rsidRPr="286B46F2">
              <w:rPr>
                <w:rFonts w:eastAsia="Times New Roman"/>
                <w:i w:val="0"/>
                <w:iCs w:val="0"/>
                <w:color w:val="auto"/>
              </w:rPr>
              <w:t>MMR (dotační program)</w:t>
            </w:r>
          </w:p>
        </w:tc>
      </w:tr>
      <w:tr w:rsidR="003C04B2" w14:paraId="36DD2C4F" w14:textId="77777777" w:rsidTr="286B46F2">
        <w:trPr>
          <w:trHeight w:val="70"/>
        </w:trPr>
        <w:tc>
          <w:tcPr>
            <w:tcW w:w="2405" w:type="dxa"/>
          </w:tcPr>
          <w:p w14:paraId="57EF9923" w14:textId="77777777" w:rsidR="003C04B2" w:rsidRPr="00852465" w:rsidRDefault="003C04B2" w:rsidP="286B46F2">
            <w:pPr>
              <w:pStyle w:val="K-Text"/>
              <w:jc w:val="left"/>
              <w:rPr>
                <w:rFonts w:eastAsia="Times New Roman"/>
              </w:rPr>
            </w:pPr>
            <w:r w:rsidRPr="286B46F2">
              <w:rPr>
                <w:rFonts w:eastAsia="Times New Roman"/>
              </w:rPr>
              <w:t>Spolupráce a zapojení zúčastněných stran</w:t>
            </w:r>
          </w:p>
        </w:tc>
        <w:tc>
          <w:tcPr>
            <w:tcW w:w="7223" w:type="dxa"/>
          </w:tcPr>
          <w:p w14:paraId="1DD2B101" w14:textId="4C18C951" w:rsidR="003C04B2" w:rsidRDefault="48C5A869" w:rsidP="286B46F2">
            <w:pPr>
              <w:pStyle w:val="K-Text"/>
              <w:spacing w:line="240" w:lineRule="auto"/>
              <w:rPr>
                <w:rFonts w:eastAsia="Times New Roman"/>
              </w:rPr>
            </w:pPr>
            <w:r w:rsidRPr="286B46F2">
              <w:rPr>
                <w:rFonts w:eastAsia="Times New Roman"/>
              </w:rPr>
              <w:t>Stavební firmy a další přidružené firmy, které budou zakázky realizovat</w:t>
            </w:r>
          </w:p>
        </w:tc>
      </w:tr>
      <w:tr w:rsidR="003C04B2" w14:paraId="36CED49A" w14:textId="77777777" w:rsidTr="286B46F2">
        <w:tc>
          <w:tcPr>
            <w:tcW w:w="2405" w:type="dxa"/>
          </w:tcPr>
          <w:p w14:paraId="5DF9AE56" w14:textId="77777777" w:rsidR="003C04B2" w:rsidRPr="00236F35" w:rsidRDefault="003C04B2" w:rsidP="286B46F2">
            <w:pPr>
              <w:pStyle w:val="K-Text"/>
              <w:jc w:val="left"/>
              <w:rPr>
                <w:rFonts w:eastAsia="Times New Roman"/>
              </w:rPr>
            </w:pPr>
            <w:r w:rsidRPr="286B46F2">
              <w:rPr>
                <w:rFonts w:eastAsia="Times New Roman"/>
              </w:rPr>
              <w:t>Překážky a rizika</w:t>
            </w:r>
          </w:p>
        </w:tc>
        <w:tc>
          <w:tcPr>
            <w:tcW w:w="7223" w:type="dxa"/>
          </w:tcPr>
          <w:p w14:paraId="4EA1F8B3" w14:textId="3837BE0B" w:rsidR="003C04B2" w:rsidRPr="00236F35" w:rsidRDefault="00454614" w:rsidP="286B46F2">
            <w:pPr>
              <w:pStyle w:val="K-TextInfo"/>
              <w:rPr>
                <w:rFonts w:eastAsia="Times New Roman"/>
                <w:i w:val="0"/>
                <w:iCs w:val="0"/>
              </w:rPr>
            </w:pPr>
            <w:r w:rsidRPr="286B46F2">
              <w:rPr>
                <w:rFonts w:eastAsia="Times New Roman"/>
                <w:i w:val="0"/>
                <w:iCs w:val="0"/>
                <w:color w:val="auto"/>
              </w:rPr>
              <w:t>Nedostatečné investiční prostředky na straně obcí, složité administrativní procesy k získání stavebních povolení</w:t>
            </w:r>
            <w:r w:rsidR="48C5A869" w:rsidRPr="286B46F2">
              <w:rPr>
                <w:rFonts w:eastAsia="Times New Roman"/>
                <w:i w:val="0"/>
                <w:iCs w:val="0"/>
                <w:color w:val="auto"/>
              </w:rPr>
              <w:t>, vysoké náklady na průzkum lokality a případnou sanaci, chybějící zkušenosti s multifunkčními objekty</w:t>
            </w:r>
          </w:p>
        </w:tc>
      </w:tr>
      <w:tr w:rsidR="003C04B2" w14:paraId="51984E84" w14:textId="77777777" w:rsidTr="286B46F2">
        <w:tc>
          <w:tcPr>
            <w:tcW w:w="2405" w:type="dxa"/>
          </w:tcPr>
          <w:p w14:paraId="37BEEF2A" w14:textId="77777777" w:rsidR="003C04B2" w:rsidRPr="00852465" w:rsidRDefault="003C04B2" w:rsidP="286B46F2">
            <w:pPr>
              <w:pStyle w:val="K-Text"/>
              <w:jc w:val="left"/>
              <w:rPr>
                <w:rFonts w:eastAsia="Times New Roman"/>
              </w:rPr>
            </w:pPr>
            <w:r w:rsidRPr="286B46F2">
              <w:rPr>
                <w:rFonts w:eastAsia="Times New Roman"/>
              </w:rPr>
              <w:t>Cílové skupiny populace a ekonomické subjekty</w:t>
            </w:r>
          </w:p>
        </w:tc>
        <w:tc>
          <w:tcPr>
            <w:tcW w:w="7223" w:type="dxa"/>
          </w:tcPr>
          <w:p w14:paraId="32E9E238" w14:textId="583072EF" w:rsidR="003C04B2" w:rsidRDefault="26A43D81" w:rsidP="286B46F2">
            <w:pPr>
              <w:pStyle w:val="K-TextInfo"/>
              <w:rPr>
                <w:rFonts w:eastAsia="Times New Roman"/>
              </w:rPr>
            </w:pPr>
            <w:r w:rsidRPr="286B46F2">
              <w:rPr>
                <w:rFonts w:eastAsia="Times New Roman"/>
                <w:i w:val="0"/>
                <w:iCs w:val="0"/>
                <w:color w:val="auto"/>
              </w:rPr>
              <w:t>Územně samosprávné celky, malé a střední podniky, neziskové organizace</w:t>
            </w:r>
            <w:r w:rsidR="003C04B2" w:rsidRPr="286B46F2">
              <w:rPr>
                <w:rFonts w:eastAsia="Times New Roman"/>
              </w:rPr>
              <w:t xml:space="preserve"> </w:t>
            </w:r>
          </w:p>
        </w:tc>
      </w:tr>
      <w:tr w:rsidR="003C04B2" w14:paraId="2C54425D" w14:textId="77777777" w:rsidTr="286B46F2">
        <w:tc>
          <w:tcPr>
            <w:tcW w:w="2405" w:type="dxa"/>
          </w:tcPr>
          <w:p w14:paraId="5B09056E" w14:textId="77777777" w:rsidR="003C04B2" w:rsidRPr="00852465" w:rsidRDefault="003C04B2" w:rsidP="286B46F2">
            <w:pPr>
              <w:pStyle w:val="K-Text"/>
              <w:jc w:val="left"/>
              <w:rPr>
                <w:rFonts w:eastAsia="Times New Roman"/>
              </w:rPr>
            </w:pPr>
            <w:r w:rsidRPr="286B46F2">
              <w:rPr>
                <w:rFonts w:eastAsia="Times New Roman"/>
              </w:rPr>
              <w:t>Souhrnné náklady realizace financované z RRF za celé období</w:t>
            </w:r>
          </w:p>
        </w:tc>
        <w:tc>
          <w:tcPr>
            <w:tcW w:w="7223" w:type="dxa"/>
          </w:tcPr>
          <w:p w14:paraId="042220E2" w14:textId="6A3889B3" w:rsidR="003C04B2" w:rsidRPr="00DF095F" w:rsidRDefault="5827CF4F" w:rsidP="286B46F2">
            <w:pPr>
              <w:pStyle w:val="K-TextInfo"/>
              <w:rPr>
                <w:rFonts w:eastAsia="Times New Roman"/>
                <w:i w:val="0"/>
                <w:iCs w:val="0"/>
                <w:color w:val="auto"/>
              </w:rPr>
            </w:pPr>
            <w:r w:rsidRPr="286B46F2">
              <w:rPr>
                <w:rFonts w:eastAsia="Times New Roman"/>
                <w:i w:val="0"/>
                <w:iCs w:val="0"/>
                <w:color w:val="auto"/>
              </w:rPr>
              <w:t>1</w:t>
            </w:r>
            <w:r w:rsidR="48C5A869" w:rsidRPr="286B46F2">
              <w:rPr>
                <w:rFonts w:eastAsia="Times New Roman"/>
                <w:i w:val="0"/>
                <w:iCs w:val="0"/>
                <w:color w:val="auto"/>
              </w:rPr>
              <w:t> 100 000 000</w:t>
            </w:r>
            <w:r w:rsidRPr="286B46F2">
              <w:rPr>
                <w:rFonts w:eastAsia="Times New Roman"/>
                <w:i w:val="0"/>
                <w:iCs w:val="0"/>
                <w:color w:val="auto"/>
              </w:rPr>
              <w:t xml:space="preserve"> Kč</w:t>
            </w:r>
            <w:r w:rsidR="003C04B2" w:rsidRPr="286B46F2">
              <w:rPr>
                <w:rFonts w:eastAsia="Times New Roman"/>
                <w:i w:val="0"/>
                <w:iCs w:val="0"/>
                <w:color w:val="auto"/>
              </w:rPr>
              <w:t xml:space="preserve"> </w:t>
            </w:r>
          </w:p>
        </w:tc>
      </w:tr>
      <w:tr w:rsidR="003C04B2" w14:paraId="2A5000E9" w14:textId="77777777" w:rsidTr="286B46F2">
        <w:tc>
          <w:tcPr>
            <w:tcW w:w="2405" w:type="dxa"/>
          </w:tcPr>
          <w:p w14:paraId="3782AF78" w14:textId="77777777" w:rsidR="003C04B2" w:rsidRPr="00852465" w:rsidRDefault="003C04B2" w:rsidP="286B46F2">
            <w:pPr>
              <w:pStyle w:val="K-Text"/>
              <w:jc w:val="left"/>
              <w:rPr>
                <w:rFonts w:eastAsia="Times New Roman"/>
              </w:rPr>
            </w:pPr>
            <w:r w:rsidRPr="286B46F2">
              <w:rPr>
                <w:rFonts w:eastAsia="Times New Roman"/>
              </w:rPr>
              <w:t>Dodržování pravidel státní podpory</w:t>
            </w:r>
          </w:p>
        </w:tc>
        <w:tc>
          <w:tcPr>
            <w:tcW w:w="7223" w:type="dxa"/>
          </w:tcPr>
          <w:p w14:paraId="2B926596" w14:textId="54A53952" w:rsidR="003C04B2" w:rsidRDefault="5827CF4F" w:rsidP="286B46F2">
            <w:pPr>
              <w:pStyle w:val="K-Text"/>
              <w:jc w:val="left"/>
              <w:rPr>
                <w:rFonts w:eastAsia="Times New Roman"/>
              </w:rPr>
            </w:pPr>
            <w:r w:rsidRPr="286B46F2">
              <w:rPr>
                <w:rFonts w:eastAsia="Times New Roman"/>
              </w:rPr>
              <w:t>De minimis</w:t>
            </w:r>
            <w:r w:rsidR="003C04B2" w:rsidRPr="286B46F2">
              <w:rPr>
                <w:rFonts w:eastAsia="Times New Roman"/>
              </w:rPr>
              <w:t xml:space="preserve"> </w:t>
            </w:r>
          </w:p>
        </w:tc>
      </w:tr>
      <w:tr w:rsidR="003C04B2" w14:paraId="4C60424C" w14:textId="77777777" w:rsidTr="286B46F2">
        <w:tc>
          <w:tcPr>
            <w:tcW w:w="2405" w:type="dxa"/>
          </w:tcPr>
          <w:p w14:paraId="5A3FC72E" w14:textId="77777777" w:rsidR="003C04B2" w:rsidRPr="00852465" w:rsidRDefault="003C04B2" w:rsidP="286B46F2">
            <w:pPr>
              <w:pStyle w:val="K-Text"/>
              <w:jc w:val="left"/>
              <w:rPr>
                <w:rFonts w:eastAsia="Times New Roman"/>
              </w:rPr>
            </w:pPr>
            <w:r w:rsidRPr="286B46F2">
              <w:rPr>
                <w:rFonts w:eastAsia="Times New Roman"/>
              </w:rPr>
              <w:t>Uveďte dobu implementace</w:t>
            </w:r>
          </w:p>
        </w:tc>
        <w:tc>
          <w:tcPr>
            <w:tcW w:w="7223" w:type="dxa"/>
          </w:tcPr>
          <w:p w14:paraId="5BC91610" w14:textId="0923E173" w:rsidR="00365135" w:rsidRPr="00365135" w:rsidRDefault="05368656" w:rsidP="286B46F2">
            <w:pPr>
              <w:pStyle w:val="K-TextInfo"/>
              <w:rPr>
                <w:rFonts w:eastAsia="Times New Roman"/>
                <w:i w:val="0"/>
                <w:iCs w:val="0"/>
                <w:color w:val="auto"/>
              </w:rPr>
            </w:pPr>
            <w:r w:rsidRPr="286B46F2">
              <w:rPr>
                <w:rFonts w:eastAsia="Times New Roman"/>
                <w:i w:val="0"/>
                <w:iCs w:val="0"/>
                <w:color w:val="auto"/>
              </w:rPr>
              <w:t>Všechny projekty budou zasmluvněny do konce roku 2023 a realizovány od roku 2021 do konce roku 2026.</w:t>
            </w:r>
          </w:p>
        </w:tc>
      </w:tr>
    </w:tbl>
    <w:p w14:paraId="2E594E77" w14:textId="77777777" w:rsidR="003C04B2" w:rsidRDefault="003C04B2" w:rsidP="003C04B2">
      <w:pPr>
        <w:pStyle w:val="K-Tabulka"/>
      </w:pPr>
    </w:p>
    <w:p w14:paraId="7559546E" w14:textId="2E16737D" w:rsidR="003C04B2" w:rsidRDefault="003C04B2" w:rsidP="003C04B2">
      <w:pPr>
        <w:pStyle w:val="K-Tabulka"/>
      </w:pPr>
      <w:r w:rsidRPr="003C04B2">
        <w:t xml:space="preserve">3. Investiční podpora regenerace brownfieldů ve vlastnictví obcí a krajů pro nepodnikatelské využití  </w:t>
      </w:r>
    </w:p>
    <w:tbl>
      <w:tblPr>
        <w:tblStyle w:val="Mkatabulky"/>
        <w:tblW w:w="0" w:type="auto"/>
        <w:tblLook w:val="04A0" w:firstRow="1" w:lastRow="0" w:firstColumn="1" w:lastColumn="0" w:noHBand="0" w:noVBand="1"/>
      </w:tblPr>
      <w:tblGrid>
        <w:gridCol w:w="2405"/>
        <w:gridCol w:w="7223"/>
      </w:tblGrid>
      <w:tr w:rsidR="003C04B2" w14:paraId="3E1D2714" w14:textId="77777777" w:rsidTr="286B46F2">
        <w:tc>
          <w:tcPr>
            <w:tcW w:w="2405" w:type="dxa"/>
          </w:tcPr>
          <w:p w14:paraId="7F08FDE9" w14:textId="77777777" w:rsidR="003C04B2" w:rsidRPr="00852465" w:rsidRDefault="003C04B2" w:rsidP="286B46F2">
            <w:pPr>
              <w:pStyle w:val="K-Text"/>
              <w:jc w:val="left"/>
            </w:pPr>
            <w:r w:rsidRPr="286B46F2">
              <w:t>Výzva</w:t>
            </w:r>
          </w:p>
        </w:tc>
        <w:tc>
          <w:tcPr>
            <w:tcW w:w="7223" w:type="dxa"/>
          </w:tcPr>
          <w:p w14:paraId="1701E0E3" w14:textId="357D35A3" w:rsidR="003C04B2" w:rsidRDefault="0358CBF1" w:rsidP="286B46F2">
            <w:pPr>
              <w:pStyle w:val="Normlnweb"/>
              <w:jc w:val="both"/>
              <w:rPr>
                <w:sz w:val="23"/>
                <w:szCs w:val="23"/>
              </w:rPr>
            </w:pPr>
            <w:r w:rsidRPr="286B46F2">
              <w:rPr>
                <w:sz w:val="23"/>
                <w:szCs w:val="23"/>
              </w:rPr>
              <w:t xml:space="preserve">Na území obcí se nachází velký počet objektů typu brownfield, které jsou dlouhodobě nevyužívané a chátrají. Obce a kraje jako vlastníci těchto budov většinou nemají dostatek </w:t>
            </w:r>
            <w:r w:rsidR="536D4DDB" w:rsidRPr="286B46F2">
              <w:rPr>
                <w:sz w:val="23"/>
                <w:szCs w:val="23"/>
              </w:rPr>
              <w:t xml:space="preserve">finančních </w:t>
            </w:r>
            <w:r w:rsidRPr="286B46F2">
              <w:rPr>
                <w:sz w:val="23"/>
                <w:szCs w:val="23"/>
              </w:rPr>
              <w:t xml:space="preserve">prostředků pro to, aby území regenerovala. V určitých typech území ani neexistuje potenciál brownfieldy regenerovat tržně. Pokud získají obce a kraje impuls v podobě finanční podpory, mohou regeneraci brownfieldu vyřešit problém nedostatečné občanské vybavenosti, zvýšit nabídku nemovitostí pro rozvoj podnikání ad. </w:t>
            </w:r>
          </w:p>
        </w:tc>
      </w:tr>
      <w:tr w:rsidR="003C04B2" w14:paraId="694D4457" w14:textId="77777777" w:rsidTr="286B46F2">
        <w:tc>
          <w:tcPr>
            <w:tcW w:w="2405" w:type="dxa"/>
          </w:tcPr>
          <w:p w14:paraId="7F70F018" w14:textId="77777777" w:rsidR="003C04B2" w:rsidRPr="00852465" w:rsidRDefault="003C04B2" w:rsidP="286B46F2">
            <w:pPr>
              <w:pStyle w:val="K-Text"/>
              <w:jc w:val="left"/>
            </w:pPr>
            <w:r w:rsidRPr="286B46F2">
              <w:t>Cíl</w:t>
            </w:r>
          </w:p>
        </w:tc>
        <w:tc>
          <w:tcPr>
            <w:tcW w:w="7223" w:type="dxa"/>
          </w:tcPr>
          <w:p w14:paraId="2E5147A1" w14:textId="7637D090" w:rsidR="006C28D8" w:rsidRPr="006C28D8" w:rsidRDefault="0358CBF1" w:rsidP="286B46F2">
            <w:pPr>
              <w:pStyle w:val="K-TextInfo"/>
              <w:rPr>
                <w:rFonts w:eastAsia="Times New Roman"/>
                <w:i w:val="0"/>
                <w:iCs w:val="0"/>
                <w:color w:val="auto"/>
              </w:rPr>
            </w:pPr>
            <w:r w:rsidRPr="286B46F2">
              <w:rPr>
                <w:rFonts w:eastAsia="Times New Roman"/>
                <w:i w:val="0"/>
                <w:iCs w:val="0"/>
                <w:color w:val="auto"/>
              </w:rPr>
              <w:t xml:space="preserve">Cílem je přispět k regeneraci brownfieldů, které jsou ve vlastnictví územních samosprávných celků tak, aby díky ní území mohla sloužit pro potřeby občanské vybavenosti. V návaznosti na podporu </w:t>
            </w:r>
            <w:proofErr w:type="gramStart"/>
            <w:r w:rsidRPr="286B46F2">
              <w:rPr>
                <w:rFonts w:eastAsia="Times New Roman"/>
                <w:i w:val="0"/>
                <w:iCs w:val="0"/>
                <w:color w:val="auto"/>
              </w:rPr>
              <w:t>budování  a</w:t>
            </w:r>
            <w:proofErr w:type="gramEnd"/>
            <w:r w:rsidRPr="286B46F2">
              <w:rPr>
                <w:rFonts w:eastAsia="Times New Roman"/>
                <w:i w:val="0"/>
                <w:iCs w:val="0"/>
                <w:color w:val="auto"/>
              </w:rPr>
              <w:t xml:space="preserve"> obnovy modro-zelené infrastruktury a veřejných prostor je cílem zajistit kompaktní zástavbu k dalším potřebám rozvoje území v souvislosti se změnou klimatu.</w:t>
            </w:r>
          </w:p>
          <w:p w14:paraId="2AB7D403" w14:textId="5C227174" w:rsidR="003C04B2" w:rsidRDefault="0358CBF1" w:rsidP="286B46F2">
            <w:pPr>
              <w:pStyle w:val="K-TextInfo"/>
              <w:rPr>
                <w:rFonts w:eastAsia="Times New Roman"/>
              </w:rPr>
            </w:pPr>
            <w:r w:rsidRPr="286B46F2">
              <w:rPr>
                <w:rFonts w:eastAsia="Times New Roman"/>
                <w:i w:val="0"/>
                <w:iCs w:val="0"/>
                <w:color w:val="auto"/>
              </w:rPr>
              <w:t>V rámci investice bude mezi lety 2021 a 2023 podpořeno 100 projektů regenerace brownfieldů pro nepodnikatelské využití.</w:t>
            </w:r>
            <w:r w:rsidRPr="286B46F2">
              <w:rPr>
                <w:rFonts w:eastAsia="Times New Roman"/>
              </w:rPr>
              <w:t xml:space="preserve"> </w:t>
            </w:r>
            <w:r w:rsidR="003C04B2" w:rsidRPr="286B46F2">
              <w:rPr>
                <w:rFonts w:eastAsia="Times New Roman"/>
              </w:rPr>
              <w:t xml:space="preserve"> </w:t>
            </w:r>
          </w:p>
        </w:tc>
      </w:tr>
      <w:tr w:rsidR="003C04B2" w14:paraId="7DFF1E2E" w14:textId="77777777" w:rsidTr="286B46F2">
        <w:tc>
          <w:tcPr>
            <w:tcW w:w="2405" w:type="dxa"/>
          </w:tcPr>
          <w:p w14:paraId="5443A1DC" w14:textId="77777777" w:rsidR="003C04B2" w:rsidRPr="00852465" w:rsidRDefault="003C04B2" w:rsidP="286B46F2">
            <w:pPr>
              <w:pStyle w:val="K-Text"/>
              <w:jc w:val="left"/>
            </w:pPr>
            <w:r w:rsidRPr="286B46F2">
              <w:t>Implementace</w:t>
            </w:r>
          </w:p>
        </w:tc>
        <w:tc>
          <w:tcPr>
            <w:tcW w:w="7223" w:type="dxa"/>
          </w:tcPr>
          <w:p w14:paraId="41A5501C" w14:textId="72DED518" w:rsidR="003C04B2" w:rsidRDefault="003C04B2" w:rsidP="286B46F2">
            <w:pPr>
              <w:pStyle w:val="K-TextInfo"/>
              <w:rPr>
                <w:rFonts w:eastAsia="Times New Roman"/>
                <w:i w:val="0"/>
                <w:iCs w:val="0"/>
                <w:color w:val="auto"/>
              </w:rPr>
            </w:pPr>
            <w:r w:rsidRPr="286B46F2">
              <w:rPr>
                <w:rFonts w:eastAsia="Times New Roman"/>
                <w:i w:val="0"/>
                <w:iCs w:val="0"/>
                <w:color w:val="auto"/>
              </w:rPr>
              <w:t>MMR/SFPI (dotačn</w:t>
            </w:r>
            <w:r w:rsidR="502582C5" w:rsidRPr="286B46F2">
              <w:rPr>
                <w:rFonts w:eastAsia="Times New Roman"/>
                <w:i w:val="0"/>
                <w:iCs w:val="0"/>
                <w:color w:val="auto"/>
              </w:rPr>
              <w:t>ě-úvěrový nástroj</w:t>
            </w:r>
            <w:r w:rsidRPr="286B46F2">
              <w:rPr>
                <w:rFonts w:eastAsia="Times New Roman"/>
                <w:i w:val="0"/>
                <w:iCs w:val="0"/>
                <w:color w:val="auto"/>
              </w:rPr>
              <w:t>)</w:t>
            </w:r>
          </w:p>
        </w:tc>
      </w:tr>
      <w:tr w:rsidR="003C04B2" w14:paraId="342C1569" w14:textId="77777777" w:rsidTr="286B46F2">
        <w:trPr>
          <w:trHeight w:val="70"/>
        </w:trPr>
        <w:tc>
          <w:tcPr>
            <w:tcW w:w="2405" w:type="dxa"/>
          </w:tcPr>
          <w:p w14:paraId="3F35CD03" w14:textId="77777777" w:rsidR="003C04B2" w:rsidRPr="00852465" w:rsidRDefault="003C04B2" w:rsidP="286B46F2">
            <w:pPr>
              <w:pStyle w:val="K-Text"/>
              <w:jc w:val="left"/>
            </w:pPr>
            <w:r w:rsidRPr="286B46F2">
              <w:t>Spolupráce a zapojení zúčastněných stran</w:t>
            </w:r>
          </w:p>
        </w:tc>
        <w:tc>
          <w:tcPr>
            <w:tcW w:w="7223" w:type="dxa"/>
          </w:tcPr>
          <w:p w14:paraId="0E06C123" w14:textId="72C4EAF5" w:rsidR="003C04B2" w:rsidRPr="003C04B2" w:rsidRDefault="003C04B2" w:rsidP="286B46F2">
            <w:pPr>
              <w:pStyle w:val="K-TextInfo"/>
              <w:rPr>
                <w:rFonts w:eastAsia="Times New Roman"/>
                <w:i w:val="0"/>
                <w:iCs w:val="0"/>
              </w:rPr>
            </w:pPr>
            <w:r w:rsidRPr="286B46F2">
              <w:rPr>
                <w:rFonts w:eastAsia="Times New Roman"/>
                <w:i w:val="0"/>
                <w:iCs w:val="0"/>
                <w:color w:val="auto"/>
              </w:rPr>
              <w:t xml:space="preserve">Územně samosprávné celky jako příjemci podpory </w:t>
            </w:r>
          </w:p>
        </w:tc>
      </w:tr>
      <w:tr w:rsidR="003C04B2" w14:paraId="2A08D063" w14:textId="77777777" w:rsidTr="286B46F2">
        <w:tc>
          <w:tcPr>
            <w:tcW w:w="2405" w:type="dxa"/>
          </w:tcPr>
          <w:p w14:paraId="1A3E31BE" w14:textId="77777777" w:rsidR="003C04B2" w:rsidRPr="00852465" w:rsidRDefault="003C04B2" w:rsidP="286B46F2">
            <w:pPr>
              <w:pStyle w:val="K-Text"/>
              <w:jc w:val="left"/>
            </w:pPr>
            <w:r w:rsidRPr="286B46F2">
              <w:lastRenderedPageBreak/>
              <w:t>Překážky a rizika</w:t>
            </w:r>
          </w:p>
        </w:tc>
        <w:tc>
          <w:tcPr>
            <w:tcW w:w="7223" w:type="dxa"/>
          </w:tcPr>
          <w:p w14:paraId="5F06FC45" w14:textId="12410CF5" w:rsidR="003C04B2" w:rsidRPr="00236F35" w:rsidRDefault="00454614" w:rsidP="286B46F2">
            <w:pPr>
              <w:pStyle w:val="K-TextInfo"/>
              <w:rPr>
                <w:rFonts w:eastAsia="Times New Roman"/>
                <w:i w:val="0"/>
                <w:iCs w:val="0"/>
                <w:color w:val="auto"/>
              </w:rPr>
            </w:pPr>
            <w:r w:rsidRPr="286B46F2">
              <w:rPr>
                <w:rFonts w:eastAsia="Times New Roman"/>
                <w:i w:val="0"/>
                <w:iCs w:val="0"/>
                <w:color w:val="auto"/>
              </w:rPr>
              <w:t>Nedostatečné investiční prostředky na straně obcí, složité administrativní procesy k získání stavebních povolení</w:t>
            </w:r>
          </w:p>
        </w:tc>
      </w:tr>
      <w:tr w:rsidR="003C04B2" w14:paraId="68A7A0D9" w14:textId="77777777" w:rsidTr="286B46F2">
        <w:tc>
          <w:tcPr>
            <w:tcW w:w="2405" w:type="dxa"/>
          </w:tcPr>
          <w:p w14:paraId="2F2F4054" w14:textId="77777777" w:rsidR="003C04B2" w:rsidRPr="00852465" w:rsidRDefault="003C04B2" w:rsidP="286B46F2">
            <w:pPr>
              <w:pStyle w:val="K-Text"/>
              <w:jc w:val="left"/>
            </w:pPr>
            <w:r w:rsidRPr="286B46F2">
              <w:t>Cílové skupiny populace a ekonomické subjekty</w:t>
            </w:r>
          </w:p>
        </w:tc>
        <w:tc>
          <w:tcPr>
            <w:tcW w:w="7223" w:type="dxa"/>
          </w:tcPr>
          <w:p w14:paraId="186B889D" w14:textId="77777777" w:rsidR="00236F35" w:rsidRPr="00236F35" w:rsidRDefault="48C5A869" w:rsidP="286B46F2">
            <w:pPr>
              <w:pStyle w:val="K-TextInfo"/>
              <w:rPr>
                <w:rFonts w:eastAsia="Times New Roman"/>
                <w:i w:val="0"/>
                <w:iCs w:val="0"/>
                <w:color w:val="auto"/>
              </w:rPr>
            </w:pPr>
            <w:r w:rsidRPr="286B46F2">
              <w:rPr>
                <w:rFonts w:eastAsia="Times New Roman"/>
                <w:i w:val="0"/>
                <w:iCs w:val="0"/>
                <w:color w:val="auto"/>
              </w:rPr>
              <w:t>Stavební firmy a další přidružené firmy, které budou zakázky realizovat</w:t>
            </w:r>
          </w:p>
          <w:p w14:paraId="42C3B29A" w14:textId="72BCD403" w:rsidR="003C04B2" w:rsidRPr="00236F35" w:rsidRDefault="48C5A869" w:rsidP="286B46F2">
            <w:pPr>
              <w:pStyle w:val="K-TextInfo"/>
              <w:rPr>
                <w:rFonts w:eastAsia="Times New Roman"/>
                <w:i w:val="0"/>
                <w:iCs w:val="0"/>
                <w:color w:val="auto"/>
              </w:rPr>
            </w:pPr>
            <w:r w:rsidRPr="286B46F2">
              <w:rPr>
                <w:rFonts w:eastAsia="Times New Roman"/>
                <w:i w:val="0"/>
                <w:iCs w:val="0"/>
                <w:color w:val="auto"/>
              </w:rPr>
              <w:t>Občané jako uživatelé zrekonstruované infrastruktury</w:t>
            </w:r>
          </w:p>
        </w:tc>
      </w:tr>
      <w:tr w:rsidR="003C04B2" w14:paraId="65C52310" w14:textId="77777777" w:rsidTr="286B46F2">
        <w:tc>
          <w:tcPr>
            <w:tcW w:w="2405" w:type="dxa"/>
          </w:tcPr>
          <w:p w14:paraId="01D29C0C" w14:textId="77777777" w:rsidR="003C04B2" w:rsidRPr="00852465" w:rsidRDefault="003C04B2" w:rsidP="286B46F2">
            <w:pPr>
              <w:pStyle w:val="K-Text"/>
              <w:jc w:val="left"/>
            </w:pPr>
            <w:r w:rsidRPr="286B46F2">
              <w:t>Souhrnné náklady realizace financované z RRF za celé období</w:t>
            </w:r>
          </w:p>
        </w:tc>
        <w:tc>
          <w:tcPr>
            <w:tcW w:w="7223" w:type="dxa"/>
          </w:tcPr>
          <w:p w14:paraId="07B92B77" w14:textId="684F3377" w:rsidR="003C04B2" w:rsidRPr="003C04B2" w:rsidRDefault="003C04B2" w:rsidP="286B46F2">
            <w:pPr>
              <w:pStyle w:val="K-TextInfo"/>
              <w:rPr>
                <w:rFonts w:eastAsia="Times New Roman"/>
                <w:i w:val="0"/>
                <w:iCs w:val="0"/>
              </w:rPr>
            </w:pPr>
            <w:r w:rsidRPr="286B46F2">
              <w:rPr>
                <w:rFonts w:eastAsia="Times New Roman"/>
                <w:i w:val="0"/>
                <w:iCs w:val="0"/>
                <w:color w:val="auto"/>
              </w:rPr>
              <w:t>1</w:t>
            </w:r>
            <w:r w:rsidR="48C5A869" w:rsidRPr="286B46F2">
              <w:rPr>
                <w:rFonts w:eastAsia="Times New Roman"/>
                <w:i w:val="0"/>
                <w:iCs w:val="0"/>
                <w:color w:val="auto"/>
              </w:rPr>
              <w:t> 800 000 000</w:t>
            </w:r>
            <w:r w:rsidRPr="286B46F2">
              <w:rPr>
                <w:rFonts w:eastAsia="Times New Roman"/>
                <w:i w:val="0"/>
                <w:iCs w:val="0"/>
                <w:color w:val="auto"/>
              </w:rPr>
              <w:t xml:space="preserve"> Kč </w:t>
            </w:r>
          </w:p>
        </w:tc>
      </w:tr>
      <w:tr w:rsidR="003C04B2" w14:paraId="746718CF" w14:textId="77777777" w:rsidTr="286B46F2">
        <w:tc>
          <w:tcPr>
            <w:tcW w:w="2405" w:type="dxa"/>
          </w:tcPr>
          <w:p w14:paraId="56DEFB70" w14:textId="77777777" w:rsidR="003C04B2" w:rsidRPr="00852465" w:rsidRDefault="003C04B2" w:rsidP="286B46F2">
            <w:pPr>
              <w:pStyle w:val="K-Text"/>
              <w:jc w:val="left"/>
            </w:pPr>
            <w:r w:rsidRPr="286B46F2">
              <w:t>Dodržování pravidel státní podpory</w:t>
            </w:r>
          </w:p>
        </w:tc>
        <w:tc>
          <w:tcPr>
            <w:tcW w:w="7223" w:type="dxa"/>
          </w:tcPr>
          <w:p w14:paraId="4360D20D" w14:textId="03CED11C" w:rsidR="003C04B2" w:rsidRDefault="003C04B2" w:rsidP="286B46F2">
            <w:pPr>
              <w:pStyle w:val="K-Text"/>
              <w:jc w:val="left"/>
              <w:rPr>
                <w:rFonts w:eastAsia="Times New Roman"/>
              </w:rPr>
            </w:pPr>
            <w:r w:rsidRPr="286B46F2">
              <w:rPr>
                <w:rFonts w:eastAsia="Times New Roman"/>
              </w:rPr>
              <w:t xml:space="preserve">Mimo rámec veřejné podpory </w:t>
            </w:r>
          </w:p>
        </w:tc>
      </w:tr>
      <w:tr w:rsidR="003C04B2" w14:paraId="6172927E" w14:textId="77777777" w:rsidTr="286B46F2">
        <w:tc>
          <w:tcPr>
            <w:tcW w:w="2405" w:type="dxa"/>
          </w:tcPr>
          <w:p w14:paraId="322FA01B" w14:textId="77777777" w:rsidR="003C04B2" w:rsidRPr="00852465" w:rsidRDefault="003C04B2" w:rsidP="286B46F2">
            <w:pPr>
              <w:pStyle w:val="K-Text"/>
              <w:jc w:val="left"/>
            </w:pPr>
            <w:r w:rsidRPr="286B46F2">
              <w:t>Uveďte dobu implementace</w:t>
            </w:r>
          </w:p>
        </w:tc>
        <w:tc>
          <w:tcPr>
            <w:tcW w:w="7223" w:type="dxa"/>
          </w:tcPr>
          <w:p w14:paraId="681DFCA7" w14:textId="5637C4CF" w:rsidR="003C04B2" w:rsidRDefault="05368656" w:rsidP="286B46F2">
            <w:pPr>
              <w:pStyle w:val="K-Text"/>
              <w:spacing w:line="240" w:lineRule="auto"/>
              <w:jc w:val="left"/>
              <w:rPr>
                <w:rFonts w:eastAsia="Times New Roman"/>
              </w:rPr>
            </w:pPr>
            <w:r w:rsidRPr="286B46F2">
              <w:rPr>
                <w:rFonts w:eastAsia="Times New Roman"/>
              </w:rPr>
              <w:t>Všechny projekty budou zasmluvněny do konce roku 2023 a realizovány od roku 2021 do konce roku 2026.</w:t>
            </w:r>
          </w:p>
        </w:tc>
      </w:tr>
    </w:tbl>
    <w:p w14:paraId="4FD54578" w14:textId="77777777" w:rsidR="003C04B2" w:rsidRDefault="003C04B2" w:rsidP="003C04B2">
      <w:pPr>
        <w:pStyle w:val="K-Tabulka"/>
      </w:pPr>
    </w:p>
    <w:p w14:paraId="37E4638B" w14:textId="23B9764D" w:rsidR="003C04B2" w:rsidRDefault="003C04B2" w:rsidP="003C04B2">
      <w:pPr>
        <w:pStyle w:val="K-Tabulka"/>
      </w:pPr>
      <w:r>
        <w:t>4</w:t>
      </w:r>
      <w:r w:rsidRPr="003C04B2">
        <w:t>. Investiční podpora regenerace brownfieldů ve</w:t>
      </w:r>
      <w:r>
        <w:t xml:space="preserve"> vlastnictví obcí a krajů pro </w:t>
      </w:r>
      <w:r w:rsidRPr="003C04B2">
        <w:t xml:space="preserve">podnikatelské využití  </w:t>
      </w:r>
    </w:p>
    <w:tbl>
      <w:tblPr>
        <w:tblStyle w:val="Mkatabulky"/>
        <w:tblW w:w="0" w:type="auto"/>
        <w:tblLook w:val="04A0" w:firstRow="1" w:lastRow="0" w:firstColumn="1" w:lastColumn="0" w:noHBand="0" w:noVBand="1"/>
      </w:tblPr>
      <w:tblGrid>
        <w:gridCol w:w="2405"/>
        <w:gridCol w:w="7223"/>
      </w:tblGrid>
      <w:tr w:rsidR="202C2362" w14:paraId="547BCA32" w14:textId="77777777" w:rsidTr="202C2362">
        <w:tc>
          <w:tcPr>
            <w:tcW w:w="2405" w:type="dxa"/>
          </w:tcPr>
          <w:p w14:paraId="44D80362" w14:textId="0D4A873B" w:rsidR="202C2362" w:rsidRDefault="202C2362" w:rsidP="202C2362">
            <w:pPr>
              <w:pStyle w:val="K-Text"/>
              <w:jc w:val="left"/>
            </w:pPr>
            <w:r>
              <w:t>Výzva</w:t>
            </w:r>
          </w:p>
        </w:tc>
        <w:tc>
          <w:tcPr>
            <w:tcW w:w="7223" w:type="dxa"/>
          </w:tcPr>
          <w:p w14:paraId="52108FBE" w14:textId="6DFB046E" w:rsidR="202C2362" w:rsidRPr="008E750B" w:rsidRDefault="202C2362" w:rsidP="202C2362">
            <w:pPr>
              <w:pStyle w:val="K-TextInfo"/>
              <w:rPr>
                <w:i w:val="0"/>
                <w:color w:val="auto"/>
              </w:rPr>
            </w:pPr>
            <w:r w:rsidRPr="008E750B">
              <w:rPr>
                <w:i w:val="0"/>
                <w:color w:val="auto"/>
              </w:rPr>
              <w:t>Regenerace a podnikatelské využití brownfieldů</w:t>
            </w:r>
          </w:p>
        </w:tc>
      </w:tr>
      <w:tr w:rsidR="202C2362" w14:paraId="099F52CA" w14:textId="77777777" w:rsidTr="202C2362">
        <w:tc>
          <w:tcPr>
            <w:tcW w:w="2405" w:type="dxa"/>
          </w:tcPr>
          <w:p w14:paraId="72CB4B12" w14:textId="10FDBFDD" w:rsidR="202C2362" w:rsidRDefault="202C2362" w:rsidP="202C2362">
            <w:pPr>
              <w:pStyle w:val="K-Text"/>
              <w:jc w:val="left"/>
            </w:pPr>
            <w:r>
              <w:t>Cíl</w:t>
            </w:r>
          </w:p>
        </w:tc>
        <w:tc>
          <w:tcPr>
            <w:tcW w:w="7223" w:type="dxa"/>
          </w:tcPr>
          <w:p w14:paraId="0994CAB9" w14:textId="4005D19B" w:rsidR="202C2362" w:rsidRPr="008E750B" w:rsidRDefault="202C2362" w:rsidP="008E750B">
            <w:pPr>
              <w:pStyle w:val="K-TextInfo"/>
              <w:rPr>
                <w:i w:val="0"/>
                <w:color w:val="auto"/>
              </w:rPr>
            </w:pPr>
            <w:r w:rsidRPr="008E750B">
              <w:rPr>
                <w:i w:val="0"/>
                <w:color w:val="auto"/>
              </w:rPr>
              <w:t>Revitalizace</w:t>
            </w:r>
            <w:r w:rsidR="008E750B">
              <w:rPr>
                <w:i w:val="0"/>
                <w:color w:val="auto"/>
              </w:rPr>
              <w:t xml:space="preserve"> zanedbaných lokalit brownfieldů</w:t>
            </w:r>
            <w:r w:rsidRPr="008E750B">
              <w:rPr>
                <w:i w:val="0"/>
                <w:color w:val="auto"/>
              </w:rPr>
              <w:t xml:space="preserve"> včetně odstraňování ekologických zátěží. V letech 2021 až 2026 bude</w:t>
            </w:r>
            <w:r w:rsidR="008E750B">
              <w:rPr>
                <w:i w:val="0"/>
                <w:color w:val="auto"/>
              </w:rPr>
              <w:t xml:space="preserve"> podpořeno 39 projektů revitaliza</w:t>
            </w:r>
            <w:r w:rsidRPr="008E750B">
              <w:rPr>
                <w:i w:val="0"/>
                <w:color w:val="auto"/>
              </w:rPr>
              <w:t>ce lokalit brownfieldů</w:t>
            </w:r>
          </w:p>
        </w:tc>
      </w:tr>
      <w:tr w:rsidR="202C2362" w14:paraId="692BCC3C" w14:textId="77777777" w:rsidTr="202C2362">
        <w:tc>
          <w:tcPr>
            <w:tcW w:w="2405" w:type="dxa"/>
          </w:tcPr>
          <w:p w14:paraId="57B9FF05" w14:textId="5393D2F8" w:rsidR="202C2362" w:rsidRDefault="202C2362" w:rsidP="202C2362">
            <w:pPr>
              <w:pStyle w:val="K-Text"/>
              <w:jc w:val="left"/>
            </w:pPr>
            <w:r>
              <w:t>Implementace</w:t>
            </w:r>
          </w:p>
        </w:tc>
        <w:tc>
          <w:tcPr>
            <w:tcW w:w="7223" w:type="dxa"/>
          </w:tcPr>
          <w:p w14:paraId="50BC45D9" w14:textId="49581E32" w:rsidR="202C2362" w:rsidRPr="008E750B" w:rsidRDefault="202C2362" w:rsidP="202C2362">
            <w:pPr>
              <w:pStyle w:val="K-TextInfo"/>
              <w:rPr>
                <w:i w:val="0"/>
                <w:color w:val="auto"/>
              </w:rPr>
            </w:pPr>
            <w:r w:rsidRPr="008E750B">
              <w:rPr>
                <w:i w:val="0"/>
                <w:color w:val="auto"/>
              </w:rPr>
              <w:t>Dotační program MPO</w:t>
            </w:r>
          </w:p>
        </w:tc>
      </w:tr>
      <w:tr w:rsidR="202C2362" w14:paraId="462E0F22" w14:textId="77777777" w:rsidTr="202C2362">
        <w:trPr>
          <w:trHeight w:val="70"/>
        </w:trPr>
        <w:tc>
          <w:tcPr>
            <w:tcW w:w="2405" w:type="dxa"/>
          </w:tcPr>
          <w:p w14:paraId="3D5FD734" w14:textId="32423FFF" w:rsidR="202C2362" w:rsidRDefault="202C2362" w:rsidP="202C2362">
            <w:pPr>
              <w:pStyle w:val="K-Text"/>
              <w:jc w:val="left"/>
            </w:pPr>
            <w:r>
              <w:t>Spolupráce a zapojení zúčastněných stran</w:t>
            </w:r>
          </w:p>
        </w:tc>
        <w:tc>
          <w:tcPr>
            <w:tcW w:w="7223" w:type="dxa"/>
          </w:tcPr>
          <w:p w14:paraId="5BE0B734" w14:textId="2AFE5AAA" w:rsidR="202C2362" w:rsidRPr="008E750B" w:rsidRDefault="202C2362" w:rsidP="202C2362">
            <w:pPr>
              <w:pStyle w:val="K-TextInfo"/>
              <w:rPr>
                <w:i w:val="0"/>
                <w:color w:val="auto"/>
              </w:rPr>
            </w:pPr>
            <w:r w:rsidRPr="008E750B">
              <w:rPr>
                <w:i w:val="0"/>
                <w:color w:val="auto"/>
              </w:rPr>
              <w:t>Obce, kraje</w:t>
            </w:r>
          </w:p>
        </w:tc>
      </w:tr>
      <w:tr w:rsidR="202C2362" w14:paraId="4DA57990" w14:textId="77777777" w:rsidTr="202C2362">
        <w:tc>
          <w:tcPr>
            <w:tcW w:w="2405" w:type="dxa"/>
          </w:tcPr>
          <w:p w14:paraId="4C3EE7E3" w14:textId="1A84B1CC" w:rsidR="202C2362" w:rsidRDefault="202C2362" w:rsidP="202C2362">
            <w:pPr>
              <w:pStyle w:val="K-Text"/>
              <w:jc w:val="left"/>
            </w:pPr>
            <w:r>
              <w:t>Překážky a rizika</w:t>
            </w:r>
          </w:p>
        </w:tc>
        <w:tc>
          <w:tcPr>
            <w:tcW w:w="7223" w:type="dxa"/>
          </w:tcPr>
          <w:p w14:paraId="19297181" w14:textId="4E37DD64" w:rsidR="202C2362" w:rsidRPr="008E750B" w:rsidRDefault="202C2362" w:rsidP="202C2362">
            <w:pPr>
              <w:pStyle w:val="K-TextInfo"/>
              <w:rPr>
                <w:i w:val="0"/>
                <w:color w:val="auto"/>
              </w:rPr>
            </w:pPr>
            <w:r w:rsidRPr="008E750B">
              <w:rPr>
                <w:i w:val="0"/>
                <w:color w:val="auto"/>
              </w:rPr>
              <w:t>Nedostatečné investiční prostředky na straně obcí, složité administrativní procesy k získání stavebních povolení</w:t>
            </w:r>
          </w:p>
        </w:tc>
      </w:tr>
      <w:tr w:rsidR="202C2362" w14:paraId="6A19C288" w14:textId="77777777" w:rsidTr="202C2362">
        <w:tc>
          <w:tcPr>
            <w:tcW w:w="2405" w:type="dxa"/>
          </w:tcPr>
          <w:p w14:paraId="1F9ACE4E" w14:textId="322A58E7" w:rsidR="202C2362" w:rsidRDefault="202C2362" w:rsidP="202C2362">
            <w:pPr>
              <w:pStyle w:val="K-Text"/>
              <w:jc w:val="left"/>
            </w:pPr>
            <w:r>
              <w:t>Cílové skupiny populace a ekonomické subjekty</w:t>
            </w:r>
          </w:p>
        </w:tc>
        <w:tc>
          <w:tcPr>
            <w:tcW w:w="7223" w:type="dxa"/>
          </w:tcPr>
          <w:p w14:paraId="57667508" w14:textId="6FE1CA7D" w:rsidR="202C2362" w:rsidRPr="008E750B" w:rsidRDefault="202C2362" w:rsidP="202C2362">
            <w:pPr>
              <w:pStyle w:val="K-TextInfo"/>
              <w:rPr>
                <w:i w:val="0"/>
                <w:color w:val="auto"/>
              </w:rPr>
            </w:pPr>
            <w:r w:rsidRPr="008E750B">
              <w:rPr>
                <w:i w:val="0"/>
                <w:iCs w:val="0"/>
                <w:color w:val="auto"/>
              </w:rPr>
              <w:t>Územně samosprávné celky jako příjemci podpory</w:t>
            </w:r>
            <w:r w:rsidRPr="008E750B">
              <w:rPr>
                <w:i w:val="0"/>
                <w:color w:val="auto"/>
              </w:rPr>
              <w:t>. Podnikatelské subjekty zejména malí a střední podnikatelé a místní firmy</w:t>
            </w:r>
          </w:p>
        </w:tc>
      </w:tr>
      <w:tr w:rsidR="202C2362" w14:paraId="352ED28B" w14:textId="77777777" w:rsidTr="202C2362">
        <w:tc>
          <w:tcPr>
            <w:tcW w:w="2405" w:type="dxa"/>
          </w:tcPr>
          <w:p w14:paraId="06B806D9" w14:textId="2F562376" w:rsidR="202C2362" w:rsidRDefault="202C2362" w:rsidP="202C2362">
            <w:pPr>
              <w:pStyle w:val="K-Text"/>
              <w:jc w:val="left"/>
            </w:pPr>
            <w:r>
              <w:t>Souhrnné náklady realizace financované z RRF za celé období</w:t>
            </w:r>
          </w:p>
        </w:tc>
        <w:tc>
          <w:tcPr>
            <w:tcW w:w="7223" w:type="dxa"/>
          </w:tcPr>
          <w:p w14:paraId="2DE6E180" w14:textId="2102E9AE" w:rsidR="202C2362" w:rsidRPr="008E750B" w:rsidRDefault="202C2362" w:rsidP="202C2362">
            <w:pPr>
              <w:pStyle w:val="K-TextInfo"/>
              <w:rPr>
                <w:i w:val="0"/>
                <w:color w:val="auto"/>
              </w:rPr>
            </w:pPr>
            <w:r w:rsidRPr="008E750B">
              <w:rPr>
                <w:i w:val="0"/>
                <w:color w:val="auto"/>
              </w:rPr>
              <w:t xml:space="preserve">1 000 000 000,- Kč. </w:t>
            </w:r>
          </w:p>
        </w:tc>
      </w:tr>
      <w:tr w:rsidR="202C2362" w14:paraId="0340E525" w14:textId="77777777" w:rsidTr="202C2362">
        <w:tc>
          <w:tcPr>
            <w:tcW w:w="2405" w:type="dxa"/>
          </w:tcPr>
          <w:p w14:paraId="700E5009" w14:textId="4B619239" w:rsidR="202C2362" w:rsidRDefault="202C2362" w:rsidP="202C2362">
            <w:pPr>
              <w:pStyle w:val="K-Text"/>
              <w:jc w:val="left"/>
            </w:pPr>
            <w:r>
              <w:t>Dodržování pravidel státní podpory</w:t>
            </w:r>
          </w:p>
        </w:tc>
        <w:tc>
          <w:tcPr>
            <w:tcW w:w="7223" w:type="dxa"/>
          </w:tcPr>
          <w:p w14:paraId="149AD320" w14:textId="2CB281CB" w:rsidR="202C2362" w:rsidRPr="008E750B" w:rsidRDefault="202C2362" w:rsidP="202C2362">
            <w:pPr>
              <w:pStyle w:val="K-TextInfo"/>
              <w:rPr>
                <w:i w:val="0"/>
                <w:color w:val="auto"/>
              </w:rPr>
            </w:pPr>
            <w:r w:rsidRPr="008E750B">
              <w:rPr>
                <w:i w:val="0"/>
                <w:color w:val="auto"/>
              </w:rPr>
              <w:t xml:space="preserve">GBER článek 56 </w:t>
            </w:r>
          </w:p>
        </w:tc>
      </w:tr>
      <w:tr w:rsidR="202C2362" w14:paraId="14C479C3" w14:textId="77777777" w:rsidTr="202C2362">
        <w:tc>
          <w:tcPr>
            <w:tcW w:w="2405" w:type="dxa"/>
          </w:tcPr>
          <w:p w14:paraId="3F986BF9" w14:textId="1DF85D5F" w:rsidR="202C2362" w:rsidRDefault="202C2362" w:rsidP="202C2362">
            <w:pPr>
              <w:pStyle w:val="K-Text"/>
              <w:jc w:val="left"/>
            </w:pPr>
            <w:r>
              <w:t>Uveďte dobu implementace</w:t>
            </w:r>
          </w:p>
        </w:tc>
        <w:tc>
          <w:tcPr>
            <w:tcW w:w="7223" w:type="dxa"/>
          </w:tcPr>
          <w:p w14:paraId="4DF892B1" w14:textId="461D687F" w:rsidR="202C2362" w:rsidRPr="008E750B" w:rsidRDefault="004C46E9" w:rsidP="004C46E9">
            <w:pPr>
              <w:pStyle w:val="K-TextInfo"/>
              <w:rPr>
                <w:i w:val="0"/>
                <w:color w:val="auto"/>
              </w:rPr>
            </w:pPr>
            <w:r w:rsidRPr="004C46E9">
              <w:rPr>
                <w:i w:val="0"/>
                <w:color w:val="auto"/>
              </w:rPr>
              <w:t xml:space="preserve">Všechny projekty budou zasmluvněny do konce roku 2023 a realizovány </w:t>
            </w:r>
            <w:r>
              <w:rPr>
                <w:i w:val="0"/>
                <w:color w:val="auto"/>
              </w:rPr>
              <w:t xml:space="preserve">od roku 2020 </w:t>
            </w:r>
            <w:r w:rsidRPr="004C46E9">
              <w:rPr>
                <w:i w:val="0"/>
                <w:color w:val="auto"/>
              </w:rPr>
              <w:t>do konce roku 2026.</w:t>
            </w:r>
          </w:p>
        </w:tc>
      </w:tr>
    </w:tbl>
    <w:p w14:paraId="57CF0167" w14:textId="46178B2E" w:rsidR="000C0598" w:rsidRPr="00ED337B" w:rsidRDefault="000C0598" w:rsidP="006F1BEA">
      <w:pPr>
        <w:pStyle w:val="K-Text"/>
      </w:pPr>
    </w:p>
    <w:p w14:paraId="3B75BCF6" w14:textId="77777777" w:rsidR="002C20CF" w:rsidRPr="00ED337B" w:rsidRDefault="002C20CF" w:rsidP="00154B73">
      <w:pPr>
        <w:pStyle w:val="K-Nadpis2"/>
      </w:pPr>
      <w:r w:rsidRPr="00ED337B">
        <w:t xml:space="preserve">4. </w:t>
      </w:r>
      <w:r w:rsidR="002D2B80" w:rsidRPr="00ED337B">
        <w:t>Zelené a digitální rozměry k</w:t>
      </w:r>
      <w:r w:rsidRPr="00ED337B">
        <w:t>omponent</w:t>
      </w:r>
      <w:r w:rsidR="002D2B80" w:rsidRPr="00ED337B">
        <w:t>y</w:t>
      </w:r>
      <w:r w:rsidRPr="00ED337B">
        <w:t xml:space="preserve"> </w:t>
      </w:r>
    </w:p>
    <w:p w14:paraId="2D421EC7" w14:textId="77777777" w:rsidR="00886CC8" w:rsidRPr="00886CC8" w:rsidRDefault="00886CC8" w:rsidP="00886CC8">
      <w:pPr>
        <w:pStyle w:val="00Body"/>
        <w:jc w:val="both"/>
        <w:rPr>
          <w:rFonts w:ascii="Times New Roman" w:hAnsi="Times New Roman"/>
          <w:sz w:val="23"/>
          <w:szCs w:val="23"/>
        </w:rPr>
      </w:pPr>
      <w:r w:rsidRPr="00886CC8">
        <w:rPr>
          <w:rFonts w:ascii="Times New Roman" w:hAnsi="Times New Roman"/>
          <w:sz w:val="23"/>
          <w:szCs w:val="23"/>
        </w:rPr>
        <w:t>Regenerace brownfieldů a jejich rozvoj v mnoha ohledech přispěje k naplňování Zelené agendy a digitalizace. Podpořeny budou takové projekty regenerace a investiční záměry, které v zásadní míře zahrnou realizaci opatření, které povedou k naplnění ekologických cílů a k digitální transformaci.</w:t>
      </w:r>
    </w:p>
    <w:p w14:paraId="5CA3889D" w14:textId="77777777" w:rsidR="00886CC8" w:rsidRPr="00886CC8" w:rsidRDefault="00886CC8" w:rsidP="00886CC8">
      <w:pPr>
        <w:pStyle w:val="00Body"/>
        <w:jc w:val="both"/>
        <w:rPr>
          <w:rFonts w:ascii="Times New Roman" w:hAnsi="Times New Roman"/>
          <w:b/>
          <w:sz w:val="23"/>
          <w:szCs w:val="23"/>
        </w:rPr>
      </w:pPr>
      <w:r w:rsidRPr="00886CC8">
        <w:rPr>
          <w:rFonts w:ascii="Times New Roman" w:hAnsi="Times New Roman"/>
          <w:b/>
          <w:sz w:val="23"/>
          <w:szCs w:val="23"/>
        </w:rPr>
        <w:t xml:space="preserve">Zelená agenda </w:t>
      </w:r>
    </w:p>
    <w:p w14:paraId="08BCE474" w14:textId="73FE2770" w:rsidR="00886CC8" w:rsidRPr="00886CC8" w:rsidRDefault="00886CC8" w:rsidP="00886CC8">
      <w:pPr>
        <w:pStyle w:val="00Body"/>
        <w:numPr>
          <w:ilvl w:val="0"/>
          <w:numId w:val="25"/>
        </w:numPr>
        <w:jc w:val="both"/>
        <w:rPr>
          <w:rFonts w:ascii="Times New Roman" w:hAnsi="Times New Roman"/>
          <w:sz w:val="23"/>
          <w:szCs w:val="23"/>
        </w:rPr>
      </w:pPr>
      <w:r w:rsidRPr="3F9F811D">
        <w:rPr>
          <w:rFonts w:ascii="Times New Roman" w:hAnsi="Times New Roman"/>
          <w:sz w:val="23"/>
          <w:szCs w:val="23"/>
        </w:rPr>
        <w:lastRenderedPageBreak/>
        <w:t xml:space="preserve">Rekultivace části ploch brownfieldů pro jejich zakomponování do zelené infrastruktury sídel a krajiny </w:t>
      </w:r>
      <w:r w:rsidR="00A31808" w:rsidRPr="3F9F811D">
        <w:rPr>
          <w:rFonts w:ascii="Times New Roman" w:hAnsi="Times New Roman"/>
          <w:sz w:val="23"/>
          <w:szCs w:val="23"/>
        </w:rPr>
        <w:t>má</w:t>
      </w:r>
      <w:r w:rsidRPr="3F9F811D">
        <w:rPr>
          <w:rFonts w:ascii="Times New Roman" w:hAnsi="Times New Roman"/>
          <w:sz w:val="23"/>
          <w:szCs w:val="23"/>
        </w:rPr>
        <w:t xml:space="preserve"> pozitivní vliv na adaptaci na klimatické změny snížením negativního vlivu zastavěných a vegetací nepokrytých ploch brownfieldů a na zvýšení pozitivních vlivů nové městské zeleně pro mikroklima městského prostředí</w:t>
      </w:r>
      <w:r w:rsidR="4706A2DC" w:rsidRPr="3F9F811D">
        <w:rPr>
          <w:rFonts w:ascii="Times New Roman" w:hAnsi="Times New Roman"/>
          <w:sz w:val="23"/>
          <w:szCs w:val="23"/>
        </w:rPr>
        <w:t>,</w:t>
      </w:r>
      <w:r w:rsidRPr="3F9F811D">
        <w:rPr>
          <w:rFonts w:ascii="Times New Roman" w:hAnsi="Times New Roman"/>
          <w:sz w:val="23"/>
          <w:szCs w:val="23"/>
        </w:rPr>
        <w:t xml:space="preserve"> a to včetně lokální kvality městského obytného prostředí a kvality života obyvatel. </w:t>
      </w:r>
    </w:p>
    <w:p w14:paraId="5194DB74" w14:textId="77777777" w:rsidR="00886CC8" w:rsidRPr="00886CC8" w:rsidRDefault="00886CC8" w:rsidP="00886CC8">
      <w:pPr>
        <w:pStyle w:val="00Body"/>
        <w:numPr>
          <w:ilvl w:val="0"/>
          <w:numId w:val="25"/>
        </w:numPr>
        <w:jc w:val="both"/>
        <w:rPr>
          <w:rFonts w:ascii="Times New Roman" w:hAnsi="Times New Roman"/>
          <w:sz w:val="23"/>
          <w:szCs w:val="23"/>
        </w:rPr>
      </w:pPr>
      <w:r w:rsidRPr="00886CC8">
        <w:rPr>
          <w:rFonts w:ascii="Times New Roman" w:hAnsi="Times New Roman"/>
          <w:sz w:val="23"/>
          <w:szCs w:val="23"/>
        </w:rPr>
        <w:t>Snížením tlaku na zábor nezastavěných ploch v extravilánech přinese kladný vliv na klimatickou změnu v důsledku udržení zelených ploch s vegetačním pokryvem, které by bez regenerace brownfieldů byly předmětem zastavění.</w:t>
      </w:r>
    </w:p>
    <w:p w14:paraId="56B3DC83" w14:textId="77777777" w:rsidR="00886CC8" w:rsidRPr="00886CC8" w:rsidRDefault="00886CC8" w:rsidP="00886CC8">
      <w:pPr>
        <w:pStyle w:val="00Body"/>
        <w:numPr>
          <w:ilvl w:val="0"/>
          <w:numId w:val="25"/>
        </w:numPr>
        <w:jc w:val="both"/>
        <w:rPr>
          <w:rFonts w:ascii="Times New Roman" w:hAnsi="Times New Roman"/>
          <w:sz w:val="23"/>
          <w:szCs w:val="23"/>
        </w:rPr>
      </w:pPr>
      <w:r w:rsidRPr="00886CC8">
        <w:rPr>
          <w:rFonts w:ascii="Times New Roman" w:hAnsi="Times New Roman"/>
          <w:sz w:val="23"/>
          <w:szCs w:val="23"/>
        </w:rPr>
        <w:t>Menší zábor zastavěné plochy v intravilánu měst v porovnání s nově zastavovanými plochami mimo intravilán povede v důsledku k ponechání většího rozsahu ploch s vegetačním pokryvem a tím příznivějšími klimatickými a ekologickými důsledky a ke kompaktnější zástavbě, která lépe umožňuje realizaci energeticky úspornějších a účinnějších řešení.</w:t>
      </w:r>
    </w:p>
    <w:p w14:paraId="4D1F7298" w14:textId="77777777" w:rsidR="00886CC8" w:rsidRPr="00886CC8" w:rsidRDefault="00886CC8" w:rsidP="00886CC8">
      <w:pPr>
        <w:pStyle w:val="00Body"/>
        <w:numPr>
          <w:ilvl w:val="0"/>
          <w:numId w:val="25"/>
        </w:numPr>
        <w:jc w:val="both"/>
        <w:rPr>
          <w:rFonts w:ascii="Times New Roman" w:hAnsi="Times New Roman"/>
          <w:sz w:val="23"/>
          <w:szCs w:val="23"/>
        </w:rPr>
      </w:pPr>
      <w:r w:rsidRPr="00886CC8">
        <w:rPr>
          <w:rFonts w:ascii="Times New Roman" w:hAnsi="Times New Roman"/>
          <w:sz w:val="23"/>
          <w:szCs w:val="23"/>
        </w:rPr>
        <w:t>Snížení energetické spotřeby využíváním lokalit v městském intravilánu v porovnání s rozvojem nových ploch v zázemí měst povede k nižší spotřebě energií a nižším emisím v souvislosti s dopravní obsluhou v porovnání s lokalitami mimo intravilán z důvodu menšího množství a délky přepravy osob, zboží a materiálu.</w:t>
      </w:r>
    </w:p>
    <w:p w14:paraId="4A7C055D" w14:textId="77777777" w:rsidR="00886CC8" w:rsidRPr="00886CC8" w:rsidRDefault="00886CC8" w:rsidP="00886CC8">
      <w:pPr>
        <w:pStyle w:val="00Body"/>
        <w:numPr>
          <w:ilvl w:val="0"/>
          <w:numId w:val="25"/>
        </w:numPr>
        <w:jc w:val="both"/>
        <w:rPr>
          <w:rFonts w:ascii="Times New Roman" w:hAnsi="Times New Roman"/>
          <w:sz w:val="23"/>
          <w:szCs w:val="23"/>
        </w:rPr>
      </w:pPr>
      <w:r w:rsidRPr="00886CC8">
        <w:rPr>
          <w:rFonts w:ascii="Times New Roman" w:hAnsi="Times New Roman"/>
          <w:sz w:val="23"/>
          <w:szCs w:val="23"/>
        </w:rPr>
        <w:t>Zvýšení energetické účinnosti bude dosaženo rovněž náhradou energeticky neefektivního provozu dosluhujících a zastaralých objektů novou výstavbou využívající aktuální technologie.</w:t>
      </w:r>
    </w:p>
    <w:p w14:paraId="64E4A7C1" w14:textId="2A1F41B8" w:rsidR="00F43894" w:rsidRDefault="00886CC8" w:rsidP="286B46F2">
      <w:pPr>
        <w:pStyle w:val="00Body"/>
        <w:jc w:val="both"/>
        <w:rPr>
          <w:rFonts w:ascii="Times New Roman" w:hAnsi="Times New Roman"/>
          <w:sz w:val="23"/>
          <w:szCs w:val="23"/>
        </w:rPr>
      </w:pPr>
      <w:r w:rsidRPr="286B46F2">
        <w:rPr>
          <w:rFonts w:ascii="Times New Roman" w:eastAsia="Calibri" w:hAnsi="Times New Roman"/>
          <w:b/>
          <w:bCs/>
          <w:sz w:val="23"/>
          <w:szCs w:val="23"/>
        </w:rPr>
        <w:t xml:space="preserve">Doporučení Rady EU pro ČR </w:t>
      </w:r>
    </w:p>
    <w:p w14:paraId="231CA5E6" w14:textId="12F82DC3" w:rsidR="00F43894" w:rsidRDefault="00886CC8" w:rsidP="286B46F2">
      <w:pPr>
        <w:pStyle w:val="00Body"/>
        <w:jc w:val="both"/>
        <w:rPr>
          <w:rFonts w:ascii="Times New Roman" w:hAnsi="Times New Roman"/>
          <w:sz w:val="23"/>
          <w:szCs w:val="23"/>
        </w:rPr>
      </w:pPr>
      <w:r w:rsidRPr="286B46F2">
        <w:rPr>
          <w:rFonts w:ascii="Times New Roman" w:hAnsi="Times New Roman"/>
          <w:sz w:val="23"/>
          <w:szCs w:val="23"/>
        </w:rPr>
        <w:t xml:space="preserve">Mimo to komponenta navazuje na doporučení Rady EU pro ČR v roce 2020, které varuje, že současná situace s sebou nese značné riziko, že se v Česku prohloubí regionální a územní rozdíly nebo že vzniknou nové územní rozdíly v rámci regionů, přičemž se mimo jiné ještě zhorší již pozorovaný trend prohlubování rozdílů mezi Karlovarským a Ústeckým krajem a zbytkem ČR. Komponenta cílí </w:t>
      </w:r>
      <w:r w:rsidR="00F43894" w:rsidRPr="286B46F2">
        <w:rPr>
          <w:rFonts w:ascii="Times New Roman" w:hAnsi="Times New Roman"/>
          <w:sz w:val="23"/>
          <w:szCs w:val="23"/>
        </w:rPr>
        <w:t>především na následující doporučení:</w:t>
      </w:r>
    </w:p>
    <w:p w14:paraId="0823F9E5" w14:textId="426502BA" w:rsidR="00F43894" w:rsidRDefault="00F43894" w:rsidP="286B46F2">
      <w:pPr>
        <w:pStyle w:val="00Body"/>
        <w:numPr>
          <w:ilvl w:val="0"/>
          <w:numId w:val="27"/>
        </w:numPr>
        <w:jc w:val="both"/>
        <w:rPr>
          <w:rFonts w:ascii="Times New Roman" w:hAnsi="Times New Roman"/>
          <w:sz w:val="23"/>
          <w:szCs w:val="23"/>
        </w:rPr>
      </w:pPr>
      <w:r w:rsidRPr="286B46F2">
        <w:rPr>
          <w:rFonts w:ascii="Times New Roman" w:hAnsi="Times New Roman"/>
          <w:sz w:val="23"/>
          <w:szCs w:val="23"/>
        </w:rPr>
        <w:t>předsunout veřejné investiční projekty ve vyšší fázi připravenosti a podpořit soukromé investice, aby se napomohlo hospodářskému oživení.</w:t>
      </w:r>
    </w:p>
    <w:p w14:paraId="38267090" w14:textId="612AEAA8" w:rsidR="00900BCF" w:rsidRPr="00F43894" w:rsidRDefault="00900BCF" w:rsidP="286B46F2">
      <w:pPr>
        <w:pStyle w:val="00Body"/>
        <w:numPr>
          <w:ilvl w:val="0"/>
          <w:numId w:val="27"/>
        </w:numPr>
        <w:jc w:val="both"/>
        <w:rPr>
          <w:rFonts w:ascii="Times New Roman" w:hAnsi="Times New Roman"/>
          <w:sz w:val="23"/>
          <w:szCs w:val="23"/>
        </w:rPr>
      </w:pPr>
      <w:r w:rsidRPr="286B46F2">
        <w:rPr>
          <w:rFonts w:ascii="Times New Roman" w:hAnsi="Times New Roman"/>
          <w:sz w:val="23"/>
          <w:szCs w:val="23"/>
        </w:rPr>
        <w:t>Zaměřit investice na ekologickou a digitální transformaci, účinné využívání energie, a to mimo jiné v uhelných regionech.</w:t>
      </w:r>
    </w:p>
    <w:p w14:paraId="34D6AA48" w14:textId="26A35074" w:rsidR="007C0788" w:rsidRDefault="007C0788" w:rsidP="007C0788">
      <w:pPr>
        <w:pStyle w:val="K-Text"/>
      </w:pPr>
      <w:bookmarkStart w:id="0" w:name="_GoBack"/>
      <w:bookmarkEnd w:id="0"/>
    </w:p>
    <w:sectPr w:rsidR="007C0788" w:rsidSect="00CC5E4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5628F" w14:textId="77777777" w:rsidR="00BC4C24" w:rsidRDefault="00BC4C24" w:rsidP="00677FE0">
      <w:pPr>
        <w:spacing w:after="0" w:line="240" w:lineRule="auto"/>
      </w:pPr>
      <w:r>
        <w:separator/>
      </w:r>
    </w:p>
  </w:endnote>
  <w:endnote w:type="continuationSeparator" w:id="0">
    <w:p w14:paraId="041DB1DC" w14:textId="77777777" w:rsidR="00BC4C24" w:rsidRDefault="00BC4C24" w:rsidP="00677FE0">
      <w:pPr>
        <w:spacing w:after="0" w:line="240" w:lineRule="auto"/>
      </w:pPr>
      <w:r>
        <w:continuationSeparator/>
      </w:r>
    </w:p>
  </w:endnote>
  <w:endnote w:type="continuationNotice" w:id="1">
    <w:p w14:paraId="7900C7FD" w14:textId="77777777" w:rsidR="00BC4C24" w:rsidRDefault="00BC4C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Body)">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E5C5D" w14:textId="77777777" w:rsidR="00BC4C24" w:rsidRDefault="00BC4C24" w:rsidP="00677FE0">
      <w:pPr>
        <w:spacing w:after="0" w:line="240" w:lineRule="auto"/>
      </w:pPr>
      <w:r>
        <w:separator/>
      </w:r>
    </w:p>
  </w:footnote>
  <w:footnote w:type="continuationSeparator" w:id="0">
    <w:p w14:paraId="655827C0" w14:textId="77777777" w:rsidR="00BC4C24" w:rsidRDefault="00BC4C24" w:rsidP="00677FE0">
      <w:pPr>
        <w:spacing w:after="0" w:line="240" w:lineRule="auto"/>
      </w:pPr>
      <w:r>
        <w:continuationSeparator/>
      </w:r>
    </w:p>
  </w:footnote>
  <w:footnote w:type="continuationNotice" w:id="1">
    <w:p w14:paraId="6B757FA1" w14:textId="77777777" w:rsidR="00BC4C24" w:rsidRDefault="00BC4C24">
      <w:pPr>
        <w:spacing w:after="0" w:line="240" w:lineRule="auto"/>
      </w:pPr>
    </w:p>
  </w:footnote>
  <w:footnote w:id="2">
    <w:p w14:paraId="350AB582" w14:textId="77777777" w:rsidR="00F43894" w:rsidRPr="00A87B13" w:rsidRDefault="00F43894">
      <w:pPr>
        <w:pStyle w:val="Textpoznpodarou"/>
        <w:rPr>
          <w:rStyle w:val="K-TextPoznChar"/>
        </w:rPr>
      </w:pPr>
      <w:r w:rsidRPr="00A87B13">
        <w:rPr>
          <w:rStyle w:val="Znakapoznpodarou"/>
          <w:rFonts w:ascii="Times New Roman" w:hAnsi="Times New Roman" w:cs="Times New Roman"/>
        </w:rPr>
        <w:footnoteRef/>
      </w:r>
      <w:r w:rsidRPr="00A87B13">
        <w:rPr>
          <w:rFonts w:ascii="Times New Roman" w:hAnsi="Times New Roman" w:cs="Times New Roman"/>
        </w:rPr>
        <w:t xml:space="preserve"> </w:t>
      </w:r>
      <w:r w:rsidRPr="00A87B13">
        <w:rPr>
          <w:rStyle w:val="K-TextPoznChar"/>
        </w:rPr>
        <w:t>Včetně klasifikace COFOG (výdaje vládního sektoru podle funkce).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04E8760B"/>
    <w:multiLevelType w:val="hybridMultilevel"/>
    <w:tmpl w:val="9E1075B8"/>
    <w:lvl w:ilvl="0" w:tplc="CD5AAD46">
      <w:numFmt w:val="bullet"/>
      <w:lvlText w:val="-"/>
      <w:lvlJc w:val="left"/>
      <w:pPr>
        <w:ind w:left="360" w:hanging="360"/>
      </w:pPr>
      <w:rPr>
        <w:rFonts w:ascii="Calibri" w:eastAsia="Times New Roman" w:hAnsi="Calibri" w:cstheme="minorBid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B9C0D49"/>
    <w:multiLevelType w:val="hybridMultilevel"/>
    <w:tmpl w:val="AE7A35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1F52EC"/>
    <w:multiLevelType w:val="hybridMultilevel"/>
    <w:tmpl w:val="BBFC4C00"/>
    <w:lvl w:ilvl="0" w:tplc="CD5AAD46">
      <w:numFmt w:val="bullet"/>
      <w:lvlText w:val="-"/>
      <w:lvlJc w:val="left"/>
      <w:pPr>
        <w:ind w:left="360" w:hanging="360"/>
      </w:pPr>
      <w:rPr>
        <w:rFonts w:ascii="Calibri" w:eastAsia="Times New Roman" w:hAnsi="Calibri" w:cstheme="minorBid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30316F8"/>
    <w:multiLevelType w:val="multilevel"/>
    <w:tmpl w:val="3320A8B2"/>
    <w:numStyleLink w:val="VariantaB-odrky"/>
  </w:abstractNum>
  <w:abstractNum w:abstractNumId="5" w15:restartNumberingAfterBreak="0">
    <w:nsid w:val="141A62DD"/>
    <w:multiLevelType w:val="hybridMultilevel"/>
    <w:tmpl w:val="036EDD48"/>
    <w:lvl w:ilvl="0" w:tplc="662E825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15572B"/>
    <w:multiLevelType w:val="hybridMultilevel"/>
    <w:tmpl w:val="3320A8B2"/>
    <w:styleLink w:val="VariantaB-odrky"/>
    <w:lvl w:ilvl="0" w:tplc="4468CC02">
      <w:start w:val="1"/>
      <w:numFmt w:val="bullet"/>
      <w:pStyle w:val="SeznamsodrkamiB"/>
      <w:lvlText w:val="—"/>
      <w:lvlJc w:val="left"/>
      <w:pPr>
        <w:ind w:left="357" w:hanging="357"/>
      </w:pPr>
      <w:rPr>
        <w:rFonts w:ascii="Calibri" w:hAnsi="Calibri" w:hint="default"/>
        <w:sz w:val="16"/>
      </w:rPr>
    </w:lvl>
    <w:lvl w:ilvl="1" w:tplc="E732F672">
      <w:start w:val="1"/>
      <w:numFmt w:val="bullet"/>
      <w:pStyle w:val="SeznamsodrkamiB2"/>
      <w:lvlText w:val=""/>
      <w:lvlJc w:val="left"/>
      <w:pPr>
        <w:ind w:left="714" w:hanging="357"/>
      </w:pPr>
      <w:rPr>
        <w:rFonts w:ascii="Wingdings" w:hAnsi="Wingdings" w:hint="default"/>
        <w:sz w:val="14"/>
      </w:rPr>
    </w:lvl>
    <w:lvl w:ilvl="2" w:tplc="26B8B6C4">
      <w:start w:val="1"/>
      <w:numFmt w:val="bullet"/>
      <w:pStyle w:val="SeznamsodrkamiB3"/>
      <w:lvlText w:val=""/>
      <w:lvlJc w:val="left"/>
      <w:pPr>
        <w:ind w:left="1071" w:hanging="357"/>
      </w:pPr>
      <w:rPr>
        <w:rFonts w:ascii="Wingdings 2" w:hAnsi="Wingdings 2" w:hint="default"/>
      </w:rPr>
    </w:lvl>
    <w:lvl w:ilvl="3" w:tplc="2DC431BE">
      <w:start w:val="1"/>
      <w:numFmt w:val="bullet"/>
      <w:pStyle w:val="SeznamsodrkamiB4"/>
      <w:lvlText w:val=""/>
      <w:lvlJc w:val="left"/>
      <w:pPr>
        <w:ind w:left="1428" w:hanging="357"/>
      </w:pPr>
      <w:rPr>
        <w:rFonts w:ascii="Wingdings 2" w:hAnsi="Wingdings 2" w:hint="default"/>
      </w:rPr>
    </w:lvl>
    <w:lvl w:ilvl="4" w:tplc="B5367174">
      <w:start w:val="1"/>
      <w:numFmt w:val="bullet"/>
      <w:pStyle w:val="SeznamsodrkamiB5"/>
      <w:lvlText w:val=""/>
      <w:lvlJc w:val="left"/>
      <w:pPr>
        <w:ind w:left="1785" w:hanging="357"/>
      </w:pPr>
      <w:rPr>
        <w:rFonts w:ascii="Wingdings 2" w:hAnsi="Wingdings 2" w:hint="default"/>
      </w:rPr>
    </w:lvl>
    <w:lvl w:ilvl="5" w:tplc="EBBC2CAA">
      <w:start w:val="1"/>
      <w:numFmt w:val="bullet"/>
      <w:lvlText w:val=""/>
      <w:lvlJc w:val="left"/>
      <w:pPr>
        <w:ind w:left="2142" w:hanging="357"/>
      </w:pPr>
      <w:rPr>
        <w:rFonts w:ascii="Wingdings 2" w:hAnsi="Wingdings 2" w:cs="Times New Roman" w:hint="default"/>
      </w:rPr>
    </w:lvl>
    <w:lvl w:ilvl="6" w:tplc="DF2EA75A">
      <w:start w:val="1"/>
      <w:numFmt w:val="bullet"/>
      <w:lvlText w:val=""/>
      <w:lvlJc w:val="left"/>
      <w:pPr>
        <w:ind w:left="2499" w:hanging="357"/>
      </w:pPr>
      <w:rPr>
        <w:rFonts w:ascii="Wingdings 2" w:hAnsi="Wingdings 2" w:cs="Times New Roman" w:hint="default"/>
      </w:rPr>
    </w:lvl>
    <w:lvl w:ilvl="7" w:tplc="BA48CC8A">
      <w:start w:val="1"/>
      <w:numFmt w:val="bullet"/>
      <w:lvlText w:val=""/>
      <w:lvlJc w:val="left"/>
      <w:pPr>
        <w:ind w:left="2856" w:hanging="357"/>
      </w:pPr>
      <w:rPr>
        <w:rFonts w:ascii="Wingdings 2" w:hAnsi="Wingdings 2" w:cs="Times New Roman" w:hint="default"/>
      </w:rPr>
    </w:lvl>
    <w:lvl w:ilvl="8" w:tplc="70F03F4A">
      <w:start w:val="1"/>
      <w:numFmt w:val="bullet"/>
      <w:lvlText w:val=""/>
      <w:lvlJc w:val="left"/>
      <w:pPr>
        <w:ind w:left="3213" w:hanging="357"/>
      </w:pPr>
      <w:rPr>
        <w:rFonts w:ascii="Wingdings 2" w:hAnsi="Wingdings 2" w:cs="Times New Roman" w:hint="default"/>
      </w:rPr>
    </w:lvl>
  </w:abstractNum>
  <w:abstractNum w:abstractNumId="7" w15:restartNumberingAfterBreak="0">
    <w:nsid w:val="191872DA"/>
    <w:multiLevelType w:val="multilevel"/>
    <w:tmpl w:val="E8A48D7C"/>
    <w:numStyleLink w:val="VariantaA-sla"/>
  </w:abstractNum>
  <w:abstractNum w:abstractNumId="8" w15:restartNumberingAfterBreak="0">
    <w:nsid w:val="19E35ABB"/>
    <w:multiLevelType w:val="hybridMultilevel"/>
    <w:tmpl w:val="F5B6F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9F5E1B"/>
    <w:multiLevelType w:val="hybridMultilevel"/>
    <w:tmpl w:val="E7C28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CA4367"/>
    <w:multiLevelType w:val="hybridMultilevel"/>
    <w:tmpl w:val="42ECE9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9A5EA2"/>
    <w:multiLevelType w:val="hybridMultilevel"/>
    <w:tmpl w:val="E8BAE50A"/>
    <w:numStyleLink w:val="VariantaA-odrky"/>
  </w:abstractNum>
  <w:abstractNum w:abstractNumId="12" w15:restartNumberingAfterBreak="0">
    <w:nsid w:val="2EBC2FCA"/>
    <w:multiLevelType w:val="hybridMultilevel"/>
    <w:tmpl w:val="4120D2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E14069"/>
    <w:multiLevelType w:val="hybridMultilevel"/>
    <w:tmpl w:val="698A4C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FB67B0"/>
    <w:multiLevelType w:val="hybridMultilevel"/>
    <w:tmpl w:val="4404A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C4F749E"/>
    <w:multiLevelType w:val="hybridMultilevel"/>
    <w:tmpl w:val="461E5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5C4A24"/>
    <w:multiLevelType w:val="hybridMultilevel"/>
    <w:tmpl w:val="2AAC851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5600AF"/>
    <w:multiLevelType w:val="hybridMultilevel"/>
    <w:tmpl w:val="E39EB6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89775E"/>
    <w:multiLevelType w:val="hybridMultilevel"/>
    <w:tmpl w:val="0D8ABE32"/>
    <w:styleLink w:val="VariantaB-sla"/>
    <w:lvl w:ilvl="0" w:tplc="F8AA3654">
      <w:start w:val="1"/>
      <w:numFmt w:val="decimal"/>
      <w:pStyle w:val="slovanseznamB"/>
      <w:lvlText w:val="%1)"/>
      <w:lvlJc w:val="left"/>
      <w:pPr>
        <w:ind w:left="360" w:hanging="360"/>
      </w:pPr>
      <w:rPr>
        <w:rFonts w:hint="default"/>
      </w:rPr>
    </w:lvl>
    <w:lvl w:ilvl="1" w:tplc="A2D093E0">
      <w:start w:val="1"/>
      <w:numFmt w:val="lowerLetter"/>
      <w:pStyle w:val="slovanseznamB2"/>
      <w:lvlText w:val="%2)"/>
      <w:lvlJc w:val="left"/>
      <w:pPr>
        <w:ind w:left="720" w:hanging="360"/>
      </w:pPr>
      <w:rPr>
        <w:rFonts w:hint="default"/>
      </w:rPr>
    </w:lvl>
    <w:lvl w:ilvl="2" w:tplc="7E946150">
      <w:start w:val="1"/>
      <w:numFmt w:val="lowerRoman"/>
      <w:pStyle w:val="slovanseznamB3"/>
      <w:lvlText w:val="%3)"/>
      <w:lvlJc w:val="left"/>
      <w:pPr>
        <w:ind w:left="1080" w:hanging="360"/>
      </w:pPr>
      <w:rPr>
        <w:rFonts w:hint="default"/>
      </w:rPr>
    </w:lvl>
    <w:lvl w:ilvl="3" w:tplc="BBC4EF92">
      <w:start w:val="1"/>
      <w:numFmt w:val="decimal"/>
      <w:pStyle w:val="slovanseznamB4"/>
      <w:lvlText w:val="(%4)"/>
      <w:lvlJc w:val="left"/>
      <w:pPr>
        <w:ind w:left="1440" w:hanging="360"/>
      </w:pPr>
      <w:rPr>
        <w:rFonts w:hint="default"/>
      </w:rPr>
    </w:lvl>
    <w:lvl w:ilvl="4" w:tplc="6FDCE5D4">
      <w:start w:val="1"/>
      <w:numFmt w:val="lowerLetter"/>
      <w:pStyle w:val="slovanseznamB5"/>
      <w:lvlText w:val="(%5)"/>
      <w:lvlJc w:val="left"/>
      <w:pPr>
        <w:ind w:left="1800" w:hanging="360"/>
      </w:pPr>
      <w:rPr>
        <w:rFonts w:hint="default"/>
      </w:rPr>
    </w:lvl>
    <w:lvl w:ilvl="5" w:tplc="75BC1846">
      <w:start w:val="1"/>
      <w:numFmt w:val="lowerRoman"/>
      <w:lvlText w:val="(%6)"/>
      <w:lvlJc w:val="left"/>
      <w:pPr>
        <w:ind w:left="2160" w:hanging="360"/>
      </w:pPr>
      <w:rPr>
        <w:rFonts w:hint="default"/>
      </w:rPr>
    </w:lvl>
    <w:lvl w:ilvl="6" w:tplc="7E4A4532">
      <w:start w:val="1"/>
      <w:numFmt w:val="decimal"/>
      <w:lvlText w:val="%7."/>
      <w:lvlJc w:val="left"/>
      <w:pPr>
        <w:ind w:left="2520" w:hanging="360"/>
      </w:pPr>
      <w:rPr>
        <w:rFonts w:hint="default"/>
      </w:rPr>
    </w:lvl>
    <w:lvl w:ilvl="7" w:tplc="117C2C08">
      <w:start w:val="1"/>
      <w:numFmt w:val="lowerLetter"/>
      <w:lvlText w:val="%8."/>
      <w:lvlJc w:val="left"/>
      <w:pPr>
        <w:ind w:left="2880" w:hanging="360"/>
      </w:pPr>
      <w:rPr>
        <w:rFonts w:hint="default"/>
      </w:rPr>
    </w:lvl>
    <w:lvl w:ilvl="8" w:tplc="B284F766">
      <w:start w:val="1"/>
      <w:numFmt w:val="lowerRoman"/>
      <w:lvlText w:val="%9."/>
      <w:lvlJc w:val="left"/>
      <w:pPr>
        <w:ind w:left="3240" w:hanging="360"/>
      </w:pPr>
      <w:rPr>
        <w:rFonts w:hint="default"/>
      </w:rPr>
    </w:lvl>
  </w:abstractNum>
  <w:abstractNum w:abstractNumId="19" w15:restartNumberingAfterBreak="0">
    <w:nsid w:val="52E1536A"/>
    <w:multiLevelType w:val="hybridMultilevel"/>
    <w:tmpl w:val="9B9AF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3E001B2"/>
    <w:multiLevelType w:val="hybridMultilevel"/>
    <w:tmpl w:val="59385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126625"/>
    <w:multiLevelType w:val="hybridMultilevel"/>
    <w:tmpl w:val="C56C3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60F34E6"/>
    <w:multiLevelType w:val="hybridMultilevel"/>
    <w:tmpl w:val="C680A2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A321E4"/>
    <w:multiLevelType w:val="hybridMultilevel"/>
    <w:tmpl w:val="E8BAE50A"/>
    <w:styleLink w:val="VariantaA-odrky"/>
    <w:lvl w:ilvl="0" w:tplc="D0D4FC92">
      <w:start w:val="1"/>
      <w:numFmt w:val="bullet"/>
      <w:pStyle w:val="Seznamsodrkami"/>
      <w:lvlText w:val=""/>
      <w:lvlJc w:val="left"/>
      <w:pPr>
        <w:ind w:left="357" w:hanging="357"/>
      </w:pPr>
      <w:rPr>
        <w:rFonts w:ascii="Wingdings" w:hAnsi="Wingdings" w:hint="default"/>
        <w:sz w:val="16"/>
      </w:rPr>
    </w:lvl>
    <w:lvl w:ilvl="1" w:tplc="059EF720">
      <w:start w:val="1"/>
      <w:numFmt w:val="bullet"/>
      <w:pStyle w:val="Seznamsodrkami2"/>
      <w:lvlText w:val=""/>
      <w:lvlJc w:val="left"/>
      <w:pPr>
        <w:ind w:left="714" w:hanging="357"/>
      </w:pPr>
      <w:rPr>
        <w:rFonts w:ascii="Wingdings" w:hAnsi="Wingdings" w:hint="default"/>
        <w:sz w:val="14"/>
      </w:rPr>
    </w:lvl>
    <w:lvl w:ilvl="2" w:tplc="2B747736">
      <w:start w:val="1"/>
      <w:numFmt w:val="bullet"/>
      <w:pStyle w:val="Seznamsodrkami3"/>
      <w:lvlText w:val=""/>
      <w:lvlJc w:val="left"/>
      <w:pPr>
        <w:ind w:left="1071" w:hanging="357"/>
      </w:pPr>
      <w:rPr>
        <w:rFonts w:ascii="Wingdings" w:hAnsi="Wingdings" w:hint="default"/>
        <w:sz w:val="10"/>
      </w:rPr>
    </w:lvl>
    <w:lvl w:ilvl="3" w:tplc="F0D816B8">
      <w:start w:val="1"/>
      <w:numFmt w:val="bullet"/>
      <w:pStyle w:val="Seznamsodrkami4"/>
      <w:lvlText w:val=""/>
      <w:lvlJc w:val="left"/>
      <w:pPr>
        <w:ind w:left="1428" w:hanging="357"/>
      </w:pPr>
      <w:rPr>
        <w:rFonts w:ascii="Wingdings" w:hAnsi="Wingdings" w:hint="default"/>
        <w:sz w:val="10"/>
      </w:rPr>
    </w:lvl>
    <w:lvl w:ilvl="4" w:tplc="F2FEB90A">
      <w:start w:val="1"/>
      <w:numFmt w:val="bullet"/>
      <w:pStyle w:val="Seznamsodrkami5"/>
      <w:lvlText w:val=""/>
      <w:lvlJc w:val="left"/>
      <w:pPr>
        <w:ind w:left="1785" w:hanging="357"/>
      </w:pPr>
      <w:rPr>
        <w:rFonts w:ascii="Wingdings" w:hAnsi="Wingdings" w:hint="default"/>
        <w:sz w:val="10"/>
      </w:rPr>
    </w:lvl>
    <w:lvl w:ilvl="5" w:tplc="2E0256AC">
      <w:start w:val="1"/>
      <w:numFmt w:val="bullet"/>
      <w:lvlText w:val=""/>
      <w:lvlJc w:val="left"/>
      <w:pPr>
        <w:ind w:left="2142" w:hanging="357"/>
      </w:pPr>
      <w:rPr>
        <w:rFonts w:ascii="Wingdings" w:hAnsi="Wingdings" w:hint="default"/>
        <w:sz w:val="10"/>
      </w:rPr>
    </w:lvl>
    <w:lvl w:ilvl="6" w:tplc="58F2D21E">
      <w:start w:val="1"/>
      <w:numFmt w:val="bullet"/>
      <w:lvlText w:val=""/>
      <w:lvlJc w:val="left"/>
      <w:pPr>
        <w:ind w:left="2499" w:hanging="357"/>
      </w:pPr>
      <w:rPr>
        <w:rFonts w:ascii="Wingdings" w:hAnsi="Wingdings" w:hint="default"/>
        <w:sz w:val="10"/>
      </w:rPr>
    </w:lvl>
    <w:lvl w:ilvl="7" w:tplc="4A6C8674">
      <w:start w:val="1"/>
      <w:numFmt w:val="bullet"/>
      <w:lvlText w:val=""/>
      <w:lvlJc w:val="left"/>
      <w:pPr>
        <w:ind w:left="2856" w:hanging="357"/>
      </w:pPr>
      <w:rPr>
        <w:rFonts w:ascii="Wingdings" w:hAnsi="Wingdings" w:hint="default"/>
        <w:sz w:val="10"/>
      </w:rPr>
    </w:lvl>
    <w:lvl w:ilvl="8" w:tplc="8DE8717C">
      <w:start w:val="1"/>
      <w:numFmt w:val="bullet"/>
      <w:lvlText w:val=""/>
      <w:lvlJc w:val="left"/>
      <w:pPr>
        <w:ind w:left="3213" w:hanging="357"/>
      </w:pPr>
      <w:rPr>
        <w:rFonts w:ascii="Wingdings" w:hAnsi="Wingdings" w:hint="default"/>
        <w:color w:val="000000" w:themeColor="text1"/>
        <w:sz w:val="10"/>
      </w:rPr>
    </w:lvl>
  </w:abstractNum>
  <w:abstractNum w:abstractNumId="24" w15:restartNumberingAfterBreak="0">
    <w:nsid w:val="5AF35F43"/>
    <w:multiLevelType w:val="hybridMultilevel"/>
    <w:tmpl w:val="0D8ABE32"/>
    <w:numStyleLink w:val="VariantaB-sla"/>
  </w:abstractNum>
  <w:abstractNum w:abstractNumId="25" w15:restartNumberingAfterBreak="0">
    <w:nsid w:val="632E2055"/>
    <w:multiLevelType w:val="hybridMultilevel"/>
    <w:tmpl w:val="4F2EF81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23642A"/>
    <w:multiLevelType w:val="hybridMultilevel"/>
    <w:tmpl w:val="B8366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66048FE"/>
    <w:multiLevelType w:val="hybridMultilevel"/>
    <w:tmpl w:val="FB78B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821A06"/>
    <w:multiLevelType w:val="hybridMultilevel"/>
    <w:tmpl w:val="1F8C9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8"/>
  </w:num>
  <w:num w:numId="4">
    <w:abstractNumId w:val="0"/>
  </w:num>
  <w:num w:numId="5">
    <w:abstractNumId w:val="24"/>
  </w:num>
  <w:num w:numId="6">
    <w:abstractNumId w:val="11"/>
  </w:num>
  <w:num w:numId="7">
    <w:abstractNumId w:val="7"/>
  </w:num>
  <w:num w:numId="8">
    <w:abstractNumId w:val="4"/>
  </w:num>
  <w:num w:numId="9">
    <w:abstractNumId w:val="19"/>
  </w:num>
  <w:num w:numId="10">
    <w:abstractNumId w:val="14"/>
  </w:num>
  <w:num w:numId="11">
    <w:abstractNumId w:val="9"/>
  </w:num>
  <w:num w:numId="12">
    <w:abstractNumId w:val="26"/>
  </w:num>
  <w:num w:numId="13">
    <w:abstractNumId w:val="21"/>
  </w:num>
  <w:num w:numId="14">
    <w:abstractNumId w:val="27"/>
  </w:num>
  <w:num w:numId="15">
    <w:abstractNumId w:val="28"/>
  </w:num>
  <w:num w:numId="16">
    <w:abstractNumId w:val="20"/>
  </w:num>
  <w:num w:numId="17">
    <w:abstractNumId w:val="2"/>
  </w:num>
  <w:num w:numId="18">
    <w:abstractNumId w:val="8"/>
  </w:num>
  <w:num w:numId="19">
    <w:abstractNumId w:val="12"/>
  </w:num>
  <w:num w:numId="20">
    <w:abstractNumId w:val="22"/>
  </w:num>
  <w:num w:numId="21">
    <w:abstractNumId w:val="10"/>
  </w:num>
  <w:num w:numId="22">
    <w:abstractNumId w:val="13"/>
  </w:num>
  <w:num w:numId="23">
    <w:abstractNumId w:val="16"/>
  </w:num>
  <w:num w:numId="24">
    <w:abstractNumId w:val="25"/>
  </w:num>
  <w:num w:numId="25">
    <w:abstractNumId w:val="1"/>
  </w:num>
  <w:num w:numId="26">
    <w:abstractNumId w:val="3"/>
  </w:num>
  <w:num w:numId="27">
    <w:abstractNumId w:val="5"/>
  </w:num>
  <w:num w:numId="28">
    <w:abstractNumId w:val="15"/>
  </w:num>
  <w:num w:numId="2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0CF"/>
    <w:rsid w:val="00003369"/>
    <w:rsid w:val="00015306"/>
    <w:rsid w:val="0002674B"/>
    <w:rsid w:val="00030685"/>
    <w:rsid w:val="0004162E"/>
    <w:rsid w:val="000456E1"/>
    <w:rsid w:val="0004786B"/>
    <w:rsid w:val="00051CB4"/>
    <w:rsid w:val="00056BA3"/>
    <w:rsid w:val="00063405"/>
    <w:rsid w:val="000673DE"/>
    <w:rsid w:val="00070134"/>
    <w:rsid w:val="000777DD"/>
    <w:rsid w:val="000809B9"/>
    <w:rsid w:val="00081843"/>
    <w:rsid w:val="00083DF4"/>
    <w:rsid w:val="00090B40"/>
    <w:rsid w:val="00095A0A"/>
    <w:rsid w:val="00095EBD"/>
    <w:rsid w:val="000B1B3D"/>
    <w:rsid w:val="000C0598"/>
    <w:rsid w:val="000C4CAF"/>
    <w:rsid w:val="000D652B"/>
    <w:rsid w:val="000E2207"/>
    <w:rsid w:val="00113FDC"/>
    <w:rsid w:val="00121485"/>
    <w:rsid w:val="001268B0"/>
    <w:rsid w:val="0015052B"/>
    <w:rsid w:val="00154B73"/>
    <w:rsid w:val="001572EE"/>
    <w:rsid w:val="00162900"/>
    <w:rsid w:val="001745AA"/>
    <w:rsid w:val="00176BDF"/>
    <w:rsid w:val="0018051B"/>
    <w:rsid w:val="00190254"/>
    <w:rsid w:val="001A68B5"/>
    <w:rsid w:val="001B1E4A"/>
    <w:rsid w:val="001B58AA"/>
    <w:rsid w:val="001B6D19"/>
    <w:rsid w:val="001C4DFD"/>
    <w:rsid w:val="001D27C0"/>
    <w:rsid w:val="001E1711"/>
    <w:rsid w:val="001E74C3"/>
    <w:rsid w:val="001F6937"/>
    <w:rsid w:val="00207FC3"/>
    <w:rsid w:val="00220DE3"/>
    <w:rsid w:val="00236F35"/>
    <w:rsid w:val="002424D3"/>
    <w:rsid w:val="00242699"/>
    <w:rsid w:val="002512A5"/>
    <w:rsid w:val="0025290D"/>
    <w:rsid w:val="00260372"/>
    <w:rsid w:val="0026296E"/>
    <w:rsid w:val="00262DAF"/>
    <w:rsid w:val="002672D5"/>
    <w:rsid w:val="00285AED"/>
    <w:rsid w:val="002C20CF"/>
    <w:rsid w:val="002C4FCC"/>
    <w:rsid w:val="002D2B80"/>
    <w:rsid w:val="002E19BA"/>
    <w:rsid w:val="002E2442"/>
    <w:rsid w:val="002E66F2"/>
    <w:rsid w:val="002F0E8C"/>
    <w:rsid w:val="00304970"/>
    <w:rsid w:val="00310FA0"/>
    <w:rsid w:val="00320481"/>
    <w:rsid w:val="003250CB"/>
    <w:rsid w:val="00333428"/>
    <w:rsid w:val="00333A9E"/>
    <w:rsid w:val="003434ED"/>
    <w:rsid w:val="00351CAF"/>
    <w:rsid w:val="00354AC1"/>
    <w:rsid w:val="00363201"/>
    <w:rsid w:val="00365135"/>
    <w:rsid w:val="00377D88"/>
    <w:rsid w:val="0039063C"/>
    <w:rsid w:val="003A46A8"/>
    <w:rsid w:val="003A51AA"/>
    <w:rsid w:val="003B0E92"/>
    <w:rsid w:val="003B565A"/>
    <w:rsid w:val="003C04B2"/>
    <w:rsid w:val="003D00A1"/>
    <w:rsid w:val="003D3067"/>
    <w:rsid w:val="003D66D9"/>
    <w:rsid w:val="00406F71"/>
    <w:rsid w:val="0041359A"/>
    <w:rsid w:val="0041427F"/>
    <w:rsid w:val="004424E0"/>
    <w:rsid w:val="004509E5"/>
    <w:rsid w:val="00454614"/>
    <w:rsid w:val="004562DC"/>
    <w:rsid w:val="00486FB9"/>
    <w:rsid w:val="00493245"/>
    <w:rsid w:val="004C212A"/>
    <w:rsid w:val="004C46E9"/>
    <w:rsid w:val="004E6019"/>
    <w:rsid w:val="00500232"/>
    <w:rsid w:val="005015C4"/>
    <w:rsid w:val="00504668"/>
    <w:rsid w:val="00504DF6"/>
    <w:rsid w:val="005119E2"/>
    <w:rsid w:val="0051230B"/>
    <w:rsid w:val="0052694F"/>
    <w:rsid w:val="005275BD"/>
    <w:rsid w:val="00536992"/>
    <w:rsid w:val="005455E1"/>
    <w:rsid w:val="005502BD"/>
    <w:rsid w:val="00556787"/>
    <w:rsid w:val="0057253D"/>
    <w:rsid w:val="00582276"/>
    <w:rsid w:val="00586036"/>
    <w:rsid w:val="005B0632"/>
    <w:rsid w:val="005B3F5C"/>
    <w:rsid w:val="005C2560"/>
    <w:rsid w:val="005C4AD7"/>
    <w:rsid w:val="005D1A33"/>
    <w:rsid w:val="005F7585"/>
    <w:rsid w:val="00603DA9"/>
    <w:rsid w:val="00605759"/>
    <w:rsid w:val="0062364A"/>
    <w:rsid w:val="00650C6C"/>
    <w:rsid w:val="00652FE6"/>
    <w:rsid w:val="00660826"/>
    <w:rsid w:val="00667898"/>
    <w:rsid w:val="00677FE0"/>
    <w:rsid w:val="0068393F"/>
    <w:rsid w:val="006953C3"/>
    <w:rsid w:val="006A18C7"/>
    <w:rsid w:val="006B6764"/>
    <w:rsid w:val="006C28D8"/>
    <w:rsid w:val="006C30EB"/>
    <w:rsid w:val="006C72D1"/>
    <w:rsid w:val="006D04EF"/>
    <w:rsid w:val="006D5798"/>
    <w:rsid w:val="006E0EF7"/>
    <w:rsid w:val="006E258A"/>
    <w:rsid w:val="006E2FB0"/>
    <w:rsid w:val="006F1BEA"/>
    <w:rsid w:val="007102D2"/>
    <w:rsid w:val="00712D72"/>
    <w:rsid w:val="00713948"/>
    <w:rsid w:val="0072734C"/>
    <w:rsid w:val="00741CFD"/>
    <w:rsid w:val="00753A27"/>
    <w:rsid w:val="00761411"/>
    <w:rsid w:val="00774967"/>
    <w:rsid w:val="00785769"/>
    <w:rsid w:val="0079342A"/>
    <w:rsid w:val="00797EAD"/>
    <w:rsid w:val="007A2737"/>
    <w:rsid w:val="007A5529"/>
    <w:rsid w:val="007A7E24"/>
    <w:rsid w:val="007B05D1"/>
    <w:rsid w:val="007B4949"/>
    <w:rsid w:val="007C0788"/>
    <w:rsid w:val="007C1FD8"/>
    <w:rsid w:val="007C6A25"/>
    <w:rsid w:val="007C6E2A"/>
    <w:rsid w:val="007E55C0"/>
    <w:rsid w:val="007F0BC6"/>
    <w:rsid w:val="00823417"/>
    <w:rsid w:val="00831374"/>
    <w:rsid w:val="00847C01"/>
    <w:rsid w:val="00852465"/>
    <w:rsid w:val="00857580"/>
    <w:rsid w:val="00865238"/>
    <w:rsid w:val="00866685"/>
    <w:rsid w:val="008667BF"/>
    <w:rsid w:val="00886CC8"/>
    <w:rsid w:val="00895645"/>
    <w:rsid w:val="008A1BC4"/>
    <w:rsid w:val="008A7851"/>
    <w:rsid w:val="008C3782"/>
    <w:rsid w:val="008D4A32"/>
    <w:rsid w:val="008D593A"/>
    <w:rsid w:val="008E750B"/>
    <w:rsid w:val="008E7760"/>
    <w:rsid w:val="00900BCF"/>
    <w:rsid w:val="009171FE"/>
    <w:rsid w:val="0091766D"/>
    <w:rsid w:val="00922001"/>
    <w:rsid w:val="00922C17"/>
    <w:rsid w:val="009325EA"/>
    <w:rsid w:val="00942DDD"/>
    <w:rsid w:val="009516A8"/>
    <w:rsid w:val="00971949"/>
    <w:rsid w:val="0097705C"/>
    <w:rsid w:val="00996DF6"/>
    <w:rsid w:val="009B503A"/>
    <w:rsid w:val="009C04D3"/>
    <w:rsid w:val="009D771B"/>
    <w:rsid w:val="009E3585"/>
    <w:rsid w:val="009F393D"/>
    <w:rsid w:val="009F4A08"/>
    <w:rsid w:val="009F4CB9"/>
    <w:rsid w:val="009F7F46"/>
    <w:rsid w:val="00A000BF"/>
    <w:rsid w:val="00A0587E"/>
    <w:rsid w:val="00A24C1F"/>
    <w:rsid w:val="00A275BC"/>
    <w:rsid w:val="00A31808"/>
    <w:rsid w:val="00A356B5"/>
    <w:rsid w:val="00A464B4"/>
    <w:rsid w:val="00A49485"/>
    <w:rsid w:val="00A63D6B"/>
    <w:rsid w:val="00A84B52"/>
    <w:rsid w:val="00A8660F"/>
    <w:rsid w:val="00A87B13"/>
    <w:rsid w:val="00A95C48"/>
    <w:rsid w:val="00AA7056"/>
    <w:rsid w:val="00AB31C6"/>
    <w:rsid w:val="00AB523B"/>
    <w:rsid w:val="00AD7E40"/>
    <w:rsid w:val="00AE605C"/>
    <w:rsid w:val="00AF2980"/>
    <w:rsid w:val="00AF3BAB"/>
    <w:rsid w:val="00AF60E4"/>
    <w:rsid w:val="00B02B33"/>
    <w:rsid w:val="00B1114A"/>
    <w:rsid w:val="00B13DB7"/>
    <w:rsid w:val="00B1477A"/>
    <w:rsid w:val="00B14D22"/>
    <w:rsid w:val="00B1729A"/>
    <w:rsid w:val="00B20993"/>
    <w:rsid w:val="00B2753E"/>
    <w:rsid w:val="00B31350"/>
    <w:rsid w:val="00B33950"/>
    <w:rsid w:val="00B42E96"/>
    <w:rsid w:val="00B50EE6"/>
    <w:rsid w:val="00B52185"/>
    <w:rsid w:val="00B804DC"/>
    <w:rsid w:val="00B94A2A"/>
    <w:rsid w:val="00B9753A"/>
    <w:rsid w:val="00BB479C"/>
    <w:rsid w:val="00BC2B83"/>
    <w:rsid w:val="00BC4720"/>
    <w:rsid w:val="00BC4C24"/>
    <w:rsid w:val="00BD0B80"/>
    <w:rsid w:val="00BD75A2"/>
    <w:rsid w:val="00C12992"/>
    <w:rsid w:val="00C2017A"/>
    <w:rsid w:val="00C2026B"/>
    <w:rsid w:val="00C20470"/>
    <w:rsid w:val="00C23D9A"/>
    <w:rsid w:val="00C32422"/>
    <w:rsid w:val="00C34B2F"/>
    <w:rsid w:val="00C4641B"/>
    <w:rsid w:val="00C66385"/>
    <w:rsid w:val="00C6690E"/>
    <w:rsid w:val="00C703C5"/>
    <w:rsid w:val="00C805F2"/>
    <w:rsid w:val="00C925FB"/>
    <w:rsid w:val="00C96099"/>
    <w:rsid w:val="00C96EFE"/>
    <w:rsid w:val="00CC1C66"/>
    <w:rsid w:val="00CC20FF"/>
    <w:rsid w:val="00CC5E40"/>
    <w:rsid w:val="00CE0581"/>
    <w:rsid w:val="00CF104D"/>
    <w:rsid w:val="00CF21D8"/>
    <w:rsid w:val="00CF3324"/>
    <w:rsid w:val="00D1569F"/>
    <w:rsid w:val="00D20B1E"/>
    <w:rsid w:val="00D22462"/>
    <w:rsid w:val="00D230AC"/>
    <w:rsid w:val="00D24E3B"/>
    <w:rsid w:val="00D32489"/>
    <w:rsid w:val="00D3349E"/>
    <w:rsid w:val="00D42000"/>
    <w:rsid w:val="00D71EF7"/>
    <w:rsid w:val="00D73CB8"/>
    <w:rsid w:val="00D76F54"/>
    <w:rsid w:val="00DA7591"/>
    <w:rsid w:val="00DB6F34"/>
    <w:rsid w:val="00DC646D"/>
    <w:rsid w:val="00DE0ED4"/>
    <w:rsid w:val="00DF095F"/>
    <w:rsid w:val="00DF3BA2"/>
    <w:rsid w:val="00E237E4"/>
    <w:rsid w:val="00E32798"/>
    <w:rsid w:val="00E33CC8"/>
    <w:rsid w:val="00E3442F"/>
    <w:rsid w:val="00E51C91"/>
    <w:rsid w:val="00E56F24"/>
    <w:rsid w:val="00E57B75"/>
    <w:rsid w:val="00E667C1"/>
    <w:rsid w:val="00E67EEC"/>
    <w:rsid w:val="00EC3F88"/>
    <w:rsid w:val="00ED337B"/>
    <w:rsid w:val="00ED36D8"/>
    <w:rsid w:val="00ED612A"/>
    <w:rsid w:val="00EE6BD7"/>
    <w:rsid w:val="00EF374D"/>
    <w:rsid w:val="00EF553F"/>
    <w:rsid w:val="00F0689D"/>
    <w:rsid w:val="00F3526D"/>
    <w:rsid w:val="00F36A11"/>
    <w:rsid w:val="00F43894"/>
    <w:rsid w:val="00F5715C"/>
    <w:rsid w:val="00F8491A"/>
    <w:rsid w:val="00F97AD8"/>
    <w:rsid w:val="00FB01B5"/>
    <w:rsid w:val="00FB2FFA"/>
    <w:rsid w:val="00FC39F6"/>
    <w:rsid w:val="01BEEB2B"/>
    <w:rsid w:val="03191D20"/>
    <w:rsid w:val="0325E313"/>
    <w:rsid w:val="0358CBF1"/>
    <w:rsid w:val="038E1D95"/>
    <w:rsid w:val="05368656"/>
    <w:rsid w:val="06C77822"/>
    <w:rsid w:val="07278D35"/>
    <w:rsid w:val="08A578B5"/>
    <w:rsid w:val="08ABFA7F"/>
    <w:rsid w:val="095043BA"/>
    <w:rsid w:val="0A0402E1"/>
    <w:rsid w:val="0A414A08"/>
    <w:rsid w:val="0A6A5A25"/>
    <w:rsid w:val="0AC5A3CC"/>
    <w:rsid w:val="0B541DBD"/>
    <w:rsid w:val="0C12BDF3"/>
    <w:rsid w:val="0C6B7BE3"/>
    <w:rsid w:val="0CA61ACA"/>
    <w:rsid w:val="0CD67150"/>
    <w:rsid w:val="0DE4FACF"/>
    <w:rsid w:val="0E3C35EE"/>
    <w:rsid w:val="0F3EEC98"/>
    <w:rsid w:val="0F528CBF"/>
    <w:rsid w:val="0F98A9CF"/>
    <w:rsid w:val="11B2B89E"/>
    <w:rsid w:val="11D69C83"/>
    <w:rsid w:val="1269EF1A"/>
    <w:rsid w:val="12B72234"/>
    <w:rsid w:val="12C7E744"/>
    <w:rsid w:val="12F8010D"/>
    <w:rsid w:val="1430FBEB"/>
    <w:rsid w:val="150B4620"/>
    <w:rsid w:val="152A75B6"/>
    <w:rsid w:val="15E28F1B"/>
    <w:rsid w:val="170CD11A"/>
    <w:rsid w:val="171B83D5"/>
    <w:rsid w:val="1856A45B"/>
    <w:rsid w:val="19698A68"/>
    <w:rsid w:val="1972193D"/>
    <w:rsid w:val="19ED10DE"/>
    <w:rsid w:val="1A1B7069"/>
    <w:rsid w:val="1A8DE3B6"/>
    <w:rsid w:val="1ACA219F"/>
    <w:rsid w:val="1B722F0D"/>
    <w:rsid w:val="1BFFD4C4"/>
    <w:rsid w:val="1DCF1D36"/>
    <w:rsid w:val="1DF3D57F"/>
    <w:rsid w:val="1E9E0B29"/>
    <w:rsid w:val="1EAD0D27"/>
    <w:rsid w:val="1ECEECE6"/>
    <w:rsid w:val="1ED5CA7E"/>
    <w:rsid w:val="1EF6EDC3"/>
    <w:rsid w:val="1F0DFD3B"/>
    <w:rsid w:val="1F4A0402"/>
    <w:rsid w:val="202C2362"/>
    <w:rsid w:val="214EECAD"/>
    <w:rsid w:val="220D59F1"/>
    <w:rsid w:val="22C07C13"/>
    <w:rsid w:val="22FE0DE0"/>
    <w:rsid w:val="23329346"/>
    <w:rsid w:val="23439B25"/>
    <w:rsid w:val="2363C424"/>
    <w:rsid w:val="23922DA8"/>
    <w:rsid w:val="248AAE60"/>
    <w:rsid w:val="248F579B"/>
    <w:rsid w:val="24D53151"/>
    <w:rsid w:val="250E67AB"/>
    <w:rsid w:val="258293D7"/>
    <w:rsid w:val="25848FCE"/>
    <w:rsid w:val="26A43D81"/>
    <w:rsid w:val="275CD71F"/>
    <w:rsid w:val="27E47F20"/>
    <w:rsid w:val="28067AE4"/>
    <w:rsid w:val="281BFFDD"/>
    <w:rsid w:val="286B46F2"/>
    <w:rsid w:val="287C9B75"/>
    <w:rsid w:val="29EC2D0A"/>
    <w:rsid w:val="2B5C73F6"/>
    <w:rsid w:val="2BC4BEC5"/>
    <w:rsid w:val="2C662BFF"/>
    <w:rsid w:val="2C6C7DC5"/>
    <w:rsid w:val="2C90B8AF"/>
    <w:rsid w:val="2CDC2507"/>
    <w:rsid w:val="2D8FA1B3"/>
    <w:rsid w:val="2DAE31E8"/>
    <w:rsid w:val="301B2058"/>
    <w:rsid w:val="30310C55"/>
    <w:rsid w:val="30CD5615"/>
    <w:rsid w:val="31BEFA9D"/>
    <w:rsid w:val="32062E83"/>
    <w:rsid w:val="32E2F676"/>
    <w:rsid w:val="333D3380"/>
    <w:rsid w:val="338492A5"/>
    <w:rsid w:val="350DC32A"/>
    <w:rsid w:val="36D9CEBD"/>
    <w:rsid w:val="37049348"/>
    <w:rsid w:val="38335852"/>
    <w:rsid w:val="3B3A3132"/>
    <w:rsid w:val="3D93C82D"/>
    <w:rsid w:val="3DA5C079"/>
    <w:rsid w:val="3F7E0CCE"/>
    <w:rsid w:val="3F9F811D"/>
    <w:rsid w:val="4199AB00"/>
    <w:rsid w:val="41D140AE"/>
    <w:rsid w:val="4205625A"/>
    <w:rsid w:val="42EDE7DF"/>
    <w:rsid w:val="4392D98D"/>
    <w:rsid w:val="4461AD6E"/>
    <w:rsid w:val="4566A422"/>
    <w:rsid w:val="45914ADA"/>
    <w:rsid w:val="4620F79E"/>
    <w:rsid w:val="46571024"/>
    <w:rsid w:val="46626C44"/>
    <w:rsid w:val="468525C7"/>
    <w:rsid w:val="4706A2DC"/>
    <w:rsid w:val="47D4D438"/>
    <w:rsid w:val="4809CF96"/>
    <w:rsid w:val="48C5A869"/>
    <w:rsid w:val="48C8EAF1"/>
    <w:rsid w:val="48E04EB3"/>
    <w:rsid w:val="4A4E8EA7"/>
    <w:rsid w:val="4B4ADE89"/>
    <w:rsid w:val="4B86ED01"/>
    <w:rsid w:val="4BE72793"/>
    <w:rsid w:val="4BF4C5B5"/>
    <w:rsid w:val="4F2D5674"/>
    <w:rsid w:val="502582C5"/>
    <w:rsid w:val="50982308"/>
    <w:rsid w:val="509A1B46"/>
    <w:rsid w:val="5210CE71"/>
    <w:rsid w:val="5257D554"/>
    <w:rsid w:val="5325351B"/>
    <w:rsid w:val="536D4DDB"/>
    <w:rsid w:val="53F1E40C"/>
    <w:rsid w:val="543841BC"/>
    <w:rsid w:val="5484EF64"/>
    <w:rsid w:val="5490C117"/>
    <w:rsid w:val="54A89F7D"/>
    <w:rsid w:val="54B804B4"/>
    <w:rsid w:val="54C088D7"/>
    <w:rsid w:val="55B8A97B"/>
    <w:rsid w:val="566660EE"/>
    <w:rsid w:val="56695C4F"/>
    <w:rsid w:val="57609F99"/>
    <w:rsid w:val="5795F52C"/>
    <w:rsid w:val="57DD7596"/>
    <w:rsid w:val="5827CF4F"/>
    <w:rsid w:val="5897C429"/>
    <w:rsid w:val="58F4544B"/>
    <w:rsid w:val="5929D807"/>
    <w:rsid w:val="599963D6"/>
    <w:rsid w:val="599E64CC"/>
    <w:rsid w:val="59E70AB2"/>
    <w:rsid w:val="5A0F7C7F"/>
    <w:rsid w:val="5A800AB0"/>
    <w:rsid w:val="5B8605D1"/>
    <w:rsid w:val="5BF5AE91"/>
    <w:rsid w:val="5CA540C8"/>
    <w:rsid w:val="5CD4F094"/>
    <w:rsid w:val="5D18C4CC"/>
    <w:rsid w:val="5D394F16"/>
    <w:rsid w:val="5E232FF5"/>
    <w:rsid w:val="5E2F98E9"/>
    <w:rsid w:val="5E3DA4D1"/>
    <w:rsid w:val="5E9E0185"/>
    <w:rsid w:val="5EA426BB"/>
    <w:rsid w:val="5FA10711"/>
    <w:rsid w:val="5FA94908"/>
    <w:rsid w:val="5FD97E83"/>
    <w:rsid w:val="5FEAECDD"/>
    <w:rsid w:val="60A604DB"/>
    <w:rsid w:val="60A7A30A"/>
    <w:rsid w:val="61D30D92"/>
    <w:rsid w:val="6402C39C"/>
    <w:rsid w:val="648E4870"/>
    <w:rsid w:val="64D12EAE"/>
    <w:rsid w:val="6526BFD7"/>
    <w:rsid w:val="671D22C7"/>
    <w:rsid w:val="681A432E"/>
    <w:rsid w:val="68542664"/>
    <w:rsid w:val="69F533FB"/>
    <w:rsid w:val="6A4D3B92"/>
    <w:rsid w:val="6A69A3F6"/>
    <w:rsid w:val="6AC79B55"/>
    <w:rsid w:val="6AEE41ED"/>
    <w:rsid w:val="6C10F684"/>
    <w:rsid w:val="6C514A3D"/>
    <w:rsid w:val="6D2E12AD"/>
    <w:rsid w:val="712350F9"/>
    <w:rsid w:val="727E428A"/>
    <w:rsid w:val="72D998BE"/>
    <w:rsid w:val="72E605B5"/>
    <w:rsid w:val="72F62233"/>
    <w:rsid w:val="734925D0"/>
    <w:rsid w:val="735BD496"/>
    <w:rsid w:val="747970F0"/>
    <w:rsid w:val="751DE134"/>
    <w:rsid w:val="75BFA3D0"/>
    <w:rsid w:val="7605C763"/>
    <w:rsid w:val="76530002"/>
    <w:rsid w:val="7659E692"/>
    <w:rsid w:val="76B9A758"/>
    <w:rsid w:val="7713EE55"/>
    <w:rsid w:val="77C23CC0"/>
    <w:rsid w:val="77D0F617"/>
    <w:rsid w:val="77F7B4B9"/>
    <w:rsid w:val="78606066"/>
    <w:rsid w:val="792429EB"/>
    <w:rsid w:val="79330D76"/>
    <w:rsid w:val="794CD24A"/>
    <w:rsid w:val="79AA1717"/>
    <w:rsid w:val="79D4B6B9"/>
    <w:rsid w:val="7A09CBEB"/>
    <w:rsid w:val="7A549EA7"/>
    <w:rsid w:val="7ACF7A4E"/>
    <w:rsid w:val="7B6FF540"/>
    <w:rsid w:val="7C42F7BC"/>
    <w:rsid w:val="7C6B4AAF"/>
    <w:rsid w:val="7DAB4AE7"/>
    <w:rsid w:val="7E115545"/>
    <w:rsid w:val="7E39ADEB"/>
    <w:rsid w:val="7E5C1DE6"/>
    <w:rsid w:val="7F26DF66"/>
    <w:rsid w:val="7FA2E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9198F2"/>
  <w15:chartTrackingRefBased/>
  <w15:docId w15:val="{9CE5CF7E-876D-45A3-ADD2-AE09E8A0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7"/>
    <w:lsdException w:name="heading 2" w:semiHidden="1" w:uiPriority="7" w:unhideWhenUsed="1"/>
    <w:lsdException w:name="heading 3" w:semiHidden="1" w:uiPriority="7" w:unhideWhenUsed="1"/>
    <w:lsdException w:name="heading 4" w:semiHidden="1" w:uiPriority="7" w:unhideWhenUsed="1"/>
    <w:lsdException w:name="heading 5" w:semiHidden="1" w:uiPriority="7" w:unhideWhenUsed="1"/>
    <w:lsdException w:name="heading 6" w:semiHidden="1" w:uiPriority="7" w:unhideWhenUsed="1"/>
    <w:lsdException w:name="heading 7" w:semiHidden="1" w:uiPriority="7" w:unhideWhenUsed="1"/>
    <w:lsdException w:name="heading 8" w:semiHidden="1" w:uiPriority="7" w:unhideWhenUsed="1"/>
    <w:lsdException w:name="heading 9" w:semiHidden="1" w:uiPriority="7"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uiPriority="15"/>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iPriority="10" w:unhideWhenUsed="1"/>
    <w:lsdException w:name="List Bullet 4" w:semiHidden="1" w:uiPriority="10" w:unhideWhenUsed="1"/>
    <w:lsdException w:name="List Bullet 5" w:semiHidden="1" w:uiPriority="10" w:unhideWhenUsed="1"/>
    <w:lsdException w:name="List Number 2" w:uiPriority="15"/>
    <w:lsdException w:name="List Number 3" w:uiPriority="15"/>
    <w:lsdException w:name="List Number 4" w:uiPriority="15"/>
    <w:lsdException w:name="List Number 5" w:uiPriority="15"/>
    <w:lsdException w:name="Title" w:uiPriority="4"/>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unhideWhenUsed="1"/>
    <w:lsdException w:name="Date" w:semiHidden="1" w:uiPriority="31" w:unhideWhenUsed="1"/>
    <w:lsdException w:name="Body Text First Indent" w:semiHidden="1" w:uiPriority="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lsdException w:name="Hyperlink" w:semiHidden="1" w:unhideWhenUsed="1"/>
    <w:lsdException w:name="FollowedHyperlink" w:semiHidden="1" w:uiPriority="34"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lsdException w:name="Quote" w:uiPriority="27"/>
    <w:lsdException w:name="Intense Quote" w:uiPriority="2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23"/>
    <w:lsdException w:name="Intense Reference" w:uiPriority="24"/>
    <w:lsdException w:name="Book Title" w:semiHidden="1" w:unhideWhenUsed="1" w:qFormat="1"/>
    <w:lsdException w:name="Bibliography" w:semiHidden="1" w:uiPriority="38" w:unhideWhenUsed="1"/>
    <w:lsdException w:name="TOC Heading" w:semiHidden="1" w:uiPriority="6"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A87B13"/>
    <w:pPr>
      <w:spacing w:after="160" w:line="293" w:lineRule="auto"/>
    </w:pPr>
    <w:rPr>
      <w:color w:val="000000" w:themeColor="text1"/>
    </w:rPr>
  </w:style>
  <w:style w:type="paragraph" w:styleId="Nadpis1">
    <w:name w:val="heading 1"/>
    <w:basedOn w:val="Normln"/>
    <w:next w:val="Normln"/>
    <w:link w:val="Nadpis1Char"/>
    <w:uiPriority w:val="7"/>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rsid w:val="00EE6BD7"/>
    <w:rPr>
      <w:b/>
      <w:i/>
      <w:iCs/>
      <w:color w:val="000000" w:themeColor="text1"/>
    </w:rPr>
  </w:style>
  <w:style w:type="paragraph" w:styleId="Vrazncitt">
    <w:name w:val="Intense Quote"/>
    <w:basedOn w:val="Normln"/>
    <w:next w:val="Normln"/>
    <w:link w:val="VrazncittChar"/>
    <w:uiPriority w:val="28"/>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rsid w:val="0039063C"/>
    <w:rPr>
      <w:b/>
      <w:bCs/>
      <w:smallCaps/>
      <w:color w:val="000000" w:themeColor="text1"/>
      <w:spacing w:val="5"/>
    </w:rPr>
  </w:style>
  <w:style w:type="paragraph" w:styleId="slovanseznam">
    <w:name w:val="List Number"/>
    <w:aliases w:val="Číslovaný seznam A"/>
    <w:basedOn w:val="Normln"/>
    <w:uiPriority w:val="15"/>
    <w:rsid w:val="001B1E4A"/>
    <w:pPr>
      <w:numPr>
        <w:numId w:val="7"/>
      </w:numPr>
      <w:spacing w:after="0"/>
    </w:pPr>
  </w:style>
  <w:style w:type="paragraph" w:styleId="slovanseznam2">
    <w:name w:val="List Number 2"/>
    <w:aliases w:val="Číslovaný seznam A 2"/>
    <w:basedOn w:val="Normln"/>
    <w:uiPriority w:val="15"/>
    <w:rsid w:val="001B1E4A"/>
    <w:pPr>
      <w:numPr>
        <w:ilvl w:val="1"/>
        <w:numId w:val="7"/>
      </w:numPr>
      <w:spacing w:after="0"/>
      <w:contextualSpacing/>
    </w:pPr>
  </w:style>
  <w:style w:type="paragraph" w:styleId="slovanseznam3">
    <w:name w:val="List Number 3"/>
    <w:aliases w:val="Číslovaný seznam A 3"/>
    <w:basedOn w:val="Normln"/>
    <w:uiPriority w:val="15"/>
    <w:rsid w:val="001B1E4A"/>
    <w:pPr>
      <w:numPr>
        <w:ilvl w:val="2"/>
        <w:numId w:val="7"/>
      </w:numPr>
      <w:spacing w:after="0"/>
      <w:contextualSpacing/>
    </w:pPr>
  </w:style>
  <w:style w:type="paragraph" w:styleId="slovanseznam4">
    <w:name w:val="List Number 4"/>
    <w:aliases w:val="Číslovaný seznam A 4"/>
    <w:basedOn w:val="Normln"/>
    <w:uiPriority w:val="15"/>
    <w:rsid w:val="001B1E4A"/>
    <w:pPr>
      <w:numPr>
        <w:ilvl w:val="3"/>
        <w:numId w:val="7"/>
      </w:numPr>
      <w:spacing w:after="0"/>
      <w:contextualSpacing/>
    </w:pPr>
  </w:style>
  <w:style w:type="paragraph" w:styleId="slovanseznam5">
    <w:name w:val="List Number 5"/>
    <w:aliases w:val="Číslovaný seznam A 5"/>
    <w:basedOn w:val="Normln"/>
    <w:uiPriority w:val="15"/>
    <w:rsid w:val="001B1E4A"/>
    <w:pPr>
      <w:numPr>
        <w:ilvl w:val="4"/>
        <w:numId w:val="7"/>
      </w:numPr>
      <w:spacing w:after="0"/>
      <w:contextualSpacing/>
    </w:pPr>
  </w:style>
  <w:style w:type="paragraph" w:customStyle="1" w:styleId="slovanseznamB">
    <w:name w:val="Číslovaný seznam B"/>
    <w:basedOn w:val="Normln"/>
    <w:uiPriority w:val="16"/>
    <w:rsid w:val="009F7F46"/>
    <w:pPr>
      <w:numPr>
        <w:numId w:val="5"/>
      </w:numPr>
      <w:spacing w:after="0"/>
    </w:pPr>
  </w:style>
  <w:style w:type="paragraph" w:customStyle="1" w:styleId="slovanseznamB2">
    <w:name w:val="Číslovaný seznam B 2"/>
    <w:basedOn w:val="Normln"/>
    <w:uiPriority w:val="16"/>
    <w:rsid w:val="009F7F46"/>
    <w:pPr>
      <w:numPr>
        <w:ilvl w:val="1"/>
        <w:numId w:val="5"/>
      </w:numPr>
      <w:spacing w:after="0"/>
    </w:pPr>
  </w:style>
  <w:style w:type="paragraph" w:customStyle="1" w:styleId="slovanseznamB3">
    <w:name w:val="Číslovaný seznam B 3"/>
    <w:basedOn w:val="Normln"/>
    <w:uiPriority w:val="16"/>
    <w:rsid w:val="009F7F46"/>
    <w:pPr>
      <w:numPr>
        <w:ilvl w:val="2"/>
        <w:numId w:val="5"/>
      </w:numPr>
      <w:spacing w:after="0"/>
    </w:pPr>
  </w:style>
  <w:style w:type="paragraph" w:customStyle="1" w:styleId="slovanseznamB4">
    <w:name w:val="Číslovaný seznam B 4"/>
    <w:basedOn w:val="Normln"/>
    <w:uiPriority w:val="16"/>
    <w:rsid w:val="009F7F46"/>
    <w:pPr>
      <w:numPr>
        <w:ilvl w:val="3"/>
        <w:numId w:val="5"/>
      </w:numPr>
      <w:spacing w:after="0"/>
    </w:pPr>
  </w:style>
  <w:style w:type="paragraph" w:customStyle="1" w:styleId="slovanseznamB5">
    <w:name w:val="Číslovaný seznam B 5"/>
    <w:basedOn w:val="Normln"/>
    <w:uiPriority w:val="16"/>
    <w:rsid w:val="009F7F46"/>
    <w:pPr>
      <w:numPr>
        <w:ilvl w:val="4"/>
        <w:numId w:val="5"/>
      </w:numPr>
      <w:spacing w:after="0"/>
    </w:pPr>
  </w:style>
  <w:style w:type="paragraph" w:styleId="Seznamsodrkami3">
    <w:name w:val="List Bullet 3"/>
    <w:aliases w:val="Seznam s odrážkami A 3"/>
    <w:basedOn w:val="Normln"/>
    <w:uiPriority w:val="10"/>
    <w:rsid w:val="00262DAF"/>
    <w:pPr>
      <w:numPr>
        <w:ilvl w:val="2"/>
        <w:numId w:val="2"/>
      </w:numPr>
      <w:spacing w:after="0"/>
      <w:contextualSpacing/>
    </w:pPr>
  </w:style>
  <w:style w:type="paragraph" w:styleId="Seznamsodrkami4">
    <w:name w:val="List Bullet 4"/>
    <w:aliases w:val="Seznam s odrážkami A 4"/>
    <w:basedOn w:val="Normln"/>
    <w:uiPriority w:val="10"/>
    <w:rsid w:val="00262DAF"/>
    <w:pPr>
      <w:numPr>
        <w:ilvl w:val="3"/>
        <w:numId w:val="2"/>
      </w:numPr>
      <w:spacing w:after="0"/>
      <w:contextualSpacing/>
    </w:pPr>
  </w:style>
  <w:style w:type="paragraph" w:styleId="Seznamsodrkami5">
    <w:name w:val="List Bullet 5"/>
    <w:aliases w:val="Seznam s odrážkami A 5"/>
    <w:basedOn w:val="Normln"/>
    <w:uiPriority w:val="10"/>
    <w:rsid w:val="00262DAF"/>
    <w:pPr>
      <w:numPr>
        <w:ilvl w:val="4"/>
        <w:numId w:val="2"/>
      </w:numPr>
      <w:spacing w:after="0"/>
    </w:pPr>
  </w:style>
  <w:style w:type="paragraph" w:styleId="Seznamsodrkami">
    <w:name w:val="List Bullet"/>
    <w:aliases w:val="Seznam s odrážkami A"/>
    <w:basedOn w:val="Normln"/>
    <w:uiPriority w:val="10"/>
    <w:rsid w:val="00262DAF"/>
    <w:pPr>
      <w:numPr>
        <w:numId w:val="2"/>
      </w:numPr>
      <w:spacing w:after="0"/>
      <w:contextualSpacing/>
    </w:pPr>
  </w:style>
  <w:style w:type="paragraph" w:styleId="Seznamsodrkami2">
    <w:name w:val="List Bullet 2"/>
    <w:aliases w:val="Seznam s odrážkami A 2"/>
    <w:basedOn w:val="Normln"/>
    <w:uiPriority w:val="10"/>
    <w:rsid w:val="00262DAF"/>
    <w:pPr>
      <w:numPr>
        <w:ilvl w:val="1"/>
        <w:numId w:val="2"/>
      </w:numPr>
      <w:spacing w:after="0"/>
      <w:contextualSpacing/>
    </w:pPr>
  </w:style>
  <w:style w:type="paragraph" w:customStyle="1" w:styleId="Nadpis1-mimoobsah">
    <w:name w:val="Nadpis 1 - mimo obsah"/>
    <w:basedOn w:val="Normln"/>
    <w:next w:val="Normln"/>
    <w:uiPriority w:val="8"/>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rsid w:val="00A275BC"/>
    <w:rPr>
      <w:i/>
      <w:iCs/>
      <w:color w:val="595959" w:themeColor="text1" w:themeTint="A6"/>
    </w:rPr>
  </w:style>
  <w:style w:type="character" w:styleId="Odkazjemn">
    <w:name w:val="Subtle Reference"/>
    <w:basedOn w:val="Standardnpsmoodstavce"/>
    <w:uiPriority w:val="23"/>
    <w:rsid w:val="00A275BC"/>
    <w:rPr>
      <w:smallCaps/>
      <w:color w:val="5A5A5A" w:themeColor="text1" w:themeTint="A5"/>
    </w:rPr>
  </w:style>
  <w:style w:type="paragraph" w:styleId="Citt">
    <w:name w:val="Quote"/>
    <w:basedOn w:val="Normln"/>
    <w:next w:val="Normln"/>
    <w:link w:val="CittChar"/>
    <w:uiPriority w:val="27"/>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rsid w:val="00713948"/>
    <w:rPr>
      <w:i/>
      <w:iCs/>
    </w:rPr>
  </w:style>
  <w:style w:type="paragraph" w:styleId="Nadpisobsahu">
    <w:name w:val="TOC Heading"/>
    <w:basedOn w:val="Nadpis1-mimoobsah"/>
    <w:next w:val="Normln"/>
    <w:uiPriority w:val="6"/>
    <w:unhideWhenUsed/>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rsid w:val="007102D2"/>
    <w:pPr>
      <w:numPr>
        <w:numId w:val="8"/>
      </w:numPr>
      <w:spacing w:after="0"/>
    </w:pPr>
  </w:style>
  <w:style w:type="paragraph" w:customStyle="1" w:styleId="SeznamsodrkamiB2">
    <w:name w:val="Seznam s odrážkami B 2"/>
    <w:basedOn w:val="Normln"/>
    <w:uiPriority w:val="11"/>
    <w:rsid w:val="007102D2"/>
    <w:pPr>
      <w:numPr>
        <w:ilvl w:val="1"/>
        <w:numId w:val="8"/>
      </w:numPr>
      <w:spacing w:after="0"/>
    </w:pPr>
  </w:style>
  <w:style w:type="paragraph" w:customStyle="1" w:styleId="SeznamsodrkamiB3">
    <w:name w:val="Seznam s odrážkami B 3"/>
    <w:basedOn w:val="Normln"/>
    <w:uiPriority w:val="11"/>
    <w:rsid w:val="007102D2"/>
    <w:pPr>
      <w:numPr>
        <w:ilvl w:val="2"/>
        <w:numId w:val="8"/>
      </w:numPr>
      <w:spacing w:after="0"/>
    </w:pPr>
  </w:style>
  <w:style w:type="paragraph" w:customStyle="1" w:styleId="SeznamsodrkamiB4">
    <w:name w:val="Seznam s odrážkami B 4"/>
    <w:basedOn w:val="Normln"/>
    <w:uiPriority w:val="11"/>
    <w:rsid w:val="007102D2"/>
    <w:pPr>
      <w:numPr>
        <w:ilvl w:val="3"/>
        <w:numId w:val="8"/>
      </w:numPr>
      <w:spacing w:after="0"/>
    </w:pPr>
  </w:style>
  <w:style w:type="paragraph" w:customStyle="1" w:styleId="SeznamsodrkamiB5">
    <w:name w:val="Seznam s odrážkami B 5"/>
    <w:basedOn w:val="Normln"/>
    <w:uiPriority w:val="11"/>
    <w:rsid w:val="007102D2"/>
    <w:pPr>
      <w:numPr>
        <w:ilvl w:val="4"/>
        <w:numId w:val="8"/>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paragraph" w:customStyle="1" w:styleId="Default">
    <w:name w:val="Default"/>
    <w:link w:val="DefaultChar"/>
    <w:rsid w:val="002C20CF"/>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iPriority w:val="99"/>
    <w:semiHidden/>
    <w:unhideWhenUsed/>
    <w:rsid w:val="00CE058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E0581"/>
    <w:rPr>
      <w:color w:val="000000" w:themeColor="text1"/>
      <w:sz w:val="20"/>
      <w:szCs w:val="20"/>
    </w:rPr>
  </w:style>
  <w:style w:type="character" w:styleId="Znakapoznpodarou">
    <w:name w:val="footnote reference"/>
    <w:basedOn w:val="Standardnpsmoodstavce"/>
    <w:uiPriority w:val="99"/>
    <w:semiHidden/>
    <w:unhideWhenUsed/>
    <w:rsid w:val="00CE0581"/>
    <w:rPr>
      <w:vertAlign w:val="superscript"/>
    </w:rPr>
  </w:style>
  <w:style w:type="character" w:customStyle="1" w:styleId="Nevyeenzmnka1">
    <w:name w:val="Nevyřešená zmínka1"/>
    <w:basedOn w:val="Standardnpsmoodstavce"/>
    <w:uiPriority w:val="99"/>
    <w:semiHidden/>
    <w:unhideWhenUsed/>
    <w:rsid w:val="009325EA"/>
    <w:rPr>
      <w:color w:val="605E5C"/>
      <w:shd w:val="clear" w:color="auto" w:fill="E1DFDD"/>
    </w:rPr>
  </w:style>
  <w:style w:type="paragraph" w:customStyle="1" w:styleId="K-Nadpis1">
    <w:name w:val="K-Nadpis1"/>
    <w:basedOn w:val="Nadpis1"/>
    <w:link w:val="K-Nadpis1Char"/>
    <w:qFormat/>
    <w:rsid w:val="00154B73"/>
    <w:rPr>
      <w:rFonts w:ascii="Times New Roman" w:hAnsi="Times New Roman" w:cs="Times New Roman"/>
      <w:sz w:val="32"/>
    </w:rPr>
  </w:style>
  <w:style w:type="paragraph" w:customStyle="1" w:styleId="K-Nadpis2">
    <w:name w:val="K-Nadpis2"/>
    <w:basedOn w:val="Nadpis2"/>
    <w:link w:val="K-Nadpis2Char"/>
    <w:qFormat/>
    <w:rsid w:val="00154B73"/>
    <w:rPr>
      <w:rFonts w:ascii="Times New Roman" w:hAnsi="Times New Roman" w:cs="Times New Roman"/>
      <w:sz w:val="28"/>
      <w:szCs w:val="28"/>
    </w:rPr>
  </w:style>
  <w:style w:type="character" w:customStyle="1" w:styleId="K-Nadpis1Char">
    <w:name w:val="K-Nadpis1 Char"/>
    <w:basedOn w:val="Nadpis1Char"/>
    <w:link w:val="K-Nadpis1"/>
    <w:rsid w:val="00154B73"/>
    <w:rPr>
      <w:rFonts w:ascii="Times New Roman" w:eastAsiaTheme="majorEastAsia" w:hAnsi="Times New Roman" w:cs="Times New Roman"/>
      <w:b/>
      <w:color w:val="000000" w:themeColor="text1"/>
      <w:sz w:val="32"/>
      <w:szCs w:val="32"/>
    </w:rPr>
  </w:style>
  <w:style w:type="paragraph" w:customStyle="1" w:styleId="K-Nadpis3">
    <w:name w:val="K-Nadpis3"/>
    <w:basedOn w:val="Default"/>
    <w:link w:val="K-Nadpis3Char"/>
    <w:qFormat/>
    <w:rsid w:val="00154B73"/>
    <w:pPr>
      <w:spacing w:after="120"/>
      <w:jc w:val="both"/>
    </w:pPr>
    <w:rPr>
      <w:b/>
      <w:szCs w:val="23"/>
    </w:rPr>
  </w:style>
  <w:style w:type="character" w:customStyle="1" w:styleId="K-Nadpis2Char">
    <w:name w:val="K-Nadpis2 Char"/>
    <w:basedOn w:val="Nadpis2Char"/>
    <w:link w:val="K-Nadpis2"/>
    <w:rsid w:val="00154B73"/>
    <w:rPr>
      <w:rFonts w:ascii="Times New Roman" w:eastAsiaTheme="majorEastAsia" w:hAnsi="Times New Roman" w:cs="Times New Roman"/>
      <w:b/>
      <w:color w:val="000000" w:themeColor="text1"/>
      <w:sz w:val="28"/>
      <w:szCs w:val="28"/>
    </w:rPr>
  </w:style>
  <w:style w:type="paragraph" w:customStyle="1" w:styleId="K-Text">
    <w:name w:val="K-Text"/>
    <w:basedOn w:val="Normln"/>
    <w:link w:val="K-TextChar"/>
    <w:qFormat/>
    <w:rsid w:val="006F1BEA"/>
    <w:pPr>
      <w:spacing w:after="120"/>
      <w:jc w:val="both"/>
    </w:pPr>
    <w:rPr>
      <w:rFonts w:ascii="Times New Roman" w:hAnsi="Times New Roman" w:cs="Times New Roman"/>
      <w:iCs/>
      <w:color w:val="auto"/>
      <w:sz w:val="23"/>
      <w:szCs w:val="23"/>
    </w:rPr>
  </w:style>
  <w:style w:type="character" w:customStyle="1" w:styleId="DefaultChar">
    <w:name w:val="Default Char"/>
    <w:basedOn w:val="Standardnpsmoodstavce"/>
    <w:link w:val="Default"/>
    <w:rsid w:val="00154B73"/>
    <w:rPr>
      <w:rFonts w:ascii="Times New Roman" w:hAnsi="Times New Roman" w:cs="Times New Roman"/>
      <w:color w:val="000000"/>
      <w:sz w:val="24"/>
      <w:szCs w:val="24"/>
    </w:rPr>
  </w:style>
  <w:style w:type="character" w:customStyle="1" w:styleId="K-Nadpis3Char">
    <w:name w:val="K-Nadpis3 Char"/>
    <w:basedOn w:val="DefaultChar"/>
    <w:link w:val="K-Nadpis3"/>
    <w:rsid w:val="00154B73"/>
    <w:rPr>
      <w:rFonts w:ascii="Times New Roman" w:hAnsi="Times New Roman" w:cs="Times New Roman"/>
      <w:b/>
      <w:color w:val="000000"/>
      <w:sz w:val="24"/>
      <w:szCs w:val="23"/>
    </w:rPr>
  </w:style>
  <w:style w:type="paragraph" w:customStyle="1" w:styleId="K-TextInfo">
    <w:name w:val="K-Text_Info"/>
    <w:basedOn w:val="Default"/>
    <w:link w:val="K-TextInfoChar"/>
    <w:qFormat/>
    <w:rsid w:val="00ED337B"/>
    <w:pPr>
      <w:spacing w:after="120"/>
      <w:jc w:val="both"/>
    </w:pPr>
    <w:rPr>
      <w:i/>
      <w:iCs/>
      <w:color w:val="2196FF" w:themeColor="text2" w:themeTint="99"/>
      <w:sz w:val="23"/>
      <w:szCs w:val="23"/>
    </w:rPr>
  </w:style>
  <w:style w:type="character" w:customStyle="1" w:styleId="K-TextChar">
    <w:name w:val="K-Text Char"/>
    <w:basedOn w:val="Standardnpsmoodstavce"/>
    <w:link w:val="K-Text"/>
    <w:rsid w:val="006F1BEA"/>
    <w:rPr>
      <w:rFonts w:ascii="Times New Roman" w:hAnsi="Times New Roman" w:cs="Times New Roman"/>
      <w:iCs/>
      <w:sz w:val="23"/>
      <w:szCs w:val="23"/>
    </w:rPr>
  </w:style>
  <w:style w:type="paragraph" w:customStyle="1" w:styleId="K-Tabulka">
    <w:name w:val="K-Tabulka"/>
    <w:basedOn w:val="Default"/>
    <w:link w:val="K-TabulkaChar"/>
    <w:qFormat/>
    <w:rsid w:val="00ED337B"/>
    <w:pPr>
      <w:spacing w:after="120"/>
      <w:jc w:val="both"/>
    </w:pPr>
    <w:rPr>
      <w:b/>
      <w:bCs/>
      <w:color w:val="auto"/>
      <w:sz w:val="23"/>
      <w:szCs w:val="23"/>
    </w:rPr>
  </w:style>
  <w:style w:type="character" w:customStyle="1" w:styleId="K-TextInfoChar">
    <w:name w:val="K-Text_Info Char"/>
    <w:basedOn w:val="DefaultChar"/>
    <w:link w:val="K-TextInfo"/>
    <w:rsid w:val="00ED337B"/>
    <w:rPr>
      <w:rFonts w:ascii="Times New Roman" w:hAnsi="Times New Roman" w:cs="Times New Roman"/>
      <w:i/>
      <w:iCs/>
      <w:color w:val="2196FF" w:themeColor="text2" w:themeTint="99"/>
      <w:sz w:val="23"/>
      <w:szCs w:val="23"/>
    </w:rPr>
  </w:style>
  <w:style w:type="paragraph" w:customStyle="1" w:styleId="K-TextPozn">
    <w:name w:val="K-Text_Pozn"/>
    <w:basedOn w:val="Textpoznpodarou"/>
    <w:link w:val="K-TextPoznChar"/>
    <w:qFormat/>
    <w:rsid w:val="00A87B13"/>
    <w:rPr>
      <w:rFonts w:ascii="Times New Roman" w:hAnsi="Times New Roman" w:cs="Times New Roman"/>
    </w:rPr>
  </w:style>
  <w:style w:type="character" w:customStyle="1" w:styleId="K-TabulkaChar">
    <w:name w:val="K-Tabulka Char"/>
    <w:basedOn w:val="DefaultChar"/>
    <w:link w:val="K-Tabulka"/>
    <w:rsid w:val="00ED337B"/>
    <w:rPr>
      <w:rFonts w:ascii="Times New Roman" w:hAnsi="Times New Roman" w:cs="Times New Roman"/>
      <w:b/>
      <w:bCs/>
      <w:color w:val="000000"/>
      <w:sz w:val="23"/>
      <w:szCs w:val="23"/>
    </w:rPr>
  </w:style>
  <w:style w:type="character" w:customStyle="1" w:styleId="K-TextPoznChar">
    <w:name w:val="K-Text_Pozn Char"/>
    <w:basedOn w:val="TextpoznpodarouChar"/>
    <w:link w:val="K-TextPozn"/>
    <w:rsid w:val="00A87B13"/>
    <w:rPr>
      <w:rFonts w:ascii="Times New Roman" w:hAnsi="Times New Roman" w:cs="Times New Roman"/>
      <w:color w:val="000000" w:themeColor="text1"/>
      <w:sz w:val="20"/>
      <w:szCs w:val="20"/>
    </w:rPr>
  </w:style>
  <w:style w:type="character" w:styleId="Odkaznakoment">
    <w:name w:val="annotation reference"/>
    <w:basedOn w:val="Standardnpsmoodstavce"/>
    <w:uiPriority w:val="99"/>
    <w:semiHidden/>
    <w:unhideWhenUsed/>
    <w:rsid w:val="00B1114A"/>
    <w:rPr>
      <w:sz w:val="16"/>
      <w:szCs w:val="16"/>
    </w:rPr>
  </w:style>
  <w:style w:type="paragraph" w:styleId="Textkomente">
    <w:name w:val="annotation text"/>
    <w:basedOn w:val="Normln"/>
    <w:link w:val="TextkomenteChar"/>
    <w:uiPriority w:val="99"/>
    <w:semiHidden/>
    <w:unhideWhenUsed/>
    <w:rsid w:val="00B1114A"/>
    <w:pPr>
      <w:spacing w:line="240" w:lineRule="auto"/>
    </w:pPr>
    <w:rPr>
      <w:sz w:val="20"/>
      <w:szCs w:val="20"/>
    </w:rPr>
  </w:style>
  <w:style w:type="character" w:customStyle="1" w:styleId="TextkomenteChar">
    <w:name w:val="Text komentáře Char"/>
    <w:basedOn w:val="Standardnpsmoodstavce"/>
    <w:link w:val="Textkomente"/>
    <w:uiPriority w:val="99"/>
    <w:semiHidden/>
    <w:rsid w:val="00B1114A"/>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1114A"/>
    <w:rPr>
      <w:b/>
      <w:bCs/>
    </w:rPr>
  </w:style>
  <w:style w:type="character" w:customStyle="1" w:styleId="PedmtkomenteChar">
    <w:name w:val="Předmět komentáře Char"/>
    <w:basedOn w:val="TextkomenteChar"/>
    <w:link w:val="Pedmtkomente"/>
    <w:uiPriority w:val="99"/>
    <w:semiHidden/>
    <w:rsid w:val="00B1114A"/>
    <w:rPr>
      <w:b/>
      <w:bCs/>
      <w:color w:val="000000" w:themeColor="text1"/>
      <w:sz w:val="20"/>
      <w:szCs w:val="20"/>
    </w:rPr>
  </w:style>
  <w:style w:type="paragraph" w:styleId="Textbubliny">
    <w:name w:val="Balloon Text"/>
    <w:basedOn w:val="Normln"/>
    <w:link w:val="TextbublinyChar"/>
    <w:uiPriority w:val="99"/>
    <w:semiHidden/>
    <w:unhideWhenUsed/>
    <w:rsid w:val="00B111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114A"/>
    <w:rPr>
      <w:rFonts w:ascii="Segoe UI" w:hAnsi="Segoe UI" w:cs="Segoe UI"/>
      <w:color w:val="000000" w:themeColor="text1"/>
      <w:sz w:val="18"/>
      <w:szCs w:val="18"/>
    </w:rPr>
  </w:style>
  <w:style w:type="table" w:styleId="Mkatabulky">
    <w:name w:val="Table Grid"/>
    <w:basedOn w:val="Normlntabulka"/>
    <w:uiPriority w:val="39"/>
    <w:rsid w:val="00852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
    <w:name w:val="00 Body"/>
    <w:basedOn w:val="Normln"/>
    <w:link w:val="00BodyChar"/>
    <w:qFormat/>
    <w:rsid w:val="005275BD"/>
    <w:pPr>
      <w:spacing w:before="180" w:after="180" w:line="264" w:lineRule="auto"/>
    </w:pPr>
    <w:rPr>
      <w:rFonts w:ascii="Arial (Body)" w:eastAsia="Times New Roman" w:hAnsi="Arial (Body)" w:cs="Times New Roman"/>
      <w:color w:val="auto"/>
      <w:szCs w:val="20"/>
    </w:rPr>
  </w:style>
  <w:style w:type="character" w:customStyle="1" w:styleId="00BodyChar">
    <w:name w:val="00 Body Char"/>
    <w:basedOn w:val="Standardnpsmoodstavce"/>
    <w:link w:val="00Body"/>
    <w:rsid w:val="005275BD"/>
    <w:rPr>
      <w:rFonts w:ascii="Arial (Body)" w:eastAsia="Times New Roman" w:hAnsi="Arial (Body)" w:cs="Times New Roman"/>
      <w:szCs w:val="20"/>
    </w:rPr>
  </w:style>
  <w:style w:type="paragraph" w:styleId="Normlnweb">
    <w:name w:val="Normal (Web)"/>
    <w:basedOn w:val="Normln"/>
    <w:uiPriority w:val="99"/>
    <w:unhideWhenUsed/>
    <w:rsid w:val="006C28D8"/>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character" w:customStyle="1" w:styleId="EEIPNadpis3Char">
    <w:name w:val="EEIP_Nadpis (3) Char"/>
    <w:basedOn w:val="Standardnpsmoodstavce"/>
    <w:link w:val="EEIPNadpis3"/>
    <w:qFormat/>
    <w:rsid w:val="00D42000"/>
    <w:rPr>
      <w:rFonts w:ascii="Cambria" w:eastAsia="Times New Roman" w:hAnsi="Cambria"/>
      <w:b/>
      <w:bCs/>
      <w:color w:val="B6B002"/>
      <w:sz w:val="24"/>
    </w:rPr>
  </w:style>
  <w:style w:type="paragraph" w:customStyle="1" w:styleId="EEIPNadpis3">
    <w:name w:val="EEIP_Nadpis (3)"/>
    <w:basedOn w:val="Nadpis3"/>
    <w:link w:val="EEIPNadpis3Char"/>
    <w:rsid w:val="00D42000"/>
    <w:pPr>
      <w:keepNext w:val="0"/>
      <w:keepLines w:val="0"/>
      <w:widowControl w:val="0"/>
      <w:spacing w:before="120" w:after="120" w:line="240" w:lineRule="auto"/>
      <w:ind w:left="709" w:hanging="709"/>
    </w:pPr>
    <w:rPr>
      <w:rFonts w:ascii="Cambria" w:eastAsia="Times New Roman" w:hAnsi="Cambria" w:cstheme="minorBidi"/>
      <w:bCs/>
      <w:color w:val="B6B002"/>
      <w:szCs w:val="22"/>
    </w:rPr>
  </w:style>
  <w:style w:type="paragraph" w:customStyle="1" w:styleId="Normln-tun">
    <w:name w:val="Normální - tučné"/>
    <w:basedOn w:val="Normln"/>
    <w:uiPriority w:val="99"/>
    <w:qFormat/>
    <w:rsid w:val="00D42000"/>
    <w:pPr>
      <w:spacing w:before="120" w:after="120" w:line="240" w:lineRule="auto"/>
      <w:jc w:val="both"/>
    </w:pPr>
    <w:rPr>
      <w:rFonts w:ascii="Garamond" w:eastAsia="Times New Roman" w:hAnsi="Garamond" w:cs="Times New Roman"/>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9501">
      <w:bodyDiv w:val="1"/>
      <w:marLeft w:val="0"/>
      <w:marRight w:val="0"/>
      <w:marTop w:val="0"/>
      <w:marBottom w:val="0"/>
      <w:divBdr>
        <w:top w:val="none" w:sz="0" w:space="0" w:color="auto"/>
        <w:left w:val="none" w:sz="0" w:space="0" w:color="auto"/>
        <w:bottom w:val="none" w:sz="0" w:space="0" w:color="auto"/>
        <w:right w:val="none" w:sz="0" w:space="0" w:color="auto"/>
      </w:divBdr>
    </w:div>
    <w:div w:id="333917622">
      <w:bodyDiv w:val="1"/>
      <w:marLeft w:val="0"/>
      <w:marRight w:val="0"/>
      <w:marTop w:val="0"/>
      <w:marBottom w:val="0"/>
      <w:divBdr>
        <w:top w:val="none" w:sz="0" w:space="0" w:color="auto"/>
        <w:left w:val="none" w:sz="0" w:space="0" w:color="auto"/>
        <w:bottom w:val="none" w:sz="0" w:space="0" w:color="auto"/>
        <w:right w:val="none" w:sz="0" w:space="0" w:color="auto"/>
      </w:divBdr>
      <w:divsChild>
        <w:div w:id="835414474">
          <w:marLeft w:val="0"/>
          <w:marRight w:val="0"/>
          <w:marTop w:val="0"/>
          <w:marBottom w:val="0"/>
          <w:divBdr>
            <w:top w:val="none" w:sz="0" w:space="0" w:color="auto"/>
            <w:left w:val="none" w:sz="0" w:space="0" w:color="auto"/>
            <w:bottom w:val="none" w:sz="0" w:space="0" w:color="auto"/>
            <w:right w:val="none" w:sz="0" w:space="0" w:color="auto"/>
          </w:divBdr>
        </w:div>
      </w:divsChild>
    </w:div>
    <w:div w:id="347559460">
      <w:bodyDiv w:val="1"/>
      <w:marLeft w:val="0"/>
      <w:marRight w:val="0"/>
      <w:marTop w:val="0"/>
      <w:marBottom w:val="0"/>
      <w:divBdr>
        <w:top w:val="none" w:sz="0" w:space="0" w:color="auto"/>
        <w:left w:val="none" w:sz="0" w:space="0" w:color="auto"/>
        <w:bottom w:val="none" w:sz="0" w:space="0" w:color="auto"/>
        <w:right w:val="none" w:sz="0" w:space="0" w:color="auto"/>
      </w:divBdr>
    </w:div>
    <w:div w:id="377897478">
      <w:bodyDiv w:val="1"/>
      <w:marLeft w:val="0"/>
      <w:marRight w:val="0"/>
      <w:marTop w:val="0"/>
      <w:marBottom w:val="0"/>
      <w:divBdr>
        <w:top w:val="none" w:sz="0" w:space="0" w:color="auto"/>
        <w:left w:val="none" w:sz="0" w:space="0" w:color="auto"/>
        <w:bottom w:val="none" w:sz="0" w:space="0" w:color="auto"/>
        <w:right w:val="none" w:sz="0" w:space="0" w:color="auto"/>
      </w:divBdr>
    </w:div>
    <w:div w:id="397628066">
      <w:bodyDiv w:val="1"/>
      <w:marLeft w:val="0"/>
      <w:marRight w:val="0"/>
      <w:marTop w:val="0"/>
      <w:marBottom w:val="0"/>
      <w:divBdr>
        <w:top w:val="none" w:sz="0" w:space="0" w:color="auto"/>
        <w:left w:val="none" w:sz="0" w:space="0" w:color="auto"/>
        <w:bottom w:val="none" w:sz="0" w:space="0" w:color="auto"/>
        <w:right w:val="none" w:sz="0" w:space="0" w:color="auto"/>
      </w:divBdr>
    </w:div>
    <w:div w:id="418016893">
      <w:bodyDiv w:val="1"/>
      <w:marLeft w:val="0"/>
      <w:marRight w:val="0"/>
      <w:marTop w:val="0"/>
      <w:marBottom w:val="0"/>
      <w:divBdr>
        <w:top w:val="none" w:sz="0" w:space="0" w:color="auto"/>
        <w:left w:val="none" w:sz="0" w:space="0" w:color="auto"/>
        <w:bottom w:val="none" w:sz="0" w:space="0" w:color="auto"/>
        <w:right w:val="none" w:sz="0" w:space="0" w:color="auto"/>
      </w:divBdr>
    </w:div>
    <w:div w:id="442112209">
      <w:bodyDiv w:val="1"/>
      <w:marLeft w:val="0"/>
      <w:marRight w:val="0"/>
      <w:marTop w:val="0"/>
      <w:marBottom w:val="0"/>
      <w:divBdr>
        <w:top w:val="none" w:sz="0" w:space="0" w:color="auto"/>
        <w:left w:val="none" w:sz="0" w:space="0" w:color="auto"/>
        <w:bottom w:val="none" w:sz="0" w:space="0" w:color="auto"/>
        <w:right w:val="none" w:sz="0" w:space="0" w:color="auto"/>
      </w:divBdr>
    </w:div>
    <w:div w:id="469828831">
      <w:bodyDiv w:val="1"/>
      <w:marLeft w:val="0"/>
      <w:marRight w:val="0"/>
      <w:marTop w:val="0"/>
      <w:marBottom w:val="0"/>
      <w:divBdr>
        <w:top w:val="none" w:sz="0" w:space="0" w:color="auto"/>
        <w:left w:val="none" w:sz="0" w:space="0" w:color="auto"/>
        <w:bottom w:val="none" w:sz="0" w:space="0" w:color="auto"/>
        <w:right w:val="none" w:sz="0" w:space="0" w:color="auto"/>
      </w:divBdr>
    </w:div>
    <w:div w:id="476075191">
      <w:bodyDiv w:val="1"/>
      <w:marLeft w:val="0"/>
      <w:marRight w:val="0"/>
      <w:marTop w:val="0"/>
      <w:marBottom w:val="0"/>
      <w:divBdr>
        <w:top w:val="none" w:sz="0" w:space="0" w:color="auto"/>
        <w:left w:val="none" w:sz="0" w:space="0" w:color="auto"/>
        <w:bottom w:val="none" w:sz="0" w:space="0" w:color="auto"/>
        <w:right w:val="none" w:sz="0" w:space="0" w:color="auto"/>
      </w:divBdr>
      <w:divsChild>
        <w:div w:id="699866772">
          <w:marLeft w:val="0"/>
          <w:marRight w:val="0"/>
          <w:marTop w:val="0"/>
          <w:marBottom w:val="0"/>
          <w:divBdr>
            <w:top w:val="none" w:sz="0" w:space="0" w:color="auto"/>
            <w:left w:val="none" w:sz="0" w:space="0" w:color="auto"/>
            <w:bottom w:val="none" w:sz="0" w:space="0" w:color="auto"/>
            <w:right w:val="none" w:sz="0" w:space="0" w:color="auto"/>
          </w:divBdr>
        </w:div>
      </w:divsChild>
    </w:div>
    <w:div w:id="480853312">
      <w:bodyDiv w:val="1"/>
      <w:marLeft w:val="0"/>
      <w:marRight w:val="0"/>
      <w:marTop w:val="0"/>
      <w:marBottom w:val="0"/>
      <w:divBdr>
        <w:top w:val="none" w:sz="0" w:space="0" w:color="auto"/>
        <w:left w:val="none" w:sz="0" w:space="0" w:color="auto"/>
        <w:bottom w:val="none" w:sz="0" w:space="0" w:color="auto"/>
        <w:right w:val="none" w:sz="0" w:space="0" w:color="auto"/>
      </w:divBdr>
    </w:div>
    <w:div w:id="559049893">
      <w:bodyDiv w:val="1"/>
      <w:marLeft w:val="0"/>
      <w:marRight w:val="0"/>
      <w:marTop w:val="0"/>
      <w:marBottom w:val="0"/>
      <w:divBdr>
        <w:top w:val="none" w:sz="0" w:space="0" w:color="auto"/>
        <w:left w:val="none" w:sz="0" w:space="0" w:color="auto"/>
        <w:bottom w:val="none" w:sz="0" w:space="0" w:color="auto"/>
        <w:right w:val="none" w:sz="0" w:space="0" w:color="auto"/>
      </w:divBdr>
    </w:div>
    <w:div w:id="560213022">
      <w:bodyDiv w:val="1"/>
      <w:marLeft w:val="0"/>
      <w:marRight w:val="0"/>
      <w:marTop w:val="0"/>
      <w:marBottom w:val="0"/>
      <w:divBdr>
        <w:top w:val="none" w:sz="0" w:space="0" w:color="auto"/>
        <w:left w:val="none" w:sz="0" w:space="0" w:color="auto"/>
        <w:bottom w:val="none" w:sz="0" w:space="0" w:color="auto"/>
        <w:right w:val="none" w:sz="0" w:space="0" w:color="auto"/>
      </w:divBdr>
    </w:div>
    <w:div w:id="570501538">
      <w:bodyDiv w:val="1"/>
      <w:marLeft w:val="0"/>
      <w:marRight w:val="0"/>
      <w:marTop w:val="0"/>
      <w:marBottom w:val="0"/>
      <w:divBdr>
        <w:top w:val="none" w:sz="0" w:space="0" w:color="auto"/>
        <w:left w:val="none" w:sz="0" w:space="0" w:color="auto"/>
        <w:bottom w:val="none" w:sz="0" w:space="0" w:color="auto"/>
        <w:right w:val="none" w:sz="0" w:space="0" w:color="auto"/>
      </w:divBdr>
    </w:div>
    <w:div w:id="622537683">
      <w:bodyDiv w:val="1"/>
      <w:marLeft w:val="0"/>
      <w:marRight w:val="0"/>
      <w:marTop w:val="0"/>
      <w:marBottom w:val="0"/>
      <w:divBdr>
        <w:top w:val="none" w:sz="0" w:space="0" w:color="auto"/>
        <w:left w:val="none" w:sz="0" w:space="0" w:color="auto"/>
        <w:bottom w:val="none" w:sz="0" w:space="0" w:color="auto"/>
        <w:right w:val="none" w:sz="0" w:space="0" w:color="auto"/>
      </w:divBdr>
    </w:div>
    <w:div w:id="667640679">
      <w:bodyDiv w:val="1"/>
      <w:marLeft w:val="0"/>
      <w:marRight w:val="0"/>
      <w:marTop w:val="0"/>
      <w:marBottom w:val="0"/>
      <w:divBdr>
        <w:top w:val="none" w:sz="0" w:space="0" w:color="auto"/>
        <w:left w:val="none" w:sz="0" w:space="0" w:color="auto"/>
        <w:bottom w:val="none" w:sz="0" w:space="0" w:color="auto"/>
        <w:right w:val="none" w:sz="0" w:space="0" w:color="auto"/>
      </w:divBdr>
    </w:div>
    <w:div w:id="751271567">
      <w:bodyDiv w:val="1"/>
      <w:marLeft w:val="0"/>
      <w:marRight w:val="0"/>
      <w:marTop w:val="0"/>
      <w:marBottom w:val="0"/>
      <w:divBdr>
        <w:top w:val="none" w:sz="0" w:space="0" w:color="auto"/>
        <w:left w:val="none" w:sz="0" w:space="0" w:color="auto"/>
        <w:bottom w:val="none" w:sz="0" w:space="0" w:color="auto"/>
        <w:right w:val="none" w:sz="0" w:space="0" w:color="auto"/>
      </w:divBdr>
    </w:div>
    <w:div w:id="784498656">
      <w:bodyDiv w:val="1"/>
      <w:marLeft w:val="0"/>
      <w:marRight w:val="0"/>
      <w:marTop w:val="0"/>
      <w:marBottom w:val="0"/>
      <w:divBdr>
        <w:top w:val="none" w:sz="0" w:space="0" w:color="auto"/>
        <w:left w:val="none" w:sz="0" w:space="0" w:color="auto"/>
        <w:bottom w:val="none" w:sz="0" w:space="0" w:color="auto"/>
        <w:right w:val="none" w:sz="0" w:space="0" w:color="auto"/>
      </w:divBdr>
    </w:div>
    <w:div w:id="893154642">
      <w:bodyDiv w:val="1"/>
      <w:marLeft w:val="0"/>
      <w:marRight w:val="0"/>
      <w:marTop w:val="0"/>
      <w:marBottom w:val="0"/>
      <w:divBdr>
        <w:top w:val="none" w:sz="0" w:space="0" w:color="auto"/>
        <w:left w:val="none" w:sz="0" w:space="0" w:color="auto"/>
        <w:bottom w:val="none" w:sz="0" w:space="0" w:color="auto"/>
        <w:right w:val="none" w:sz="0" w:space="0" w:color="auto"/>
      </w:divBdr>
      <w:divsChild>
        <w:div w:id="279773510">
          <w:marLeft w:val="0"/>
          <w:marRight w:val="0"/>
          <w:marTop w:val="0"/>
          <w:marBottom w:val="0"/>
          <w:divBdr>
            <w:top w:val="none" w:sz="0" w:space="0" w:color="auto"/>
            <w:left w:val="none" w:sz="0" w:space="0" w:color="auto"/>
            <w:bottom w:val="none" w:sz="0" w:space="0" w:color="auto"/>
            <w:right w:val="none" w:sz="0" w:space="0" w:color="auto"/>
          </w:divBdr>
        </w:div>
      </w:divsChild>
    </w:div>
    <w:div w:id="901451855">
      <w:bodyDiv w:val="1"/>
      <w:marLeft w:val="0"/>
      <w:marRight w:val="0"/>
      <w:marTop w:val="0"/>
      <w:marBottom w:val="0"/>
      <w:divBdr>
        <w:top w:val="none" w:sz="0" w:space="0" w:color="auto"/>
        <w:left w:val="none" w:sz="0" w:space="0" w:color="auto"/>
        <w:bottom w:val="none" w:sz="0" w:space="0" w:color="auto"/>
        <w:right w:val="none" w:sz="0" w:space="0" w:color="auto"/>
      </w:divBdr>
    </w:div>
    <w:div w:id="933897123">
      <w:bodyDiv w:val="1"/>
      <w:marLeft w:val="0"/>
      <w:marRight w:val="0"/>
      <w:marTop w:val="0"/>
      <w:marBottom w:val="0"/>
      <w:divBdr>
        <w:top w:val="none" w:sz="0" w:space="0" w:color="auto"/>
        <w:left w:val="none" w:sz="0" w:space="0" w:color="auto"/>
        <w:bottom w:val="none" w:sz="0" w:space="0" w:color="auto"/>
        <w:right w:val="none" w:sz="0" w:space="0" w:color="auto"/>
      </w:divBdr>
    </w:div>
    <w:div w:id="946502872">
      <w:bodyDiv w:val="1"/>
      <w:marLeft w:val="0"/>
      <w:marRight w:val="0"/>
      <w:marTop w:val="0"/>
      <w:marBottom w:val="0"/>
      <w:divBdr>
        <w:top w:val="none" w:sz="0" w:space="0" w:color="auto"/>
        <w:left w:val="none" w:sz="0" w:space="0" w:color="auto"/>
        <w:bottom w:val="none" w:sz="0" w:space="0" w:color="auto"/>
        <w:right w:val="none" w:sz="0" w:space="0" w:color="auto"/>
      </w:divBdr>
    </w:div>
    <w:div w:id="955134611">
      <w:bodyDiv w:val="1"/>
      <w:marLeft w:val="0"/>
      <w:marRight w:val="0"/>
      <w:marTop w:val="0"/>
      <w:marBottom w:val="0"/>
      <w:divBdr>
        <w:top w:val="none" w:sz="0" w:space="0" w:color="auto"/>
        <w:left w:val="none" w:sz="0" w:space="0" w:color="auto"/>
        <w:bottom w:val="none" w:sz="0" w:space="0" w:color="auto"/>
        <w:right w:val="none" w:sz="0" w:space="0" w:color="auto"/>
      </w:divBdr>
    </w:div>
    <w:div w:id="1049957987">
      <w:bodyDiv w:val="1"/>
      <w:marLeft w:val="0"/>
      <w:marRight w:val="0"/>
      <w:marTop w:val="0"/>
      <w:marBottom w:val="0"/>
      <w:divBdr>
        <w:top w:val="none" w:sz="0" w:space="0" w:color="auto"/>
        <w:left w:val="none" w:sz="0" w:space="0" w:color="auto"/>
        <w:bottom w:val="none" w:sz="0" w:space="0" w:color="auto"/>
        <w:right w:val="none" w:sz="0" w:space="0" w:color="auto"/>
      </w:divBdr>
    </w:div>
    <w:div w:id="1070230390">
      <w:bodyDiv w:val="1"/>
      <w:marLeft w:val="0"/>
      <w:marRight w:val="0"/>
      <w:marTop w:val="0"/>
      <w:marBottom w:val="0"/>
      <w:divBdr>
        <w:top w:val="none" w:sz="0" w:space="0" w:color="auto"/>
        <w:left w:val="none" w:sz="0" w:space="0" w:color="auto"/>
        <w:bottom w:val="none" w:sz="0" w:space="0" w:color="auto"/>
        <w:right w:val="none" w:sz="0" w:space="0" w:color="auto"/>
      </w:divBdr>
    </w:div>
    <w:div w:id="1140268746">
      <w:bodyDiv w:val="1"/>
      <w:marLeft w:val="0"/>
      <w:marRight w:val="0"/>
      <w:marTop w:val="0"/>
      <w:marBottom w:val="0"/>
      <w:divBdr>
        <w:top w:val="none" w:sz="0" w:space="0" w:color="auto"/>
        <w:left w:val="none" w:sz="0" w:space="0" w:color="auto"/>
        <w:bottom w:val="none" w:sz="0" w:space="0" w:color="auto"/>
        <w:right w:val="none" w:sz="0" w:space="0" w:color="auto"/>
      </w:divBdr>
    </w:div>
    <w:div w:id="1147280345">
      <w:bodyDiv w:val="1"/>
      <w:marLeft w:val="0"/>
      <w:marRight w:val="0"/>
      <w:marTop w:val="0"/>
      <w:marBottom w:val="0"/>
      <w:divBdr>
        <w:top w:val="none" w:sz="0" w:space="0" w:color="auto"/>
        <w:left w:val="none" w:sz="0" w:space="0" w:color="auto"/>
        <w:bottom w:val="none" w:sz="0" w:space="0" w:color="auto"/>
        <w:right w:val="none" w:sz="0" w:space="0" w:color="auto"/>
      </w:divBdr>
    </w:div>
    <w:div w:id="1149595904">
      <w:bodyDiv w:val="1"/>
      <w:marLeft w:val="0"/>
      <w:marRight w:val="0"/>
      <w:marTop w:val="0"/>
      <w:marBottom w:val="0"/>
      <w:divBdr>
        <w:top w:val="none" w:sz="0" w:space="0" w:color="auto"/>
        <w:left w:val="none" w:sz="0" w:space="0" w:color="auto"/>
        <w:bottom w:val="none" w:sz="0" w:space="0" w:color="auto"/>
        <w:right w:val="none" w:sz="0" w:space="0" w:color="auto"/>
      </w:divBdr>
    </w:div>
    <w:div w:id="1178345727">
      <w:bodyDiv w:val="1"/>
      <w:marLeft w:val="0"/>
      <w:marRight w:val="0"/>
      <w:marTop w:val="0"/>
      <w:marBottom w:val="0"/>
      <w:divBdr>
        <w:top w:val="none" w:sz="0" w:space="0" w:color="auto"/>
        <w:left w:val="none" w:sz="0" w:space="0" w:color="auto"/>
        <w:bottom w:val="none" w:sz="0" w:space="0" w:color="auto"/>
        <w:right w:val="none" w:sz="0" w:space="0" w:color="auto"/>
      </w:divBdr>
    </w:div>
    <w:div w:id="1215391083">
      <w:bodyDiv w:val="1"/>
      <w:marLeft w:val="0"/>
      <w:marRight w:val="0"/>
      <w:marTop w:val="0"/>
      <w:marBottom w:val="0"/>
      <w:divBdr>
        <w:top w:val="none" w:sz="0" w:space="0" w:color="auto"/>
        <w:left w:val="none" w:sz="0" w:space="0" w:color="auto"/>
        <w:bottom w:val="none" w:sz="0" w:space="0" w:color="auto"/>
        <w:right w:val="none" w:sz="0" w:space="0" w:color="auto"/>
      </w:divBdr>
      <w:divsChild>
        <w:div w:id="686754117">
          <w:marLeft w:val="0"/>
          <w:marRight w:val="0"/>
          <w:marTop w:val="0"/>
          <w:marBottom w:val="0"/>
          <w:divBdr>
            <w:top w:val="none" w:sz="0" w:space="0" w:color="auto"/>
            <w:left w:val="none" w:sz="0" w:space="0" w:color="auto"/>
            <w:bottom w:val="none" w:sz="0" w:space="0" w:color="auto"/>
            <w:right w:val="none" w:sz="0" w:space="0" w:color="auto"/>
          </w:divBdr>
        </w:div>
      </w:divsChild>
    </w:div>
    <w:div w:id="1251163844">
      <w:bodyDiv w:val="1"/>
      <w:marLeft w:val="0"/>
      <w:marRight w:val="0"/>
      <w:marTop w:val="0"/>
      <w:marBottom w:val="0"/>
      <w:divBdr>
        <w:top w:val="none" w:sz="0" w:space="0" w:color="auto"/>
        <w:left w:val="none" w:sz="0" w:space="0" w:color="auto"/>
        <w:bottom w:val="none" w:sz="0" w:space="0" w:color="auto"/>
        <w:right w:val="none" w:sz="0" w:space="0" w:color="auto"/>
      </w:divBdr>
    </w:div>
    <w:div w:id="1270503223">
      <w:bodyDiv w:val="1"/>
      <w:marLeft w:val="0"/>
      <w:marRight w:val="0"/>
      <w:marTop w:val="0"/>
      <w:marBottom w:val="0"/>
      <w:divBdr>
        <w:top w:val="none" w:sz="0" w:space="0" w:color="auto"/>
        <w:left w:val="none" w:sz="0" w:space="0" w:color="auto"/>
        <w:bottom w:val="none" w:sz="0" w:space="0" w:color="auto"/>
        <w:right w:val="none" w:sz="0" w:space="0" w:color="auto"/>
      </w:divBdr>
    </w:div>
    <w:div w:id="1341665161">
      <w:bodyDiv w:val="1"/>
      <w:marLeft w:val="0"/>
      <w:marRight w:val="0"/>
      <w:marTop w:val="0"/>
      <w:marBottom w:val="0"/>
      <w:divBdr>
        <w:top w:val="none" w:sz="0" w:space="0" w:color="auto"/>
        <w:left w:val="none" w:sz="0" w:space="0" w:color="auto"/>
        <w:bottom w:val="none" w:sz="0" w:space="0" w:color="auto"/>
        <w:right w:val="none" w:sz="0" w:space="0" w:color="auto"/>
      </w:divBdr>
    </w:div>
    <w:div w:id="1371955812">
      <w:bodyDiv w:val="1"/>
      <w:marLeft w:val="0"/>
      <w:marRight w:val="0"/>
      <w:marTop w:val="0"/>
      <w:marBottom w:val="0"/>
      <w:divBdr>
        <w:top w:val="none" w:sz="0" w:space="0" w:color="auto"/>
        <w:left w:val="none" w:sz="0" w:space="0" w:color="auto"/>
        <w:bottom w:val="none" w:sz="0" w:space="0" w:color="auto"/>
        <w:right w:val="none" w:sz="0" w:space="0" w:color="auto"/>
      </w:divBdr>
    </w:div>
    <w:div w:id="1380786989">
      <w:bodyDiv w:val="1"/>
      <w:marLeft w:val="0"/>
      <w:marRight w:val="0"/>
      <w:marTop w:val="0"/>
      <w:marBottom w:val="0"/>
      <w:divBdr>
        <w:top w:val="none" w:sz="0" w:space="0" w:color="auto"/>
        <w:left w:val="none" w:sz="0" w:space="0" w:color="auto"/>
        <w:bottom w:val="none" w:sz="0" w:space="0" w:color="auto"/>
        <w:right w:val="none" w:sz="0" w:space="0" w:color="auto"/>
      </w:divBdr>
    </w:div>
    <w:div w:id="1389652098">
      <w:bodyDiv w:val="1"/>
      <w:marLeft w:val="0"/>
      <w:marRight w:val="0"/>
      <w:marTop w:val="0"/>
      <w:marBottom w:val="0"/>
      <w:divBdr>
        <w:top w:val="none" w:sz="0" w:space="0" w:color="auto"/>
        <w:left w:val="none" w:sz="0" w:space="0" w:color="auto"/>
        <w:bottom w:val="none" w:sz="0" w:space="0" w:color="auto"/>
        <w:right w:val="none" w:sz="0" w:space="0" w:color="auto"/>
      </w:divBdr>
    </w:div>
    <w:div w:id="1397511223">
      <w:bodyDiv w:val="1"/>
      <w:marLeft w:val="0"/>
      <w:marRight w:val="0"/>
      <w:marTop w:val="0"/>
      <w:marBottom w:val="0"/>
      <w:divBdr>
        <w:top w:val="none" w:sz="0" w:space="0" w:color="auto"/>
        <w:left w:val="none" w:sz="0" w:space="0" w:color="auto"/>
        <w:bottom w:val="none" w:sz="0" w:space="0" w:color="auto"/>
        <w:right w:val="none" w:sz="0" w:space="0" w:color="auto"/>
      </w:divBdr>
    </w:div>
    <w:div w:id="1467239451">
      <w:bodyDiv w:val="1"/>
      <w:marLeft w:val="0"/>
      <w:marRight w:val="0"/>
      <w:marTop w:val="0"/>
      <w:marBottom w:val="0"/>
      <w:divBdr>
        <w:top w:val="none" w:sz="0" w:space="0" w:color="auto"/>
        <w:left w:val="none" w:sz="0" w:space="0" w:color="auto"/>
        <w:bottom w:val="none" w:sz="0" w:space="0" w:color="auto"/>
        <w:right w:val="none" w:sz="0" w:space="0" w:color="auto"/>
      </w:divBdr>
    </w:div>
    <w:div w:id="1478300026">
      <w:bodyDiv w:val="1"/>
      <w:marLeft w:val="0"/>
      <w:marRight w:val="0"/>
      <w:marTop w:val="0"/>
      <w:marBottom w:val="0"/>
      <w:divBdr>
        <w:top w:val="none" w:sz="0" w:space="0" w:color="auto"/>
        <w:left w:val="none" w:sz="0" w:space="0" w:color="auto"/>
        <w:bottom w:val="none" w:sz="0" w:space="0" w:color="auto"/>
        <w:right w:val="none" w:sz="0" w:space="0" w:color="auto"/>
      </w:divBdr>
    </w:div>
    <w:div w:id="1481313190">
      <w:bodyDiv w:val="1"/>
      <w:marLeft w:val="0"/>
      <w:marRight w:val="0"/>
      <w:marTop w:val="0"/>
      <w:marBottom w:val="0"/>
      <w:divBdr>
        <w:top w:val="none" w:sz="0" w:space="0" w:color="auto"/>
        <w:left w:val="none" w:sz="0" w:space="0" w:color="auto"/>
        <w:bottom w:val="none" w:sz="0" w:space="0" w:color="auto"/>
        <w:right w:val="none" w:sz="0" w:space="0" w:color="auto"/>
      </w:divBdr>
    </w:div>
    <w:div w:id="1543782988">
      <w:bodyDiv w:val="1"/>
      <w:marLeft w:val="0"/>
      <w:marRight w:val="0"/>
      <w:marTop w:val="0"/>
      <w:marBottom w:val="0"/>
      <w:divBdr>
        <w:top w:val="none" w:sz="0" w:space="0" w:color="auto"/>
        <w:left w:val="none" w:sz="0" w:space="0" w:color="auto"/>
        <w:bottom w:val="none" w:sz="0" w:space="0" w:color="auto"/>
        <w:right w:val="none" w:sz="0" w:space="0" w:color="auto"/>
      </w:divBdr>
    </w:div>
    <w:div w:id="1691177915">
      <w:bodyDiv w:val="1"/>
      <w:marLeft w:val="0"/>
      <w:marRight w:val="0"/>
      <w:marTop w:val="0"/>
      <w:marBottom w:val="0"/>
      <w:divBdr>
        <w:top w:val="none" w:sz="0" w:space="0" w:color="auto"/>
        <w:left w:val="none" w:sz="0" w:space="0" w:color="auto"/>
        <w:bottom w:val="none" w:sz="0" w:space="0" w:color="auto"/>
        <w:right w:val="none" w:sz="0" w:space="0" w:color="auto"/>
      </w:divBdr>
    </w:div>
    <w:div w:id="1748652177">
      <w:bodyDiv w:val="1"/>
      <w:marLeft w:val="0"/>
      <w:marRight w:val="0"/>
      <w:marTop w:val="0"/>
      <w:marBottom w:val="0"/>
      <w:divBdr>
        <w:top w:val="none" w:sz="0" w:space="0" w:color="auto"/>
        <w:left w:val="none" w:sz="0" w:space="0" w:color="auto"/>
        <w:bottom w:val="none" w:sz="0" w:space="0" w:color="auto"/>
        <w:right w:val="none" w:sz="0" w:space="0" w:color="auto"/>
      </w:divBdr>
    </w:div>
    <w:div w:id="1787697856">
      <w:bodyDiv w:val="1"/>
      <w:marLeft w:val="0"/>
      <w:marRight w:val="0"/>
      <w:marTop w:val="0"/>
      <w:marBottom w:val="0"/>
      <w:divBdr>
        <w:top w:val="none" w:sz="0" w:space="0" w:color="auto"/>
        <w:left w:val="none" w:sz="0" w:space="0" w:color="auto"/>
        <w:bottom w:val="none" w:sz="0" w:space="0" w:color="auto"/>
        <w:right w:val="none" w:sz="0" w:space="0" w:color="auto"/>
      </w:divBdr>
    </w:div>
    <w:div w:id="1793473254">
      <w:bodyDiv w:val="1"/>
      <w:marLeft w:val="0"/>
      <w:marRight w:val="0"/>
      <w:marTop w:val="0"/>
      <w:marBottom w:val="0"/>
      <w:divBdr>
        <w:top w:val="none" w:sz="0" w:space="0" w:color="auto"/>
        <w:left w:val="none" w:sz="0" w:space="0" w:color="auto"/>
        <w:bottom w:val="none" w:sz="0" w:space="0" w:color="auto"/>
        <w:right w:val="none" w:sz="0" w:space="0" w:color="auto"/>
      </w:divBdr>
    </w:div>
    <w:div w:id="1813595739">
      <w:bodyDiv w:val="1"/>
      <w:marLeft w:val="0"/>
      <w:marRight w:val="0"/>
      <w:marTop w:val="0"/>
      <w:marBottom w:val="0"/>
      <w:divBdr>
        <w:top w:val="none" w:sz="0" w:space="0" w:color="auto"/>
        <w:left w:val="none" w:sz="0" w:space="0" w:color="auto"/>
        <w:bottom w:val="none" w:sz="0" w:space="0" w:color="auto"/>
        <w:right w:val="none" w:sz="0" w:space="0" w:color="auto"/>
      </w:divBdr>
    </w:div>
    <w:div w:id="2002998987">
      <w:bodyDiv w:val="1"/>
      <w:marLeft w:val="0"/>
      <w:marRight w:val="0"/>
      <w:marTop w:val="0"/>
      <w:marBottom w:val="0"/>
      <w:divBdr>
        <w:top w:val="none" w:sz="0" w:space="0" w:color="auto"/>
        <w:left w:val="none" w:sz="0" w:space="0" w:color="auto"/>
        <w:bottom w:val="none" w:sz="0" w:space="0" w:color="auto"/>
        <w:right w:val="none" w:sz="0" w:space="0" w:color="auto"/>
      </w:divBdr>
    </w:div>
    <w:div w:id="2057270200">
      <w:bodyDiv w:val="1"/>
      <w:marLeft w:val="0"/>
      <w:marRight w:val="0"/>
      <w:marTop w:val="0"/>
      <w:marBottom w:val="0"/>
      <w:divBdr>
        <w:top w:val="none" w:sz="0" w:space="0" w:color="auto"/>
        <w:left w:val="none" w:sz="0" w:space="0" w:color="auto"/>
        <w:bottom w:val="none" w:sz="0" w:space="0" w:color="auto"/>
        <w:right w:val="none" w:sz="0" w:space="0" w:color="auto"/>
      </w:divBdr>
    </w:div>
    <w:div w:id="20982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0668E3FACC0A4D909754AED2896FA5" ma:contentTypeVersion="4" ma:contentTypeDescription="Vytvoří nový dokument" ma:contentTypeScope="" ma:versionID="fcbcc0d7da2afc7dfd1f8eb0d8167e9f">
  <xsd:schema xmlns:xsd="http://www.w3.org/2001/XMLSchema" xmlns:xs="http://www.w3.org/2001/XMLSchema" xmlns:p="http://schemas.microsoft.com/office/2006/metadata/properties" xmlns:ns2="c901dcab-5c60-4e8e-adc9-0c7b361f0e15" targetNamespace="http://schemas.microsoft.com/office/2006/metadata/properties" ma:root="true" ma:fieldsID="389c65f3a199d6c2ceef1705ce39bdd1" ns2:_="">
    <xsd:import namespace="c901dcab-5c60-4e8e-adc9-0c7b361f0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dcab-5c60-4e8e-adc9-0c7b361f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36704-6135-4442-94AC-842286462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dcab-5c60-4e8e-adc9-0c7b361f0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1758E-458E-400C-A4E9-7E535E591BF2}">
  <ds:schemaRefs>
    <ds:schemaRef ds:uri="http://schemas.microsoft.com/office/2006/metadata/properties"/>
    <ds:schemaRef ds:uri="http://schemas.microsoft.com/office/infopath/2007/PartnerControls"/>
    <ds:schemaRef ds:uri="ae529b29-b2bb-4f0f-bf76-47ede62a77b9"/>
  </ds:schemaRefs>
</ds:datastoreItem>
</file>

<file path=customXml/itemProps3.xml><?xml version="1.0" encoding="utf-8"?>
<ds:datastoreItem xmlns:ds="http://schemas.openxmlformats.org/officeDocument/2006/customXml" ds:itemID="{BFDF5E84-47A9-4C74-9832-7DADC55C9F29}">
  <ds:schemaRefs>
    <ds:schemaRef ds:uri="http://schemas.microsoft.com/sharepoint/v3/contenttype/forms"/>
  </ds:schemaRefs>
</ds:datastoreItem>
</file>

<file path=customXml/itemProps4.xml><?xml version="1.0" encoding="utf-8"?>
<ds:datastoreItem xmlns:ds="http://schemas.openxmlformats.org/officeDocument/2006/customXml" ds:itemID="{846B91DC-74B8-4D4A-88F3-EB73B3B9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76BF95C7.dotm</Template>
  <TotalTime>0</TotalTime>
  <Pages>8</Pages>
  <Words>3388</Words>
  <Characters>19995</Characters>
  <Application>Microsoft Office Word</Application>
  <DocSecurity>0</DocSecurity>
  <Lines>166</Lines>
  <Paragraphs>46</Paragraphs>
  <ScaleCrop>false</ScaleCrop>
  <Company>Ministerstvo průmyslu a obchodu</Company>
  <LinksUpToDate>false</LinksUpToDate>
  <CharactersWithSpaces>23337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Pápai Adam</dc:creator>
  <cp:keywords/>
  <dc:description/>
  <cp:lastModifiedBy>Hronza Martin</cp:lastModifiedBy>
  <cp:revision>5</cp:revision>
  <cp:lastPrinted>2020-12-10T10:08:00Z</cp:lastPrinted>
  <dcterms:created xsi:type="dcterms:W3CDTF">2020-12-14T19:11:00Z</dcterms:created>
  <dcterms:modified xsi:type="dcterms:W3CDTF">2021-01-28T12:35:00Z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0x0101008E0668E3FACC0A4D909754AED2896FA5</vt:lpwstr>
  </property>
</Properties>
</file>