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0CF" w:rsidRPr="00506CE5" w:rsidRDefault="008C235C" w:rsidP="00506CE5">
      <w:pPr>
        <w:pStyle w:val="K-Nadpis1"/>
      </w:pPr>
      <w:bookmarkStart w:id="0" w:name="_Hlk58308961"/>
      <w:r w:rsidRPr="00506CE5">
        <w:t>2</w:t>
      </w:r>
      <w:r w:rsidR="00154B73" w:rsidRPr="00506CE5">
        <w:t>.</w:t>
      </w:r>
      <w:r w:rsidRPr="00506CE5">
        <w:t>4</w:t>
      </w:r>
      <w:r w:rsidR="00154B73" w:rsidRPr="00506CE5">
        <w:t xml:space="preserve"> </w:t>
      </w:r>
      <w:r w:rsidRPr="00506CE5">
        <w:t xml:space="preserve">Rozvoj čisté mobility </w:t>
      </w:r>
      <w:bookmarkEnd w:id="0"/>
      <w:r w:rsidRPr="00506CE5">
        <w:rPr>
          <w:b w:val="0"/>
          <w:bCs/>
        </w:rPr>
        <w:t>(MPO)</w:t>
      </w:r>
    </w:p>
    <w:p w:rsidR="002C20CF" w:rsidRPr="00506CE5" w:rsidRDefault="002C20CF" w:rsidP="00D43F00">
      <w:pPr>
        <w:pStyle w:val="Nadpis2"/>
        <w:tabs>
          <w:tab w:val="center" w:pos="4819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06CE5">
        <w:rPr>
          <w:rStyle w:val="K-Nadpis2Char"/>
          <w:b/>
        </w:rPr>
        <w:t xml:space="preserve">1. </w:t>
      </w:r>
      <w:r w:rsidR="00EF374D" w:rsidRPr="00506CE5">
        <w:rPr>
          <w:rStyle w:val="K-Nadpis2Char"/>
          <w:b/>
        </w:rPr>
        <w:t>Popis</w:t>
      </w:r>
      <w:r w:rsidRPr="00506CE5">
        <w:rPr>
          <w:rStyle w:val="K-Nadpis2Char"/>
          <w:b/>
        </w:rPr>
        <w:t xml:space="preserve"> </w:t>
      </w:r>
      <w:r w:rsidR="00EF374D" w:rsidRPr="00506CE5">
        <w:rPr>
          <w:rStyle w:val="K-Nadpis2Char"/>
          <w:b/>
        </w:rPr>
        <w:t>komponenty</w:t>
      </w:r>
      <w:r w:rsidR="00D43F00">
        <w:rPr>
          <w:rStyle w:val="K-Nadpis2Char"/>
          <w:b/>
        </w:rPr>
        <w:tab/>
      </w:r>
    </w:p>
    <w:p w:rsidR="002C20CF" w:rsidRPr="00E16981" w:rsidRDefault="00EF374D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bCs/>
          <w:sz w:val="23"/>
          <w:szCs w:val="23"/>
        </w:rPr>
      </w:pPr>
      <w:r w:rsidRPr="00E16981">
        <w:rPr>
          <w:rStyle w:val="K-TabulkaChar"/>
        </w:rPr>
        <w:t xml:space="preserve">Souhrnný box </w:t>
      </w:r>
      <w:r w:rsidR="0091766D" w:rsidRPr="00E16981">
        <w:rPr>
          <w:rStyle w:val="K-TabulkaChar"/>
        </w:rPr>
        <w:t xml:space="preserve">pro </w:t>
      </w:r>
      <w:r w:rsidR="00154B73" w:rsidRPr="00E16981">
        <w:rPr>
          <w:rStyle w:val="K-TabulkaChar"/>
        </w:rPr>
        <w:t xml:space="preserve">komponentu </w:t>
      </w:r>
      <w:r w:rsidR="00C21E49" w:rsidRPr="00E16981">
        <w:rPr>
          <w:b/>
          <w:bCs/>
          <w:sz w:val="23"/>
          <w:szCs w:val="23"/>
        </w:rPr>
        <w:t xml:space="preserve">2.4 Rozvoj čisté mobility </w:t>
      </w:r>
    </w:p>
    <w:p w:rsidR="00EF374D" w:rsidRPr="00E16981" w:rsidRDefault="00EF374D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E16981">
        <w:rPr>
          <w:rStyle w:val="K-TextChar"/>
          <w:b/>
        </w:rPr>
        <w:t>Oblast politiky/obor zájmu</w:t>
      </w:r>
      <w:r w:rsidR="0015052B" w:rsidRPr="00E16981">
        <w:rPr>
          <w:rStyle w:val="K-TextInfoChar"/>
        </w:rPr>
        <w:t xml:space="preserve"> </w:t>
      </w:r>
      <w:r w:rsidR="0015052B" w:rsidRPr="00E16981">
        <w:rPr>
          <w:rStyle w:val="K-TextInfoChar"/>
          <w:i w:val="0"/>
          <w:iCs w:val="0"/>
          <w:color w:val="auto"/>
          <w:lang w:val="en-GB"/>
        </w:rPr>
        <w:t xml:space="preserve">EK: </w:t>
      </w:r>
      <w:r w:rsidR="00C46EB1">
        <w:rPr>
          <w:rStyle w:val="K-TextInfoChar"/>
          <w:i w:val="0"/>
          <w:iCs w:val="0"/>
          <w:color w:val="auto"/>
          <w:lang w:val="en-GB"/>
        </w:rPr>
        <w:t>clean</w:t>
      </w:r>
      <w:r w:rsidR="00C46EB1" w:rsidRPr="00E16981">
        <w:rPr>
          <w:rStyle w:val="K-TextInfoChar"/>
          <w:i w:val="0"/>
          <w:iCs w:val="0"/>
          <w:color w:val="auto"/>
          <w:lang w:val="en-GB"/>
        </w:rPr>
        <w:t xml:space="preserve"> </w:t>
      </w:r>
      <w:r w:rsidR="0015052B" w:rsidRPr="00E16981">
        <w:rPr>
          <w:rStyle w:val="K-TextInfoChar"/>
          <w:i w:val="0"/>
          <w:iCs w:val="0"/>
          <w:color w:val="auto"/>
          <w:lang w:val="en-GB"/>
        </w:rPr>
        <w:t>mobility and transport;</w:t>
      </w:r>
      <w:r w:rsidR="00A64EEF" w:rsidRPr="00E16981">
        <w:rPr>
          <w:rStyle w:val="K-TextInfoChar"/>
          <w:i w:val="0"/>
          <w:iCs w:val="0"/>
          <w:color w:val="auto"/>
          <w:lang w:val="en-GB"/>
        </w:rPr>
        <w:t xml:space="preserve"> </w:t>
      </w:r>
      <w:r w:rsidR="00F054D8">
        <w:rPr>
          <w:rStyle w:val="K-TextInfoChar"/>
          <w:i w:val="0"/>
          <w:iCs w:val="0"/>
          <w:color w:val="auto"/>
          <w:lang w:val="en-GB"/>
        </w:rPr>
        <w:t xml:space="preserve">urban mobility and transport; </w:t>
      </w:r>
      <w:r w:rsidR="00C46EB1">
        <w:rPr>
          <w:rStyle w:val="K-TextInfoChar"/>
          <w:i w:val="0"/>
          <w:iCs w:val="0"/>
          <w:color w:val="auto"/>
          <w:lang w:val="en-GB"/>
        </w:rPr>
        <w:t>deployment of alternative fuels</w:t>
      </w:r>
      <w:r w:rsidR="00636E0D" w:rsidRPr="00636E0D">
        <w:rPr>
          <w:rStyle w:val="K-TextInfoChar"/>
          <w:i w:val="0"/>
          <w:iCs w:val="0"/>
          <w:color w:val="auto"/>
          <w:lang w:val="en-GB"/>
        </w:rPr>
        <w:t xml:space="preserve"> </w:t>
      </w:r>
      <w:r w:rsidR="00636E0D">
        <w:rPr>
          <w:rStyle w:val="K-TextInfoChar"/>
          <w:i w:val="0"/>
          <w:iCs w:val="0"/>
          <w:color w:val="auto"/>
          <w:lang w:val="en-GB"/>
        </w:rPr>
        <w:t>infrastructure</w:t>
      </w:r>
      <w:r w:rsidR="00C46EB1">
        <w:rPr>
          <w:rStyle w:val="K-TextInfoChar"/>
          <w:i w:val="0"/>
          <w:iCs w:val="0"/>
          <w:color w:val="auto"/>
          <w:lang w:val="en-GB"/>
        </w:rPr>
        <w:t xml:space="preserve">; </w:t>
      </w:r>
      <w:r w:rsidR="00A84F7F" w:rsidRPr="00A84F7F">
        <w:rPr>
          <w:rStyle w:val="K-TextInfoChar"/>
          <w:i w:val="0"/>
          <w:iCs w:val="0"/>
          <w:color w:val="auto"/>
          <w:lang w:val="en-GB"/>
        </w:rPr>
        <w:t>CO2 emission performance standards for new passenger cars and for new light commercial vehicles</w:t>
      </w:r>
      <w:r w:rsidR="008F4DAB">
        <w:rPr>
          <w:rStyle w:val="K-TextInfoChar"/>
          <w:i w:val="0"/>
          <w:iCs w:val="0"/>
          <w:color w:val="auto"/>
          <w:lang w:val="en-GB"/>
        </w:rPr>
        <w:t xml:space="preserve">; </w:t>
      </w:r>
      <w:r w:rsidR="008F4DAB" w:rsidRPr="008F4DAB">
        <w:rPr>
          <w:rStyle w:val="K-TextInfoChar"/>
          <w:i w:val="0"/>
          <w:iCs w:val="0"/>
          <w:color w:val="auto"/>
          <w:lang w:val="en-GB"/>
        </w:rPr>
        <w:t>energy from renewable sources</w:t>
      </w:r>
      <w:r w:rsidR="008F4DAB">
        <w:rPr>
          <w:rStyle w:val="K-TextInfoChar"/>
          <w:i w:val="0"/>
          <w:iCs w:val="0"/>
          <w:color w:val="auto"/>
          <w:lang w:val="en-GB"/>
        </w:rPr>
        <w:t>;</w:t>
      </w:r>
      <w:r w:rsidR="008F4DAB" w:rsidRPr="008F4DAB">
        <w:rPr>
          <w:rStyle w:val="K-TextInfoChar"/>
          <w:i w:val="0"/>
          <w:iCs w:val="0"/>
          <w:color w:val="auto"/>
          <w:lang w:val="en-GB"/>
        </w:rPr>
        <w:t xml:space="preserve"> </w:t>
      </w:r>
      <w:r w:rsidR="00406F22">
        <w:rPr>
          <w:rStyle w:val="K-TextInfoChar"/>
          <w:i w:val="0"/>
          <w:iCs w:val="0"/>
          <w:color w:val="auto"/>
          <w:lang w:val="en-GB"/>
        </w:rPr>
        <w:t>e</w:t>
      </w:r>
      <w:r w:rsidR="0015052B" w:rsidRPr="00E16981">
        <w:rPr>
          <w:rStyle w:val="K-TextInfoChar"/>
          <w:i w:val="0"/>
          <w:iCs w:val="0"/>
          <w:color w:val="auto"/>
          <w:lang w:val="en-GB"/>
        </w:rPr>
        <w:t>nergy efficiency</w:t>
      </w:r>
      <w:r w:rsidR="00F054D8">
        <w:rPr>
          <w:rStyle w:val="K-TextInfoChar"/>
          <w:i w:val="0"/>
          <w:iCs w:val="0"/>
          <w:color w:val="auto"/>
          <w:lang w:val="en-GB"/>
        </w:rPr>
        <w:t>;</w:t>
      </w:r>
      <w:r w:rsidR="0015052B" w:rsidRPr="00E16981">
        <w:rPr>
          <w:rStyle w:val="K-TextInfoChar"/>
          <w:i w:val="0"/>
          <w:iCs w:val="0"/>
          <w:color w:val="auto"/>
          <w:lang w:val="en-GB"/>
        </w:rPr>
        <w:t xml:space="preserve"> climate policy</w:t>
      </w:r>
      <w:r w:rsidR="00F054D8">
        <w:rPr>
          <w:rStyle w:val="K-TextInfoChar"/>
          <w:i w:val="0"/>
          <w:iCs w:val="0"/>
          <w:color w:val="auto"/>
          <w:lang w:val="en-GB"/>
        </w:rPr>
        <w:t>;</w:t>
      </w:r>
      <w:r w:rsidR="0015052B" w:rsidRPr="00E16981">
        <w:rPr>
          <w:rStyle w:val="K-TextInfoChar"/>
          <w:i w:val="0"/>
          <w:iCs w:val="0"/>
          <w:color w:val="auto"/>
          <w:lang w:val="en-GB"/>
        </w:rPr>
        <w:t xml:space="preserve"> </w:t>
      </w:r>
      <w:r w:rsidR="00406F22">
        <w:rPr>
          <w:rStyle w:val="K-TextInfoChar"/>
          <w:i w:val="0"/>
          <w:iCs w:val="0"/>
          <w:color w:val="auto"/>
          <w:lang w:val="en-GB"/>
        </w:rPr>
        <w:t>e</w:t>
      </w:r>
      <w:r w:rsidR="0015052B" w:rsidRPr="00E16981">
        <w:rPr>
          <w:rStyle w:val="K-TextInfoChar"/>
          <w:i w:val="0"/>
          <w:iCs w:val="0"/>
          <w:color w:val="auto"/>
          <w:lang w:val="en-GB"/>
        </w:rPr>
        <w:t>nergy policy</w:t>
      </w:r>
      <w:r w:rsidR="00F054D8">
        <w:rPr>
          <w:rStyle w:val="K-TextInfoChar"/>
          <w:i w:val="0"/>
          <w:iCs w:val="0"/>
          <w:color w:val="auto"/>
          <w:lang w:val="en-GB"/>
        </w:rPr>
        <w:t>;</w:t>
      </w:r>
      <w:r w:rsidR="00A64EEF" w:rsidRPr="00E16981">
        <w:rPr>
          <w:rStyle w:val="K-TextInfoChar"/>
          <w:i w:val="0"/>
          <w:iCs w:val="0"/>
          <w:color w:val="auto"/>
          <w:lang w:val="en-GB"/>
        </w:rPr>
        <w:t xml:space="preserve"> </w:t>
      </w:r>
      <w:r w:rsidR="0015052B" w:rsidRPr="00E16981">
        <w:rPr>
          <w:rStyle w:val="K-TextInfoChar"/>
          <w:i w:val="0"/>
          <w:iCs w:val="0"/>
          <w:color w:val="auto"/>
          <w:lang w:val="en-GB"/>
        </w:rPr>
        <w:t>industrial policy</w:t>
      </w:r>
      <w:r w:rsidR="00F054D8">
        <w:rPr>
          <w:rStyle w:val="K-TextInfoChar"/>
          <w:i w:val="0"/>
          <w:iCs w:val="0"/>
          <w:color w:val="auto"/>
          <w:lang w:val="en-GB"/>
        </w:rPr>
        <w:t xml:space="preserve"> </w:t>
      </w:r>
    </w:p>
    <w:p w:rsidR="00C21E49" w:rsidRPr="00E16981" w:rsidRDefault="00EF374D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</w:rPr>
      </w:pPr>
      <w:r w:rsidRPr="00E16981">
        <w:rPr>
          <w:rStyle w:val="K-TextChar"/>
          <w:b/>
        </w:rPr>
        <w:t>Cíl:</w:t>
      </w:r>
      <w:r w:rsidR="00095EBD" w:rsidRPr="00E16981">
        <w:rPr>
          <w:rStyle w:val="K-TextChar"/>
          <w:b/>
        </w:rPr>
        <w:t xml:space="preserve"> </w:t>
      </w:r>
    </w:p>
    <w:p w:rsidR="000B75FA" w:rsidRPr="00E16981" w:rsidRDefault="00C40AA7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Cs/>
          <w:iCs/>
          <w:sz w:val="23"/>
          <w:szCs w:val="23"/>
        </w:rPr>
      </w:pPr>
      <w:r w:rsidRPr="00E16981">
        <w:rPr>
          <w:rStyle w:val="K-TextChar"/>
          <w:bCs/>
        </w:rPr>
        <w:t>Cílem je urychlit výstavbu dobíjecích a</w:t>
      </w:r>
      <w:r>
        <w:rPr>
          <w:rStyle w:val="K-TextChar"/>
          <w:bCs/>
        </w:rPr>
        <w:t> </w:t>
      </w:r>
      <w:r w:rsidRPr="00E16981">
        <w:rPr>
          <w:rStyle w:val="K-TextChar"/>
          <w:bCs/>
        </w:rPr>
        <w:t>plnicích stanic pro alternativní paliva a</w:t>
      </w:r>
      <w:r>
        <w:rPr>
          <w:rStyle w:val="K-TextChar"/>
          <w:bCs/>
        </w:rPr>
        <w:t> </w:t>
      </w:r>
      <w:r w:rsidRPr="00E16981">
        <w:rPr>
          <w:rStyle w:val="K-TextChar"/>
          <w:bCs/>
        </w:rPr>
        <w:t>zvýšit penetraci vozidel na alternativní paliva.</w:t>
      </w:r>
      <w:r>
        <w:rPr>
          <w:rStyle w:val="K-TextChar"/>
          <w:bCs/>
        </w:rPr>
        <w:t xml:space="preserve"> </w:t>
      </w:r>
    </w:p>
    <w:p w:rsidR="00EF374D" w:rsidRPr="00E16981" w:rsidRDefault="00EF374D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</w:rPr>
      </w:pPr>
      <w:r w:rsidRPr="00E16981">
        <w:rPr>
          <w:rStyle w:val="K-TextChar"/>
          <w:b/>
        </w:rPr>
        <w:t>Reformy a/nebo investice</w:t>
      </w:r>
      <w:r w:rsidRPr="00E16981">
        <w:rPr>
          <w:rStyle w:val="K-TextChar"/>
          <w:b/>
          <w:vertAlign w:val="superscript"/>
        </w:rPr>
        <w:footnoteReference w:id="1"/>
      </w:r>
      <w:r w:rsidRPr="00E16981">
        <w:rPr>
          <w:rStyle w:val="K-TextChar"/>
          <w:b/>
        </w:rPr>
        <w:t>:</w:t>
      </w:r>
      <w:r w:rsidR="00095EBD" w:rsidRPr="00E16981">
        <w:rPr>
          <w:rStyle w:val="K-TextChar"/>
          <w:b/>
        </w:rPr>
        <w:t xml:space="preserve"> </w:t>
      </w:r>
    </w:p>
    <w:p w:rsidR="00C21E49" w:rsidRPr="00E16981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  <w:iCs/>
          <w:sz w:val="23"/>
          <w:szCs w:val="23"/>
        </w:rPr>
      </w:pPr>
      <w:r w:rsidRPr="00E16981">
        <w:rPr>
          <w:b/>
          <w:bCs/>
          <w:iCs/>
          <w:sz w:val="23"/>
          <w:szCs w:val="23"/>
        </w:rPr>
        <w:t>Reformy a/nebo investice v</w:t>
      </w:r>
      <w:r w:rsidR="00741E3B">
        <w:rPr>
          <w:b/>
          <w:bCs/>
          <w:iCs/>
          <w:sz w:val="23"/>
          <w:szCs w:val="23"/>
        </w:rPr>
        <w:t> </w:t>
      </w:r>
      <w:r w:rsidRPr="00E16981">
        <w:rPr>
          <w:b/>
          <w:bCs/>
          <w:iCs/>
          <w:sz w:val="23"/>
          <w:szCs w:val="23"/>
        </w:rPr>
        <w:t xml:space="preserve">rámci této komponenty </w:t>
      </w:r>
    </w:p>
    <w:p w:rsidR="00C21E49" w:rsidRPr="00654BC3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  <w:u w:val="single"/>
        </w:rPr>
      </w:pPr>
      <w:bookmarkStart w:id="1" w:name="_Hlk58312537"/>
      <w:r w:rsidRPr="00654BC3">
        <w:rPr>
          <w:iCs/>
          <w:sz w:val="23"/>
          <w:szCs w:val="23"/>
          <w:u w:val="single"/>
        </w:rPr>
        <w:t xml:space="preserve">1. Budování infrastruktury </w:t>
      </w:r>
    </w:p>
    <w:bookmarkEnd w:id="1"/>
    <w:p w:rsidR="00C21E49" w:rsidRPr="00E16981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</w:rPr>
      </w:pPr>
      <w:r w:rsidRPr="00E16981">
        <w:rPr>
          <w:iCs/>
          <w:sz w:val="23"/>
          <w:szCs w:val="23"/>
        </w:rPr>
        <w:t xml:space="preserve">Budování veřejné infrastruktury (gesce MD) </w:t>
      </w:r>
    </w:p>
    <w:p w:rsidR="00C21E49" w:rsidRPr="00E16981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</w:rPr>
      </w:pPr>
      <w:r w:rsidRPr="00E16981">
        <w:rPr>
          <w:iCs/>
          <w:sz w:val="23"/>
          <w:szCs w:val="23"/>
        </w:rPr>
        <w:t xml:space="preserve">Budování infrastruktury pro veřejnou dopravu (Praha) (gesce Magistrát Hl. města Prahy) </w:t>
      </w:r>
    </w:p>
    <w:p w:rsidR="00C21E49" w:rsidRPr="00E16981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</w:rPr>
      </w:pPr>
      <w:r w:rsidRPr="00E16981">
        <w:rPr>
          <w:iCs/>
          <w:sz w:val="23"/>
          <w:szCs w:val="23"/>
        </w:rPr>
        <w:t xml:space="preserve">Budování neveřejné infrastruktury (gesce MPO) </w:t>
      </w:r>
    </w:p>
    <w:p w:rsidR="00C21E49" w:rsidRPr="00E16981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</w:rPr>
      </w:pPr>
      <w:r w:rsidRPr="00E16981">
        <w:rPr>
          <w:iCs/>
          <w:sz w:val="23"/>
          <w:szCs w:val="23"/>
        </w:rPr>
        <w:t xml:space="preserve">Budování dobíjecích bodů pro obytné budovy (gesce MMR) </w:t>
      </w:r>
    </w:p>
    <w:p w:rsidR="00C21E49" w:rsidRPr="00E16981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</w:rPr>
      </w:pPr>
      <w:r w:rsidRPr="00E16981">
        <w:rPr>
          <w:iCs/>
          <w:sz w:val="23"/>
          <w:szCs w:val="23"/>
        </w:rPr>
        <w:t>Budování dobíjecí infrastruktury územními samosprávnými celky (kromě Prahy) a</w:t>
      </w:r>
      <w:r w:rsidR="00741E3B">
        <w:rPr>
          <w:iCs/>
          <w:sz w:val="23"/>
          <w:szCs w:val="23"/>
        </w:rPr>
        <w:t> </w:t>
      </w:r>
      <w:r w:rsidRPr="00E16981">
        <w:rPr>
          <w:iCs/>
          <w:sz w:val="23"/>
          <w:szCs w:val="23"/>
        </w:rPr>
        <w:t xml:space="preserve">jimi zřízenými organizacemi (gesce MMR) </w:t>
      </w:r>
    </w:p>
    <w:p w:rsidR="00C21E49" w:rsidRPr="00E16981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</w:rPr>
      </w:pPr>
    </w:p>
    <w:p w:rsidR="00C21E49" w:rsidRPr="00654BC3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  <w:u w:val="single"/>
        </w:rPr>
      </w:pPr>
      <w:bookmarkStart w:id="2" w:name="_Hlk58312500"/>
      <w:r w:rsidRPr="00654BC3">
        <w:rPr>
          <w:iCs/>
          <w:sz w:val="23"/>
          <w:szCs w:val="23"/>
          <w:u w:val="single"/>
        </w:rPr>
        <w:t xml:space="preserve">2. Podpora nákupu vozidel </w:t>
      </w:r>
    </w:p>
    <w:bookmarkEnd w:id="2"/>
    <w:p w:rsidR="00C21E49" w:rsidRPr="00E16981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</w:rPr>
      </w:pPr>
      <w:r w:rsidRPr="00E16981">
        <w:rPr>
          <w:iCs/>
          <w:sz w:val="23"/>
          <w:szCs w:val="23"/>
        </w:rPr>
        <w:t>Vozidla (el, H2, CNG/LNG) pro podnikatelské subjekty včetně e-</w:t>
      </w:r>
      <w:proofErr w:type="spellStart"/>
      <w:r w:rsidRPr="00E16981">
        <w:rPr>
          <w:iCs/>
          <w:sz w:val="23"/>
          <w:szCs w:val="23"/>
        </w:rPr>
        <w:t>cargokol</w:t>
      </w:r>
      <w:proofErr w:type="spellEnd"/>
      <w:r w:rsidRPr="00E16981">
        <w:rPr>
          <w:iCs/>
          <w:sz w:val="23"/>
          <w:szCs w:val="23"/>
        </w:rPr>
        <w:t xml:space="preserve"> (gesce MPO) </w:t>
      </w:r>
    </w:p>
    <w:p w:rsidR="00C21E49" w:rsidRPr="00E16981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</w:rPr>
      </w:pPr>
      <w:r w:rsidRPr="00E16981">
        <w:rPr>
          <w:iCs/>
          <w:sz w:val="23"/>
          <w:szCs w:val="23"/>
        </w:rPr>
        <w:t xml:space="preserve">Vozidla (el, H2, CNG/LNG) pro obce, kraje, státní správu (gesce MŽP) </w:t>
      </w:r>
    </w:p>
    <w:p w:rsidR="00C21E49" w:rsidRPr="00E16981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</w:rPr>
      </w:pPr>
      <w:r w:rsidRPr="00E16981">
        <w:rPr>
          <w:iCs/>
          <w:sz w:val="23"/>
          <w:szCs w:val="23"/>
        </w:rPr>
        <w:t>Vozidla ((</w:t>
      </w:r>
      <w:proofErr w:type="spellStart"/>
      <w:r w:rsidRPr="00E16981">
        <w:rPr>
          <w:iCs/>
          <w:sz w:val="23"/>
          <w:szCs w:val="23"/>
        </w:rPr>
        <w:t>elektrobusy</w:t>
      </w:r>
      <w:proofErr w:type="spellEnd"/>
      <w:r w:rsidRPr="00E16981">
        <w:rPr>
          <w:iCs/>
          <w:sz w:val="23"/>
          <w:szCs w:val="23"/>
        </w:rPr>
        <w:t>, hybridní autobusy) pro veřejnou hromadnou dopravu v</w:t>
      </w:r>
      <w:r w:rsidR="00741E3B">
        <w:rPr>
          <w:iCs/>
          <w:sz w:val="23"/>
          <w:szCs w:val="23"/>
        </w:rPr>
        <w:t> </w:t>
      </w:r>
      <w:r w:rsidRPr="00E16981">
        <w:rPr>
          <w:iCs/>
          <w:sz w:val="23"/>
          <w:szCs w:val="23"/>
        </w:rPr>
        <w:t xml:space="preserve">Hlavním městě Praha (gesce Magistrát Hl. města Prahy) </w:t>
      </w:r>
    </w:p>
    <w:p w:rsidR="00C21E49" w:rsidRPr="00E16981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</w:rPr>
      </w:pPr>
      <w:r w:rsidRPr="00E16981">
        <w:rPr>
          <w:iCs/>
          <w:sz w:val="23"/>
          <w:szCs w:val="23"/>
        </w:rPr>
        <w:t xml:space="preserve">Železniční (kolejová) vozidla na alternativní pohon (gesce MD) </w:t>
      </w:r>
    </w:p>
    <w:p w:rsidR="00C21E49" w:rsidRPr="00E16981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</w:rPr>
      </w:pPr>
      <w:r w:rsidRPr="00E16981">
        <w:rPr>
          <w:iCs/>
          <w:sz w:val="23"/>
          <w:szCs w:val="23"/>
        </w:rPr>
        <w:t>Říční plavidla na alternativní pohon (gesce MD)</w:t>
      </w:r>
    </w:p>
    <w:p w:rsidR="00C21E49" w:rsidRPr="00E16981" w:rsidRDefault="00C21E49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3"/>
          <w:szCs w:val="23"/>
        </w:rPr>
      </w:pPr>
    </w:p>
    <w:p w:rsidR="0055690D" w:rsidRDefault="0055690D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iCs/>
          <w:sz w:val="23"/>
          <w:szCs w:val="23"/>
        </w:rPr>
      </w:pPr>
      <w:bookmarkStart w:id="3" w:name="_Hlk58311783"/>
      <w:r w:rsidRPr="00654BC3">
        <w:rPr>
          <w:iCs/>
          <w:sz w:val="23"/>
          <w:szCs w:val="23"/>
          <w:u w:val="single"/>
        </w:rPr>
        <w:t xml:space="preserve">3. Investiční podpora výroby </w:t>
      </w:r>
      <w:r w:rsidR="00415985">
        <w:rPr>
          <w:iCs/>
          <w:sz w:val="23"/>
          <w:szCs w:val="23"/>
          <w:u w:val="single"/>
        </w:rPr>
        <w:t xml:space="preserve">a využití </w:t>
      </w:r>
      <w:proofErr w:type="spellStart"/>
      <w:r w:rsidRPr="00654BC3">
        <w:rPr>
          <w:iCs/>
          <w:sz w:val="23"/>
          <w:szCs w:val="23"/>
          <w:u w:val="single"/>
        </w:rPr>
        <w:t>bioCNG</w:t>
      </w:r>
      <w:proofErr w:type="spellEnd"/>
      <w:r w:rsidRPr="00215D05">
        <w:rPr>
          <w:iCs/>
          <w:sz w:val="23"/>
          <w:szCs w:val="23"/>
        </w:rPr>
        <w:t xml:space="preserve"> </w:t>
      </w:r>
    </w:p>
    <w:p w:rsidR="00A1242E" w:rsidRDefault="00E27FD7" w:rsidP="00950A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iCs/>
          <w:sz w:val="23"/>
          <w:szCs w:val="23"/>
        </w:rPr>
      </w:pPr>
      <w:r>
        <w:rPr>
          <w:iCs/>
          <w:sz w:val="23"/>
          <w:szCs w:val="23"/>
        </w:rPr>
        <w:t>V</w:t>
      </w:r>
      <w:r w:rsidRPr="00215D05">
        <w:rPr>
          <w:iCs/>
          <w:sz w:val="23"/>
          <w:szCs w:val="23"/>
        </w:rPr>
        <w:t>ýstavba/přestavb</w:t>
      </w:r>
      <w:r>
        <w:rPr>
          <w:iCs/>
          <w:sz w:val="23"/>
          <w:szCs w:val="23"/>
        </w:rPr>
        <w:t>a</w:t>
      </w:r>
      <w:r w:rsidRPr="00215D05">
        <w:rPr>
          <w:iCs/>
          <w:sz w:val="23"/>
          <w:szCs w:val="23"/>
        </w:rPr>
        <w:t xml:space="preserve"> minimálně </w:t>
      </w:r>
      <w:r w:rsidR="00215D05" w:rsidRPr="00215D05">
        <w:rPr>
          <w:iCs/>
          <w:sz w:val="23"/>
          <w:szCs w:val="23"/>
        </w:rPr>
        <w:t xml:space="preserve">10 </w:t>
      </w:r>
      <w:proofErr w:type="spellStart"/>
      <w:r w:rsidR="00215D05" w:rsidRPr="00215D05">
        <w:rPr>
          <w:iCs/>
          <w:sz w:val="23"/>
          <w:szCs w:val="23"/>
        </w:rPr>
        <w:t>biometanových</w:t>
      </w:r>
      <w:proofErr w:type="spellEnd"/>
      <w:r w:rsidR="00215D05" w:rsidRPr="00215D05">
        <w:rPr>
          <w:iCs/>
          <w:sz w:val="23"/>
          <w:szCs w:val="23"/>
        </w:rPr>
        <w:t xml:space="preserve"> stanic</w:t>
      </w:r>
      <w:r w:rsidR="00B7463C">
        <w:rPr>
          <w:iCs/>
          <w:sz w:val="23"/>
          <w:szCs w:val="23"/>
        </w:rPr>
        <w:t xml:space="preserve"> (gesce MPO)</w:t>
      </w:r>
    </w:p>
    <w:p w:rsidR="00F30ADD" w:rsidRDefault="00F30ADD" w:rsidP="00C11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  <w:highlight w:val="yellow"/>
        </w:rPr>
      </w:pPr>
    </w:p>
    <w:p w:rsidR="00E7147F" w:rsidRDefault="00F054D8" w:rsidP="00E714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proofErr w:type="spellStart"/>
      <w:r w:rsidRPr="00F30ADD">
        <w:rPr>
          <w:b/>
          <w:sz w:val="23"/>
          <w:szCs w:val="23"/>
        </w:rPr>
        <w:t>Flagship</w:t>
      </w:r>
      <w:proofErr w:type="spellEnd"/>
      <w:r w:rsidRPr="00F30ADD">
        <w:rPr>
          <w:b/>
          <w:sz w:val="23"/>
          <w:szCs w:val="23"/>
        </w:rPr>
        <w:t xml:space="preserve">: </w:t>
      </w:r>
      <w:proofErr w:type="spellStart"/>
      <w:r w:rsidRPr="00F30ADD">
        <w:rPr>
          <w:b/>
          <w:sz w:val="23"/>
          <w:szCs w:val="23"/>
        </w:rPr>
        <w:t>Recharge</w:t>
      </w:r>
      <w:proofErr w:type="spellEnd"/>
      <w:r w:rsidRPr="00F30ADD">
        <w:rPr>
          <w:b/>
          <w:sz w:val="23"/>
          <w:szCs w:val="23"/>
        </w:rPr>
        <w:t xml:space="preserve"> and </w:t>
      </w:r>
      <w:proofErr w:type="spellStart"/>
      <w:r w:rsidRPr="00F30ADD">
        <w:rPr>
          <w:b/>
          <w:sz w:val="23"/>
          <w:szCs w:val="23"/>
        </w:rPr>
        <w:t>refuel</w:t>
      </w:r>
      <w:proofErr w:type="spellEnd"/>
      <w:r w:rsidRPr="00F30ADD">
        <w:rPr>
          <w:sz w:val="23"/>
          <w:szCs w:val="23"/>
        </w:rPr>
        <w:t xml:space="preserve">. Komponenta </w:t>
      </w:r>
      <w:r w:rsidR="00F30ADD" w:rsidRPr="00F30ADD">
        <w:rPr>
          <w:sz w:val="23"/>
          <w:szCs w:val="23"/>
        </w:rPr>
        <w:t xml:space="preserve">váže </w:t>
      </w:r>
      <w:r w:rsidRPr="00F30ADD">
        <w:rPr>
          <w:sz w:val="23"/>
          <w:szCs w:val="23"/>
        </w:rPr>
        <w:t xml:space="preserve">mj. </w:t>
      </w:r>
      <w:r w:rsidR="00F30ADD" w:rsidRPr="00F30ADD">
        <w:rPr>
          <w:sz w:val="23"/>
          <w:szCs w:val="23"/>
        </w:rPr>
        <w:t xml:space="preserve">na </w:t>
      </w:r>
      <w:r w:rsidRPr="00F30ADD">
        <w:rPr>
          <w:sz w:val="23"/>
          <w:szCs w:val="23"/>
        </w:rPr>
        <w:t>vlajkov</w:t>
      </w:r>
      <w:r w:rsidR="00F30ADD" w:rsidRPr="00F30ADD">
        <w:rPr>
          <w:sz w:val="23"/>
          <w:szCs w:val="23"/>
        </w:rPr>
        <w:t>ou</w:t>
      </w:r>
      <w:r w:rsidRPr="00F30ADD">
        <w:rPr>
          <w:sz w:val="23"/>
          <w:szCs w:val="23"/>
        </w:rPr>
        <w:t xml:space="preserve"> iniciativ</w:t>
      </w:r>
      <w:r w:rsidR="00F30ADD" w:rsidRPr="00F30ADD">
        <w:rPr>
          <w:sz w:val="23"/>
          <w:szCs w:val="23"/>
        </w:rPr>
        <w:t>u</w:t>
      </w:r>
      <w:r w:rsidRPr="00F30ADD">
        <w:rPr>
          <w:sz w:val="23"/>
          <w:szCs w:val="23"/>
        </w:rPr>
        <w:t xml:space="preserve"> „</w:t>
      </w:r>
      <w:r w:rsidR="00F30ADD" w:rsidRPr="00F30ADD">
        <w:rPr>
          <w:sz w:val="23"/>
          <w:szCs w:val="23"/>
        </w:rPr>
        <w:t>Dobíjet a doplňovat palivo</w:t>
      </w:r>
      <w:r w:rsidRPr="00F30ADD">
        <w:rPr>
          <w:sz w:val="23"/>
          <w:szCs w:val="23"/>
        </w:rPr>
        <w:t>“</w:t>
      </w:r>
      <w:r w:rsidR="00F30ADD" w:rsidRPr="00F30ADD">
        <w:rPr>
          <w:sz w:val="23"/>
          <w:szCs w:val="23"/>
        </w:rPr>
        <w:t xml:space="preserve"> </w:t>
      </w:r>
      <w:r w:rsidRPr="00F30ADD">
        <w:rPr>
          <w:sz w:val="23"/>
          <w:szCs w:val="23"/>
        </w:rPr>
        <w:t xml:space="preserve">s cílem </w:t>
      </w:r>
      <w:r w:rsidR="00F30ADD" w:rsidRPr="00F30ADD">
        <w:rPr>
          <w:sz w:val="23"/>
          <w:szCs w:val="23"/>
        </w:rPr>
        <w:t xml:space="preserve">zvýšit počet dobíjecích a plnicích stanic pro alternativní paliva a vozidel s nulovými a nízkými emisemi, </w:t>
      </w:r>
      <w:r w:rsidRPr="00F30ADD">
        <w:rPr>
          <w:sz w:val="23"/>
          <w:szCs w:val="23"/>
        </w:rPr>
        <w:t xml:space="preserve">zrychlit využívání udržitelné, přístupné a inteligentní dopravy a podpořit rozvoj </w:t>
      </w:r>
      <w:r w:rsidR="00F30ADD" w:rsidRPr="00F30ADD">
        <w:rPr>
          <w:sz w:val="23"/>
          <w:szCs w:val="23"/>
        </w:rPr>
        <w:t xml:space="preserve">čistší, </w:t>
      </w:r>
      <w:r w:rsidRPr="00F30ADD">
        <w:rPr>
          <w:sz w:val="23"/>
          <w:szCs w:val="23"/>
        </w:rPr>
        <w:t>silnější a rozsáhlejší veřejné dopravy.</w:t>
      </w:r>
      <w:bookmarkEnd w:id="3"/>
    </w:p>
    <w:p w:rsidR="00E7147F" w:rsidRDefault="00E7147F" w:rsidP="00E714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K-TextChar"/>
          <w:b/>
        </w:rPr>
      </w:pPr>
    </w:p>
    <w:p w:rsidR="002E19BA" w:rsidRPr="00E16981" w:rsidRDefault="00EF374D" w:rsidP="00E7147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K-TextInfoChar"/>
        </w:rPr>
      </w:pPr>
      <w:r w:rsidRPr="00E16981">
        <w:rPr>
          <w:rStyle w:val="K-TextChar"/>
          <w:b/>
        </w:rPr>
        <w:t>Odhadované náklad</w:t>
      </w:r>
      <w:r w:rsidR="00A87B13" w:rsidRPr="00E16981">
        <w:rPr>
          <w:rStyle w:val="K-TextChar"/>
          <w:b/>
        </w:rPr>
        <w:t>y</w:t>
      </w:r>
      <w:r w:rsidR="002C20CF" w:rsidRPr="00E16981">
        <w:rPr>
          <w:rStyle w:val="K-TextChar"/>
          <w:b/>
        </w:rPr>
        <w:t xml:space="preserve"> </w:t>
      </w:r>
    </w:p>
    <w:p w:rsidR="00A77CF4" w:rsidRDefault="00C21E49" w:rsidP="00EF48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 w:rsidRPr="00E16981">
        <w:rPr>
          <w:color w:val="auto"/>
          <w:sz w:val="23"/>
          <w:szCs w:val="23"/>
        </w:rPr>
        <w:t xml:space="preserve">Celkové alokované prostředky </w:t>
      </w:r>
      <w:r w:rsidR="001B3E8E">
        <w:rPr>
          <w:color w:val="auto"/>
          <w:sz w:val="23"/>
          <w:szCs w:val="23"/>
        </w:rPr>
        <w:t xml:space="preserve">na komponentu </w:t>
      </w:r>
      <w:r w:rsidRPr="00E16981">
        <w:rPr>
          <w:color w:val="auto"/>
          <w:sz w:val="23"/>
          <w:szCs w:val="23"/>
        </w:rPr>
        <w:t>v</w:t>
      </w:r>
      <w:r w:rsidR="00741E3B">
        <w:rPr>
          <w:color w:val="auto"/>
          <w:sz w:val="23"/>
          <w:szCs w:val="23"/>
        </w:rPr>
        <w:t> </w:t>
      </w:r>
      <w:r w:rsidRPr="00E16981">
        <w:rPr>
          <w:color w:val="auto"/>
          <w:sz w:val="23"/>
          <w:szCs w:val="23"/>
        </w:rPr>
        <w:t xml:space="preserve">NPO činí 9,44 mld. Kč. </w:t>
      </w:r>
    </w:p>
    <w:p w:rsidR="0023011C" w:rsidRPr="0023011C" w:rsidRDefault="0023011C" w:rsidP="00EF48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 w:rsidRPr="0023011C">
        <w:rPr>
          <w:color w:val="auto"/>
          <w:sz w:val="23"/>
          <w:szCs w:val="23"/>
        </w:rPr>
        <w:t xml:space="preserve">Celkové investiční výdaje na komponentu lze odhadnout na úrovni </w:t>
      </w:r>
      <w:r>
        <w:rPr>
          <w:color w:val="auto"/>
          <w:sz w:val="23"/>
          <w:szCs w:val="23"/>
        </w:rPr>
        <w:t>9,44</w:t>
      </w:r>
      <w:r w:rsidRPr="0023011C">
        <w:rPr>
          <w:color w:val="auto"/>
          <w:sz w:val="23"/>
          <w:szCs w:val="23"/>
        </w:rPr>
        <w:t xml:space="preserve"> mld. Kč. </w:t>
      </w:r>
    </w:p>
    <w:p w:rsidR="0023011C" w:rsidRDefault="0023011C" w:rsidP="00EF48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 w:rsidRPr="0023011C">
        <w:rPr>
          <w:color w:val="auto"/>
          <w:sz w:val="23"/>
          <w:szCs w:val="23"/>
        </w:rPr>
        <w:t xml:space="preserve">Veškeré projekty budou </w:t>
      </w:r>
      <w:proofErr w:type="spellStart"/>
      <w:r w:rsidRPr="0023011C">
        <w:rPr>
          <w:color w:val="auto"/>
          <w:sz w:val="23"/>
          <w:szCs w:val="23"/>
        </w:rPr>
        <w:t>zasmluvněny</w:t>
      </w:r>
      <w:proofErr w:type="spellEnd"/>
      <w:r w:rsidRPr="0023011C">
        <w:rPr>
          <w:color w:val="auto"/>
          <w:sz w:val="23"/>
          <w:szCs w:val="23"/>
        </w:rPr>
        <w:t xml:space="preserve"> nejpozději ve </w:t>
      </w:r>
      <w:r>
        <w:rPr>
          <w:color w:val="auto"/>
          <w:sz w:val="23"/>
          <w:szCs w:val="23"/>
        </w:rPr>
        <w:t>4</w:t>
      </w:r>
      <w:r w:rsidRPr="0023011C">
        <w:rPr>
          <w:color w:val="auto"/>
          <w:sz w:val="23"/>
          <w:szCs w:val="23"/>
        </w:rPr>
        <w:t>Q202</w:t>
      </w:r>
      <w:r>
        <w:rPr>
          <w:color w:val="auto"/>
          <w:sz w:val="23"/>
          <w:szCs w:val="23"/>
        </w:rPr>
        <w:t>3</w:t>
      </w:r>
      <w:r w:rsidRPr="0023011C">
        <w:rPr>
          <w:color w:val="auto"/>
          <w:sz w:val="23"/>
          <w:szCs w:val="23"/>
        </w:rPr>
        <w:t>.</w:t>
      </w:r>
    </w:p>
    <w:p w:rsidR="00C11681" w:rsidRDefault="00C11681" w:rsidP="00EF48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b/>
          <w:bCs/>
          <w:shd w:val="clear" w:color="auto" w:fill="FFFFFF"/>
        </w:rPr>
      </w:pPr>
    </w:p>
    <w:p w:rsidR="0023011C" w:rsidRPr="00E16981" w:rsidRDefault="00F01755" w:rsidP="00EF48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rStyle w:val="normaltextrun"/>
          <w:b/>
          <w:bCs/>
          <w:shd w:val="clear" w:color="auto" w:fill="FFFFFF"/>
        </w:rPr>
        <w:t>Další popis komponenty</w:t>
      </w:r>
      <w:r>
        <w:rPr>
          <w:rStyle w:val="eop"/>
          <w:b/>
          <w:bCs/>
          <w:shd w:val="clear" w:color="auto" w:fill="FFFFFF"/>
        </w:rPr>
        <w:t> </w:t>
      </w:r>
    </w:p>
    <w:p w:rsidR="00F5407D" w:rsidRDefault="00F5407D" w:rsidP="00EF48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K-TextChar"/>
          <w:bCs/>
          <w:highlight w:val="yellow"/>
        </w:rPr>
      </w:pPr>
    </w:p>
    <w:p w:rsidR="00F5407D" w:rsidRDefault="00F0298B" w:rsidP="00A844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K-TextChar"/>
          <w:bCs/>
          <w:highlight w:val="yellow"/>
        </w:rPr>
      </w:pPr>
      <w:r w:rsidRPr="00FC0513">
        <w:rPr>
          <w:bCs/>
          <w:iCs/>
          <w:sz w:val="23"/>
          <w:szCs w:val="23"/>
        </w:rPr>
        <w:t xml:space="preserve">Komponenta počítá s podporou zaměřenou na budování infrastruktury dobíjecích a plnících stanic a pořízení </w:t>
      </w:r>
      <w:proofErr w:type="spellStart"/>
      <w:r w:rsidRPr="00FC0513">
        <w:rPr>
          <w:bCs/>
          <w:iCs/>
          <w:sz w:val="23"/>
          <w:szCs w:val="23"/>
        </w:rPr>
        <w:t>nízkoemisních</w:t>
      </w:r>
      <w:proofErr w:type="spellEnd"/>
      <w:r w:rsidRPr="00FC0513">
        <w:rPr>
          <w:bCs/>
          <w:iCs/>
          <w:sz w:val="23"/>
          <w:szCs w:val="23"/>
        </w:rPr>
        <w:t xml:space="preserve"> a bezemisních vozidel na alternativní paliva.</w:t>
      </w:r>
    </w:p>
    <w:p w:rsidR="00F5407D" w:rsidRDefault="00F5407D" w:rsidP="00EF48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K-TextChar"/>
          <w:bCs/>
          <w:highlight w:val="yellow"/>
        </w:rPr>
      </w:pPr>
    </w:p>
    <w:p w:rsidR="00984EFC" w:rsidRPr="00E16981" w:rsidRDefault="00984EFC" w:rsidP="00A1242E">
      <w:pPr>
        <w:pStyle w:val="K-Text"/>
      </w:pPr>
    </w:p>
    <w:p w:rsidR="002C20CF" w:rsidRPr="00506CE5" w:rsidRDefault="002C20CF" w:rsidP="00F177FD">
      <w:pPr>
        <w:pStyle w:val="K-Text"/>
        <w:keepNext/>
        <w:rPr>
          <w:sz w:val="28"/>
          <w:szCs w:val="28"/>
        </w:rPr>
      </w:pPr>
      <w:r w:rsidRPr="00D02748">
        <w:rPr>
          <w:b/>
          <w:sz w:val="28"/>
          <w:szCs w:val="28"/>
        </w:rPr>
        <w:t xml:space="preserve">2. </w:t>
      </w:r>
      <w:r w:rsidR="00EF374D" w:rsidRPr="00506CE5">
        <w:rPr>
          <w:rStyle w:val="K-Nadpis2Char"/>
        </w:rPr>
        <w:t>Hlavní výzvy a</w:t>
      </w:r>
      <w:r w:rsidR="00741E3B">
        <w:rPr>
          <w:rStyle w:val="K-Nadpis2Char"/>
        </w:rPr>
        <w:t> </w:t>
      </w:r>
      <w:r w:rsidR="00EF374D" w:rsidRPr="00506CE5">
        <w:rPr>
          <w:rStyle w:val="K-Nadpis2Char"/>
        </w:rPr>
        <w:t>cíle</w:t>
      </w:r>
    </w:p>
    <w:p w:rsidR="002C20CF" w:rsidRPr="00E16981" w:rsidRDefault="002C20CF" w:rsidP="00A1242E">
      <w:pPr>
        <w:pStyle w:val="Default"/>
        <w:spacing w:after="120" w:line="293" w:lineRule="auto"/>
        <w:jc w:val="both"/>
        <w:rPr>
          <w:b/>
          <w:sz w:val="23"/>
          <w:szCs w:val="23"/>
        </w:rPr>
      </w:pPr>
      <w:r w:rsidRPr="00E16981">
        <w:rPr>
          <w:rStyle w:val="K-Nadpis3Char"/>
          <w:sz w:val="23"/>
        </w:rPr>
        <w:t xml:space="preserve">a) </w:t>
      </w:r>
      <w:r w:rsidR="00EF374D" w:rsidRPr="00E16981">
        <w:rPr>
          <w:rStyle w:val="K-Nadpis3Char"/>
          <w:sz w:val="23"/>
        </w:rPr>
        <w:t>Hlavní výzvy</w:t>
      </w:r>
    </w:p>
    <w:p w:rsidR="003A6DFC" w:rsidRDefault="003A6DFC" w:rsidP="00B10466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Hlavní výzvou je </w:t>
      </w:r>
      <w:r w:rsidRPr="00E16981">
        <w:rPr>
          <w:rFonts w:ascii="Times New Roman" w:hAnsi="Times New Roman" w:cs="Times New Roman"/>
          <w:sz w:val="23"/>
          <w:szCs w:val="23"/>
        </w:rPr>
        <w:t>učini</w:t>
      </w:r>
      <w:r>
        <w:rPr>
          <w:rFonts w:ascii="Times New Roman" w:hAnsi="Times New Roman" w:cs="Times New Roman"/>
          <w:sz w:val="23"/>
          <w:szCs w:val="23"/>
        </w:rPr>
        <w:t>t</w:t>
      </w:r>
      <w:r w:rsidRPr="00E16981">
        <w:rPr>
          <w:rFonts w:ascii="Times New Roman" w:hAnsi="Times New Roman" w:cs="Times New Roman"/>
          <w:sz w:val="23"/>
          <w:szCs w:val="23"/>
        </w:rPr>
        <w:t xml:space="preserve"> mobilitu udržitelnou, dostupnou více lidem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integrova</w:t>
      </w:r>
      <w:r>
        <w:rPr>
          <w:rFonts w:ascii="Times New Roman" w:hAnsi="Times New Roman" w:cs="Times New Roman"/>
          <w:sz w:val="23"/>
          <w:szCs w:val="23"/>
        </w:rPr>
        <w:t>t</w:t>
      </w:r>
      <w:r w:rsidRPr="00E16981">
        <w:rPr>
          <w:rFonts w:ascii="Times New Roman" w:hAnsi="Times New Roman" w:cs="Times New Roman"/>
          <w:sz w:val="23"/>
          <w:szCs w:val="23"/>
        </w:rPr>
        <w:t xml:space="preserve"> ji do multimodálního ekosystému ke zvýšení celkové efektivity.</w:t>
      </w:r>
    </w:p>
    <w:p w:rsidR="003A6DFC" w:rsidRPr="00E16981" w:rsidRDefault="003A6DFC" w:rsidP="00B10466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t>Za nejvýraznější změnu kontextu rozvoje čisté mobilit</w:t>
      </w:r>
      <w:r>
        <w:rPr>
          <w:rFonts w:ascii="Times New Roman" w:hAnsi="Times New Roman" w:cs="Times New Roman"/>
          <w:sz w:val="23"/>
          <w:szCs w:val="23"/>
        </w:rPr>
        <w:t>y</w:t>
      </w:r>
      <w:r w:rsidRPr="00E16981">
        <w:rPr>
          <w:rFonts w:ascii="Times New Roman" w:hAnsi="Times New Roman" w:cs="Times New Roman"/>
          <w:sz w:val="23"/>
          <w:szCs w:val="23"/>
        </w:rPr>
        <w:t xml:space="preserve"> lze považovat přijetí tzv. Pařížské dohody o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změně klimatu. 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této dohodě se signatářské země zavázaly udržet nárůst globální průměrné teploty výrazně pod hranicí 2 °C oproti hodnotám před průmyslovou revolucí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vyvinout úsilí o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 xml:space="preserve">to, aby nárůst teploty nepřekročil hranici 1,5 °C oproti hodnotám před průmyslovou revolucí. </w:t>
      </w:r>
    </w:p>
    <w:p w:rsidR="003A6DFC" w:rsidRPr="00E16981" w:rsidRDefault="003A6DFC" w:rsidP="00B10466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t>Na úrovni Evropské unie je přitom velká snaha tento závazek nejen splnit, ale být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této oblasti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jedním z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„tahounů“ celého procesu. Tomu odpovídá celá řada přijatých strategických dokumentů Evropské komise, z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nichž tím nejaktuálnějším je Sdělení Komise „Čistá planeta: Evropská dlouhodobá vize prosperující, moderní, konkurenceschopné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klimaticky neutrální ekonomiky“ zdůrazňující potřebu dosáhnout do roku 2050 tzv. klimatické neutrality. Současně Komise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tomto dokumentu připouští, že elektrifikace za použití obnovitelných zdrojů energie sama o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sobě není jediným řešením pro všechny druhy dopravy.</w:t>
      </w:r>
    </w:p>
    <w:p w:rsidR="003A6DFC" w:rsidRPr="00E16981" w:rsidRDefault="003A6DFC" w:rsidP="00804931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t>V návaznosti na výše uvedený mezinárodní smluvní závazek bylo na úrovni EU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posledních letech přijato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několik nových právních předpisů, které do budoucna zásadním způsobem ovlivní směřování čisté mobility. Jde zejména o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dvě nová nařízení, která stanoví značně ambiciózní výkonnostní emisní normy CO</w:t>
      </w:r>
      <w:r w:rsidRPr="00E16981">
        <w:rPr>
          <w:rFonts w:ascii="Times New Roman" w:hAnsi="Times New Roman" w:cs="Times New Roman"/>
          <w:sz w:val="23"/>
          <w:szCs w:val="23"/>
          <w:vertAlign w:val="subscript"/>
        </w:rPr>
        <w:t>2</w:t>
      </w:r>
      <w:r w:rsidRPr="00E16981">
        <w:rPr>
          <w:rFonts w:ascii="Times New Roman" w:hAnsi="Times New Roman" w:cs="Times New Roman"/>
          <w:sz w:val="23"/>
          <w:szCs w:val="23"/>
        </w:rPr>
        <w:t xml:space="preserve"> pro nové osobní automobily, lehká užitková vozidla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nově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těžká vozidla po roce 2020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revizi směrnice 2009/33/ES o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 xml:space="preserve">čistých vozidlech. Oblast </w:t>
      </w:r>
      <w:proofErr w:type="spellStart"/>
      <w:r w:rsidRPr="00E16981">
        <w:rPr>
          <w:rFonts w:ascii="Times New Roman" w:hAnsi="Times New Roman" w:cs="Times New Roman"/>
          <w:sz w:val="23"/>
          <w:szCs w:val="23"/>
        </w:rPr>
        <w:t>elektromobility</w:t>
      </w:r>
      <w:proofErr w:type="spellEnd"/>
      <w:r w:rsidRPr="00E16981">
        <w:rPr>
          <w:rFonts w:ascii="Times New Roman" w:hAnsi="Times New Roman" w:cs="Times New Roman"/>
          <w:sz w:val="23"/>
          <w:szCs w:val="23"/>
        </w:rPr>
        <w:t xml:space="preserve"> bude vedle toho do budoucna nově ovlivňovat regulace přijatá jako součást revize směrnice 2010/31/EU o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 xml:space="preserve">energetické náročnosti budov. </w:t>
      </w:r>
    </w:p>
    <w:p w:rsidR="003A6DFC" w:rsidRPr="00E16981" w:rsidRDefault="003A6DFC" w:rsidP="00804931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Hlavní výzvou je rovněž </w:t>
      </w:r>
      <w:r w:rsidRPr="00E16981">
        <w:rPr>
          <w:rFonts w:ascii="Times New Roman" w:hAnsi="Times New Roman" w:cs="Times New Roman"/>
          <w:sz w:val="23"/>
          <w:szCs w:val="23"/>
        </w:rPr>
        <w:t>sdělení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16981">
        <w:rPr>
          <w:rFonts w:ascii="Times New Roman" w:hAnsi="Times New Roman" w:cs="Times New Roman"/>
          <w:sz w:val="23"/>
          <w:szCs w:val="23"/>
        </w:rPr>
        <w:t xml:space="preserve">European Green Deal, které </w:t>
      </w:r>
      <w:r w:rsidRPr="003A6DFC">
        <w:rPr>
          <w:rFonts w:ascii="Times New Roman" w:hAnsi="Times New Roman" w:cs="Times New Roman"/>
          <w:sz w:val="23"/>
          <w:szCs w:val="23"/>
        </w:rPr>
        <w:t xml:space="preserve">vydala EK </w:t>
      </w:r>
      <w:r>
        <w:rPr>
          <w:rFonts w:ascii="Times New Roman" w:hAnsi="Times New Roman" w:cs="Times New Roman"/>
          <w:sz w:val="23"/>
          <w:szCs w:val="23"/>
        </w:rPr>
        <w:t xml:space="preserve">v </w:t>
      </w:r>
      <w:r w:rsidRPr="003A6DFC">
        <w:rPr>
          <w:rFonts w:ascii="Times New Roman" w:hAnsi="Times New Roman" w:cs="Times New Roman"/>
          <w:sz w:val="23"/>
          <w:szCs w:val="23"/>
        </w:rPr>
        <w:t xml:space="preserve">roce </w:t>
      </w:r>
      <w:proofErr w:type="gramStart"/>
      <w:r w:rsidRPr="003A6DFC">
        <w:rPr>
          <w:rFonts w:ascii="Times New Roman" w:hAnsi="Times New Roman" w:cs="Times New Roman"/>
          <w:sz w:val="23"/>
          <w:szCs w:val="23"/>
        </w:rPr>
        <w:t xml:space="preserve">2019  </w:t>
      </w:r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které</w:t>
      </w:r>
      <w:r w:rsidRPr="00E16981">
        <w:rPr>
          <w:rFonts w:ascii="Times New Roman" w:hAnsi="Times New Roman" w:cs="Times New Roman"/>
          <w:sz w:val="23"/>
          <w:szCs w:val="23"/>
        </w:rPr>
        <w:t xml:space="preserve"> také ovlivní další vývoj čisté mobility. Jde o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komplexní dokument popisující potřebné politiky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opatření k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dosažení cíle klimatické neutrality EU do r. 2050. EK hodlá do léta 2020 navrhnout zpřísnění unijního cíle pro snížení emisí skleníkových plynů do r. 2030 (oproti r. 1990) ze stávajících -40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16981">
        <w:rPr>
          <w:rFonts w:ascii="Times New Roman" w:hAnsi="Times New Roman" w:cs="Times New Roman"/>
          <w:sz w:val="23"/>
          <w:szCs w:val="23"/>
        </w:rPr>
        <w:t>% na -50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16981">
        <w:rPr>
          <w:rFonts w:ascii="Times New Roman" w:hAnsi="Times New Roman" w:cs="Times New Roman"/>
          <w:sz w:val="23"/>
          <w:szCs w:val="23"/>
        </w:rPr>
        <w:t>% až -55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16981">
        <w:rPr>
          <w:rFonts w:ascii="Times New Roman" w:hAnsi="Times New Roman" w:cs="Times New Roman"/>
          <w:sz w:val="23"/>
          <w:szCs w:val="23"/>
        </w:rPr>
        <w:t>%.</w:t>
      </w:r>
    </w:p>
    <w:p w:rsidR="003A6DFC" w:rsidRPr="00E43F0A" w:rsidRDefault="003A6DFC" w:rsidP="00804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t>Podporu čisté mobility je třeba vnímat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v souvislosti s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 xml:space="preserve">naplňováním </w:t>
      </w:r>
      <w:r>
        <w:rPr>
          <w:rFonts w:ascii="Times New Roman" w:hAnsi="Times New Roman" w:cs="Times New Roman"/>
          <w:sz w:val="23"/>
          <w:szCs w:val="23"/>
        </w:rPr>
        <w:t>v</w:t>
      </w:r>
      <w:r w:rsidRPr="00E16981">
        <w:rPr>
          <w:rFonts w:ascii="Times New Roman" w:hAnsi="Times New Roman" w:cs="Times New Roman"/>
          <w:sz w:val="23"/>
          <w:szCs w:val="23"/>
        </w:rPr>
        <w:t>nitrostátního plánu České republiky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oblasti energetiky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klimatu (Vnitrostátní plán), jehož návrh byl zpracován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roce 2018 na základě požadavku nařízení Evropského parlamentu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Rady (EU) 2018/1999 o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správě energetické unie. Vnitrostátní plán byl vládou schválen dne 13. ledna 2020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obsahuje cíle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politiky ve všech pěti rozměrech energetické unie na období 2021-2030 s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výhledem do roku 2050. Shrnuje také politiky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opatření pro splnění cílů Energetické unie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 xml:space="preserve">dlouhodobých závazků spojených se snižováním emisí skleníkových plynů, přičemž oblast čisté mobility spadá do kategorie těchto politik. </w:t>
      </w:r>
      <w:r w:rsidRPr="0013655A">
        <w:rPr>
          <w:rFonts w:ascii="Times New Roman" w:hAnsi="Times New Roman" w:cs="Times New Roman"/>
          <w:bCs/>
          <w:sz w:val="23"/>
          <w:szCs w:val="23"/>
        </w:rPr>
        <w:t xml:space="preserve">Návrh Vnitrostátního plánu v návaznosti na Směrnici EP a Rady 2018/2001 o podpoře využívání energie z OZE deklaruje dosažení podílu OZE na celkové spotřebě energií v dopravě v roce 2030 ve výši </w:t>
      </w:r>
      <w:proofErr w:type="gramStart"/>
      <w:r w:rsidRPr="0013655A">
        <w:rPr>
          <w:rFonts w:ascii="Times New Roman" w:hAnsi="Times New Roman" w:cs="Times New Roman"/>
          <w:bCs/>
          <w:sz w:val="23"/>
          <w:szCs w:val="23"/>
        </w:rPr>
        <w:t>14%</w:t>
      </w:r>
      <w:proofErr w:type="gramEnd"/>
      <w:r w:rsidRPr="0013655A">
        <w:rPr>
          <w:rFonts w:ascii="Times New Roman" w:hAnsi="Times New Roman" w:cs="Times New Roman"/>
          <w:bCs/>
          <w:sz w:val="23"/>
          <w:szCs w:val="23"/>
        </w:rPr>
        <w:t>, z čehož 7 % připadá na potravinářská biopaliva, 4,5 % na pokročilá biopaliva, 1,7 % na biopaliva dle části B (suroviny pro výrobu biopaliv a bioplynu pro dopravu) a 0,8 % na elektřinu.</w:t>
      </w:r>
    </w:p>
    <w:p w:rsidR="003A6DFC" w:rsidRPr="00E16981" w:rsidRDefault="003A6DFC" w:rsidP="00804931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t>ČR reflektuje ambicióznost této nové EU legislativy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 xml:space="preserve">zohledňuje ji zejména při stanovení strategických cílů týkajících se rozvoje trhu vozidel pro jednotlivé typy alternativních paliv.  </w:t>
      </w:r>
    </w:p>
    <w:p w:rsidR="003A6DFC" w:rsidRDefault="003A6DFC" w:rsidP="00804931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3655A">
        <w:rPr>
          <w:rFonts w:ascii="Times New Roman" w:eastAsia="Times New Roman" w:hAnsi="Times New Roman" w:cs="Times New Roman"/>
          <w:bCs/>
          <w:sz w:val="23"/>
          <w:szCs w:val="23"/>
        </w:rPr>
        <w:t xml:space="preserve">Investiční podpora výstavby dobíjecích a plnicích stanic a tím spojená podpora nákupu </w:t>
      </w:r>
      <w:proofErr w:type="spellStart"/>
      <w:r w:rsidRPr="0013655A">
        <w:rPr>
          <w:rFonts w:ascii="Times New Roman" w:hAnsi="Times New Roman" w:cs="Times New Roman"/>
          <w:bCs/>
          <w:sz w:val="23"/>
          <w:szCs w:val="23"/>
        </w:rPr>
        <w:t>nízkoemisních</w:t>
      </w:r>
      <w:proofErr w:type="spellEnd"/>
      <w:r w:rsidRPr="0013655A">
        <w:rPr>
          <w:rFonts w:ascii="Times New Roman" w:hAnsi="Times New Roman" w:cs="Times New Roman"/>
          <w:bCs/>
          <w:sz w:val="23"/>
          <w:szCs w:val="23"/>
        </w:rPr>
        <w:t xml:space="preserve"> a bezemisních vozidel </w:t>
      </w:r>
      <w:r w:rsidRPr="0013655A">
        <w:rPr>
          <w:rFonts w:ascii="Times New Roman" w:eastAsia="Times New Roman" w:hAnsi="Times New Roman" w:cs="Times New Roman"/>
          <w:bCs/>
          <w:sz w:val="23"/>
          <w:szCs w:val="23"/>
        </w:rPr>
        <w:t>má za cíl zvýšit motivaci subjektů investovat do výstavby infrastruktury pro alternativní paliva. Tyto aktivity jsou v současnosti zatím ztrátové. Podpora nákupu vozidel na alternativní paliva má za cíl kompenzovat vyšší pořizovací cenu těchto vozidel, a tak zvýšit motivaci potenciálních zájemců ke koupi o tato vozidla.</w:t>
      </w:r>
    </w:p>
    <w:p w:rsidR="003B0BC8" w:rsidRPr="00E16981" w:rsidRDefault="003B0BC8" w:rsidP="00804931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t>Skutečností je, že sektor dopravy je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ČR druhým největším zdrojem emisí skleníkových plynů.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období 2000–2018 se emise CO</w:t>
      </w:r>
      <w:r w:rsidRPr="00E16981">
        <w:rPr>
          <w:rFonts w:ascii="Times New Roman" w:hAnsi="Times New Roman" w:cs="Times New Roman"/>
          <w:sz w:val="23"/>
          <w:szCs w:val="23"/>
          <w:vertAlign w:val="subscript"/>
        </w:rPr>
        <w:t xml:space="preserve">2 </w:t>
      </w:r>
      <w:r w:rsidRPr="00E16981">
        <w:rPr>
          <w:rFonts w:ascii="Times New Roman" w:hAnsi="Times New Roman" w:cs="Times New Roman"/>
          <w:sz w:val="23"/>
          <w:szCs w:val="23"/>
        </w:rPr>
        <w:t>z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dopravy zvýšily o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66 %.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 xml:space="preserve">rámci sektoru dopravy je pak největším </w:t>
      </w:r>
      <w:r w:rsidRPr="00E16981">
        <w:rPr>
          <w:rFonts w:ascii="Times New Roman" w:hAnsi="Times New Roman" w:cs="Times New Roman"/>
          <w:sz w:val="23"/>
          <w:szCs w:val="23"/>
        </w:rPr>
        <w:lastRenderedPageBreak/>
        <w:t>producentem emisí CO</w:t>
      </w:r>
      <w:r w:rsidRPr="00E16981">
        <w:rPr>
          <w:rFonts w:ascii="Times New Roman" w:hAnsi="Times New Roman" w:cs="Times New Roman"/>
          <w:sz w:val="23"/>
          <w:szCs w:val="23"/>
          <w:vertAlign w:val="subscript"/>
        </w:rPr>
        <w:t>2</w:t>
      </w:r>
      <w:r w:rsidRPr="00E16981">
        <w:rPr>
          <w:rFonts w:ascii="Times New Roman" w:hAnsi="Times New Roman" w:cs="Times New Roman"/>
          <w:sz w:val="23"/>
          <w:szCs w:val="23"/>
        </w:rPr>
        <w:t xml:space="preserve"> individuální automobilová doprava, následovaná silniční nákladní dopravou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silniční veřejnou dopravou.</w:t>
      </w:r>
    </w:p>
    <w:p w:rsidR="00DC49F4" w:rsidRPr="00E16981" w:rsidRDefault="003B0BC8" w:rsidP="00804931">
      <w:pPr>
        <w:pStyle w:val="K-Text"/>
        <w:spacing w:line="240" w:lineRule="auto"/>
      </w:pPr>
      <w:r w:rsidRPr="00E16981">
        <w:t>Doprava je v</w:t>
      </w:r>
      <w:r w:rsidR="00741E3B">
        <w:t> </w:t>
      </w:r>
      <w:r w:rsidRPr="00E16981">
        <w:t>ČR i</w:t>
      </w:r>
      <w:r w:rsidR="00741E3B">
        <w:t> </w:t>
      </w:r>
      <w:r w:rsidRPr="00E16981">
        <w:t>významným zdrojem znečišťujících látek (pevné částice frakce PM</w:t>
      </w:r>
      <w:r w:rsidRPr="00E16981">
        <w:rPr>
          <w:vertAlign w:val="subscript"/>
        </w:rPr>
        <w:t>2,5</w:t>
      </w:r>
      <w:r w:rsidRPr="00E16981">
        <w:t>, PM</w:t>
      </w:r>
      <w:r w:rsidRPr="00E16981">
        <w:rPr>
          <w:vertAlign w:val="subscript"/>
        </w:rPr>
        <w:t>10</w:t>
      </w:r>
      <w:r w:rsidRPr="00E16981">
        <w:t>, dále NO</w:t>
      </w:r>
      <w:r w:rsidRPr="00E16981">
        <w:rPr>
          <w:vertAlign w:val="subscript"/>
        </w:rPr>
        <w:t>2</w:t>
      </w:r>
      <w:r w:rsidRPr="00E16981">
        <w:t>). Problém znečištění ze silniční dopravy se týká zejména velkých měst a</w:t>
      </w:r>
      <w:r w:rsidR="00741E3B">
        <w:t> </w:t>
      </w:r>
      <w:r w:rsidRPr="00E16981">
        <w:t>aglomerací, ale nevyhýbá se také menším sídlům s</w:t>
      </w:r>
      <w:r w:rsidR="00741E3B">
        <w:t> </w:t>
      </w:r>
      <w:r w:rsidRPr="00E16981">
        <w:t>vysokou intenzitou dopravy.</w:t>
      </w:r>
      <w:r w:rsidR="00110F85" w:rsidRPr="00110F85">
        <w:t xml:space="preserve"> </w:t>
      </w:r>
      <w:r w:rsidR="00110F85">
        <w:t>ČR je rovněž významnou tranzitní zemí.</w:t>
      </w:r>
    </w:p>
    <w:p w:rsidR="003B0BC8" w:rsidRPr="00E16981" w:rsidRDefault="003B0BC8" w:rsidP="00804931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t>Např. 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Praze se doprava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roce 2016 podílela na celkových emisích PM</w:t>
      </w:r>
      <w:r w:rsidRPr="00E16981">
        <w:rPr>
          <w:rFonts w:ascii="Times New Roman" w:hAnsi="Times New Roman" w:cs="Times New Roman"/>
          <w:sz w:val="23"/>
          <w:szCs w:val="23"/>
          <w:vertAlign w:val="subscript"/>
        </w:rPr>
        <w:t>2,5</w:t>
      </w:r>
      <w:r w:rsidRPr="00E16981">
        <w:rPr>
          <w:rFonts w:ascii="Times New Roman" w:hAnsi="Times New Roman" w:cs="Times New Roman"/>
          <w:sz w:val="23"/>
          <w:szCs w:val="23"/>
        </w:rPr>
        <w:t xml:space="preserve"> téměř 50 %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 xml:space="preserve">na celkových emisích oxidů dusíku cca 75 %. </w:t>
      </w:r>
    </w:p>
    <w:p w:rsidR="00904992" w:rsidRDefault="003B0BC8" w:rsidP="00804931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t>Z výše uvedeného vyplývá, že pro zlepšení kvality ovzduší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snižování emisí z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dopravy je žádoucí posílit zastoupení </w:t>
      </w:r>
      <w:proofErr w:type="spellStart"/>
      <w:r w:rsidRPr="00E16981">
        <w:rPr>
          <w:rFonts w:ascii="Times New Roman" w:hAnsi="Times New Roman" w:cs="Times New Roman"/>
          <w:sz w:val="23"/>
          <w:szCs w:val="23"/>
        </w:rPr>
        <w:t>nízkoemisních</w:t>
      </w:r>
      <w:proofErr w:type="spellEnd"/>
      <w:r w:rsidRPr="00E16981">
        <w:rPr>
          <w:rFonts w:ascii="Times New Roman" w:hAnsi="Times New Roman" w:cs="Times New Roman"/>
          <w:sz w:val="23"/>
          <w:szCs w:val="23"/>
        </w:rPr>
        <w:t xml:space="preserve"> způsobů dopravy, tedy čistou mobilitu. Tuto skutečnost zmiňují i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 xml:space="preserve">některé existující strategické dokumenty přijaté vládou ČR jako např. </w:t>
      </w:r>
      <w:bookmarkStart w:id="4" w:name="_Toc12540095"/>
      <w:bookmarkStart w:id="5" w:name="_Toc14039034"/>
      <w:r w:rsidRPr="00E16981">
        <w:rPr>
          <w:rFonts w:ascii="Times New Roman" w:hAnsi="Times New Roman" w:cs="Times New Roman"/>
          <w:sz w:val="23"/>
          <w:szCs w:val="23"/>
        </w:rPr>
        <w:t>Státní politika životního prostředí</w:t>
      </w:r>
      <w:bookmarkEnd w:id="4"/>
      <w:bookmarkEnd w:id="5"/>
      <w:r w:rsidRPr="00E16981">
        <w:rPr>
          <w:rFonts w:ascii="Times New Roman" w:hAnsi="Times New Roman" w:cs="Times New Roman"/>
          <w:sz w:val="23"/>
          <w:szCs w:val="23"/>
        </w:rPr>
        <w:t xml:space="preserve"> ČR, Politika ochrany klimatu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ČR,</w:t>
      </w:r>
      <w:bookmarkStart w:id="6" w:name="_Toc12540096"/>
      <w:bookmarkStart w:id="7" w:name="_Toc14039035"/>
      <w:r w:rsidRPr="00E16981">
        <w:rPr>
          <w:rFonts w:ascii="Times New Roman" w:hAnsi="Times New Roman" w:cs="Times New Roman"/>
          <w:sz w:val="23"/>
          <w:szCs w:val="23"/>
        </w:rPr>
        <w:t xml:space="preserve"> Národní program snižování emisí ČR</w:t>
      </w:r>
      <w:bookmarkEnd w:id="6"/>
      <w:bookmarkEnd w:id="7"/>
      <w:r w:rsidRPr="00E16981">
        <w:rPr>
          <w:rFonts w:ascii="Times New Roman" w:hAnsi="Times New Roman" w:cs="Times New Roman"/>
          <w:sz w:val="23"/>
          <w:szCs w:val="23"/>
        </w:rPr>
        <w:t>.</w:t>
      </w:r>
    </w:p>
    <w:p w:rsidR="002C20CF" w:rsidRPr="00E16981" w:rsidRDefault="002C20CF" w:rsidP="00804931">
      <w:pPr>
        <w:pStyle w:val="K-Nadpis3"/>
        <w:keepNext/>
        <w:rPr>
          <w:sz w:val="23"/>
        </w:rPr>
      </w:pPr>
      <w:r w:rsidRPr="00E16981">
        <w:rPr>
          <w:sz w:val="23"/>
        </w:rPr>
        <w:t xml:space="preserve">b) </w:t>
      </w:r>
      <w:r w:rsidR="00EF374D" w:rsidRPr="00E16981">
        <w:rPr>
          <w:sz w:val="23"/>
        </w:rPr>
        <w:t>Cíle</w:t>
      </w:r>
      <w:r w:rsidRPr="00E16981">
        <w:rPr>
          <w:sz w:val="23"/>
        </w:rPr>
        <w:t xml:space="preserve"> </w:t>
      </w:r>
    </w:p>
    <w:p w:rsidR="00436A3E" w:rsidRPr="0013655A" w:rsidRDefault="00436A3E" w:rsidP="00804931">
      <w:pPr>
        <w:pStyle w:val="00Body"/>
        <w:spacing w:after="120" w:line="240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</w:pP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Snahou České republiky je snížení emisí v</w:t>
      </w:r>
      <w:r w:rsidR="00741E3B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dopravě prostřednictvím opatření uvedených v</w:t>
      </w:r>
      <w:r w:rsidR="00741E3B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="00E16981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Aktualizaci </w:t>
      </w: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Národní</w:t>
      </w:r>
      <w:r w:rsidR="00E16981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ho</w:t>
      </w: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 akční</w:t>
      </w:r>
      <w:r w:rsidR="00E16981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ho</w:t>
      </w: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 plánu čisté mobility, který vznikl na základě požadavku směrnice Evropského parlamentu a</w:t>
      </w:r>
      <w:r w:rsidR="00741E3B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Rady 2014/94/EU o</w:t>
      </w:r>
      <w:r w:rsidR="00741E3B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zavádění infrastruktury pro alternativní paliva</w:t>
      </w:r>
      <w:r w:rsidR="00641110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, a</w:t>
      </w:r>
      <w:r w:rsidR="00741E3B" w:rsidRPr="0013655A">
        <w:rPr>
          <w:rFonts w:hint="eastAsia"/>
          <w:bCs/>
        </w:rPr>
        <w:t> </w:t>
      </w:r>
      <w:r w:rsidR="00641110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ze kterého vychází komponenta čistá mobilita. </w:t>
      </w: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Zároveň se jedná o</w:t>
      </w:r>
      <w:r w:rsidR="00741E3B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podporu transformace automobilového průmyslu v</w:t>
      </w:r>
      <w:r w:rsidR="00741E3B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souvislosti s</w:t>
      </w:r>
      <w:r w:rsidR="00741E3B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přechodem na </w:t>
      </w:r>
      <w:proofErr w:type="spellStart"/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nízkoemisní</w:t>
      </w:r>
      <w:proofErr w:type="spellEnd"/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 mobilitu v</w:t>
      </w:r>
      <w:r w:rsidR="00741E3B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souladu s</w:t>
      </w:r>
      <w:r w:rsidR="00741E3B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Memorandem o</w:t>
      </w:r>
      <w:r w:rsidR="00741E3B"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13655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budoucnosti automobilového průmyslu.  </w:t>
      </w:r>
    </w:p>
    <w:p w:rsidR="00F22C75" w:rsidRPr="00DA201A" w:rsidRDefault="00F22C75" w:rsidP="00DA201A">
      <w:pPr>
        <w:pStyle w:val="00Body"/>
        <w:spacing w:after="120" w:line="240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</w:pP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Cílem je rozvoj potřebné infrastruktury pro vozidla na alternativní paliva a zvýšení počtu těchto vozidel v České republice. To pomůže nastartování výroby a prodejů vozidel na alternativní paliva v ČR. Vazba tohoto cíle je v doporučeních EU pro ČR v rámci udržitelné dopravní infrastruktury. </w:t>
      </w:r>
    </w:p>
    <w:p w:rsidR="00436A3E" w:rsidRPr="00DA201A" w:rsidRDefault="00436A3E" w:rsidP="00804931">
      <w:pPr>
        <w:pStyle w:val="00Body"/>
        <w:spacing w:after="120" w:line="240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</w:pP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V souvislosti s</w:t>
      </w:r>
      <w:r w:rsidR="00741E3B"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podporou </w:t>
      </w:r>
      <w:proofErr w:type="spellStart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nízkoemisních</w:t>
      </w:r>
      <w:proofErr w:type="spellEnd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 vozidel (elektromobily a</w:t>
      </w:r>
      <w:r w:rsidR="00741E3B"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proofErr w:type="spellStart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PHEVs</w:t>
      </w:r>
      <w:proofErr w:type="spellEnd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) bude v</w:t>
      </w:r>
      <w:r w:rsidR="00741E3B"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případě osobních vozidel aplikován limit 50 g</w:t>
      </w:r>
      <w:r w:rsidR="00741E3B"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CO2/km. Tento limit vychází ze Směrnice EP a</w:t>
      </w:r>
      <w:r w:rsidR="00741E3B"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Rady 2019/1161, kterou se mění směrnice 2009/33/ES o</w:t>
      </w:r>
      <w:r w:rsidR="00741E3B"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podpoře čistých a</w:t>
      </w:r>
      <w:r w:rsidR="00741E3B"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energeticky účinných silničních vozidel, která</w:t>
      </w:r>
      <w:r w:rsidR="00654BC3"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 </w:t>
      </w: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stanoví povinný podíl nízko a</w:t>
      </w:r>
      <w:r w:rsidR="00741E3B"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bezemisních vozidel pořizovaných veřejnými zadavateli. Podpora vozidel na CNG/LNG je velmi důležitá z</w:t>
      </w:r>
      <w:r w:rsidR="00741E3B"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důvodu plnění povinného cíle do roku 2030, tj. dosažení 14% podílu energie v</w:t>
      </w:r>
      <w:r w:rsidR="00741E3B"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dopravě z</w:t>
      </w:r>
      <w:r w:rsidR="00741E3B"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 </w:t>
      </w: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obnovitelných zdrojů, který bude ČR plnit zejména spotřebou </w:t>
      </w:r>
      <w:proofErr w:type="spellStart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bioCNG</w:t>
      </w:r>
      <w:proofErr w:type="spellEnd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. </w:t>
      </w:r>
    </w:p>
    <w:p w:rsidR="00916CC6" w:rsidRPr="00DA201A" w:rsidRDefault="00916CC6" w:rsidP="00DA201A">
      <w:pPr>
        <w:pStyle w:val="00Body"/>
        <w:spacing w:after="120" w:line="240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</w:pP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Komponenta čistá mobilita má za cíl postavit minimálně 4 veřejné vodíkové plničky, 2 240 veřejných dobíjecích bodů, 5 plniček na LNG, 210 dobíjecích bodů pro veřejnou dopravu, 1 940 neveřejných dobíjecích bodů, vybudovat dobíjecí infrastrukturu pro obytné budovy (minimálně 3 600), obce, kraje, státní správu a jimi zřízené instituce (950), podpořit nákup minimálně 3 135 vozidel na alternativní paliva pro podnikatele (včetně 1 000 </w:t>
      </w:r>
      <w:proofErr w:type="spellStart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cargo</w:t>
      </w:r>
      <w:proofErr w:type="spellEnd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 </w:t>
      </w:r>
      <w:proofErr w:type="spellStart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ekol</w:t>
      </w:r>
      <w:proofErr w:type="spellEnd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) a 4171 vozidel pro obce, kraje a státní správu, podpořit zvýšení počtu vozidel na alternativní pohon pro veřejnou dopravu v Praze o cca 220 vozidel (</w:t>
      </w:r>
      <w:proofErr w:type="spellStart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elektrobusy</w:t>
      </w:r>
      <w:proofErr w:type="spellEnd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 a hybridní autobusy). Podpořit zvýšení počtu železničních lokomotiv/jednotek na alternativní pohon o 14 (z toho 9 bateriových elektrických (BEMU) a 5 vodíkových (HMU)), zvýšení počtu modernizovaných plavidel (přestavba na bateriové elektrické plavidlo) o 50 lodí. Podpořit úpravu případně výstavbu/přestavbu minimálně 10 </w:t>
      </w:r>
      <w:proofErr w:type="spellStart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biometanových</w:t>
      </w:r>
      <w:proofErr w:type="spellEnd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 stanic.</w:t>
      </w:r>
    </w:p>
    <w:p w:rsidR="00916CC6" w:rsidRPr="00DA201A" w:rsidRDefault="00916CC6" w:rsidP="00DA201A">
      <w:pPr>
        <w:pStyle w:val="00Body"/>
        <w:spacing w:after="120" w:line="240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</w:pP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Celková podpora do roku 2025 pro navrhované reformy a investice obsahuje podporu budování infrastruktury pro alternativní paliva a nákupu vozidel na alternativní paliva v rozsahu: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>•</w:t>
      </w:r>
      <w:r w:rsidR="00DA201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D4275">
        <w:rPr>
          <w:rFonts w:ascii="Times New Roman" w:hAnsi="Times New Roman" w:cs="Times New Roman"/>
          <w:sz w:val="23"/>
          <w:szCs w:val="23"/>
        </w:rPr>
        <w:t>veřejných</w:t>
      </w:r>
      <w:r w:rsidRPr="00FD4275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 xml:space="preserve">                         2 240 dobíjecích bodů za 1 825 mil. Kč,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ab/>
      </w:r>
      <w:r w:rsidRPr="00FD4275">
        <w:rPr>
          <w:rFonts w:ascii="Times New Roman" w:hAnsi="Times New Roman" w:cs="Times New Roman"/>
          <w:bCs/>
          <w:sz w:val="23"/>
          <w:szCs w:val="23"/>
        </w:rPr>
        <w:tab/>
        <w:t>3 600 dobíjecích bodů (obytné domy) za 180 mil. Kč,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ab/>
      </w:r>
      <w:r w:rsidRPr="00FD4275">
        <w:rPr>
          <w:rFonts w:ascii="Times New Roman" w:hAnsi="Times New Roman" w:cs="Times New Roman"/>
          <w:bCs/>
          <w:sz w:val="23"/>
          <w:szCs w:val="23"/>
        </w:rPr>
        <w:tab/>
      </w:r>
      <w:r w:rsidR="008C05AD">
        <w:rPr>
          <w:rFonts w:ascii="Times New Roman" w:hAnsi="Times New Roman" w:cs="Times New Roman"/>
          <w:bCs/>
          <w:sz w:val="23"/>
          <w:szCs w:val="23"/>
        </w:rPr>
        <w:t>950</w:t>
      </w:r>
      <w:r w:rsidRPr="00FD4275">
        <w:rPr>
          <w:rFonts w:ascii="Times New Roman" w:hAnsi="Times New Roman" w:cs="Times New Roman"/>
          <w:bCs/>
          <w:sz w:val="23"/>
          <w:szCs w:val="23"/>
        </w:rPr>
        <w:t xml:space="preserve"> dobíjecích bodů (</w:t>
      </w:r>
      <w:r w:rsidRPr="00FD4275">
        <w:rPr>
          <w:rFonts w:ascii="Times New Roman" w:hAnsi="Times New Roman" w:cs="Times New Roman"/>
          <w:sz w:val="23"/>
          <w:szCs w:val="23"/>
        </w:rPr>
        <w:t>obce, kraje, státní správa</w:t>
      </w:r>
      <w:r w:rsidRPr="00FD4275">
        <w:rPr>
          <w:rFonts w:ascii="Times New Roman" w:hAnsi="Times New Roman" w:cs="Times New Roman"/>
          <w:bCs/>
          <w:sz w:val="23"/>
          <w:szCs w:val="23"/>
        </w:rPr>
        <w:t>) za 250 mil. Kč,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>•</w:t>
      </w:r>
      <w:r w:rsidR="00DA201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D4275">
        <w:rPr>
          <w:rFonts w:ascii="Times New Roman" w:hAnsi="Times New Roman" w:cs="Times New Roman"/>
          <w:sz w:val="23"/>
          <w:szCs w:val="23"/>
        </w:rPr>
        <w:t xml:space="preserve">neveřejných 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 xml:space="preserve">                            210 dobíjecích bodů (DPHMP) za 1 200 mil. Kč,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ab/>
      </w:r>
      <w:r w:rsidRPr="00FD4275">
        <w:rPr>
          <w:rFonts w:ascii="Times New Roman" w:hAnsi="Times New Roman" w:cs="Times New Roman"/>
          <w:bCs/>
          <w:sz w:val="23"/>
          <w:szCs w:val="23"/>
        </w:rPr>
        <w:tab/>
        <w:t>1 940 dobíjecích bodů (podnikatelé) za 300 mil. Kč,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lastRenderedPageBreak/>
        <w:t>•</w:t>
      </w:r>
      <w:r w:rsidR="00DA201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D4275">
        <w:rPr>
          <w:rFonts w:ascii="Times New Roman" w:hAnsi="Times New Roman" w:cs="Times New Roman"/>
          <w:sz w:val="23"/>
          <w:szCs w:val="23"/>
        </w:rPr>
        <w:t>veřejné vodíkové plničky</w:t>
      </w:r>
      <w:r w:rsidRPr="00FD4275">
        <w:rPr>
          <w:rFonts w:ascii="Times New Roman" w:hAnsi="Times New Roman" w:cs="Times New Roman"/>
          <w:bCs/>
          <w:sz w:val="23"/>
          <w:szCs w:val="23"/>
        </w:rPr>
        <w:t xml:space="preserve"> 4 za 280 mil. Kč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>•</w:t>
      </w:r>
      <w:r w:rsidR="00DA201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D4275">
        <w:rPr>
          <w:rFonts w:ascii="Times New Roman" w:hAnsi="Times New Roman" w:cs="Times New Roman"/>
          <w:sz w:val="23"/>
          <w:szCs w:val="23"/>
        </w:rPr>
        <w:t>plničky na LNG</w:t>
      </w:r>
      <w:r w:rsidRPr="00FD4275">
        <w:rPr>
          <w:rFonts w:ascii="Times New Roman" w:hAnsi="Times New Roman" w:cs="Times New Roman"/>
          <w:bCs/>
          <w:sz w:val="23"/>
          <w:szCs w:val="23"/>
        </w:rPr>
        <w:t xml:space="preserve"> 5 za </w:t>
      </w:r>
      <w:r w:rsidR="00377365">
        <w:rPr>
          <w:rFonts w:ascii="Times New Roman" w:hAnsi="Times New Roman" w:cs="Times New Roman"/>
          <w:bCs/>
          <w:sz w:val="23"/>
          <w:szCs w:val="23"/>
        </w:rPr>
        <w:t>75</w:t>
      </w:r>
      <w:r w:rsidRPr="00FD4275">
        <w:rPr>
          <w:rFonts w:ascii="Times New Roman" w:hAnsi="Times New Roman" w:cs="Times New Roman"/>
          <w:bCs/>
          <w:sz w:val="23"/>
          <w:szCs w:val="23"/>
        </w:rPr>
        <w:t xml:space="preserve"> mil. Kč. 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>•</w:t>
      </w:r>
      <w:r w:rsidR="00DA201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D4275">
        <w:rPr>
          <w:rFonts w:ascii="Times New Roman" w:hAnsi="Times New Roman" w:cs="Times New Roman"/>
          <w:sz w:val="23"/>
          <w:szCs w:val="23"/>
        </w:rPr>
        <w:t xml:space="preserve">výstavba/přestavba 10 </w:t>
      </w:r>
      <w:proofErr w:type="spellStart"/>
      <w:r w:rsidRPr="00FD4275">
        <w:rPr>
          <w:rFonts w:ascii="Times New Roman" w:hAnsi="Times New Roman" w:cs="Times New Roman"/>
          <w:sz w:val="23"/>
          <w:szCs w:val="23"/>
        </w:rPr>
        <w:t>biometanových</w:t>
      </w:r>
      <w:proofErr w:type="spellEnd"/>
      <w:r w:rsidRPr="00FD4275">
        <w:rPr>
          <w:rFonts w:ascii="Times New Roman" w:hAnsi="Times New Roman" w:cs="Times New Roman"/>
          <w:sz w:val="23"/>
          <w:szCs w:val="23"/>
        </w:rPr>
        <w:t xml:space="preserve"> stanic za cca 100 mil.</w:t>
      </w:r>
      <w:r w:rsidRPr="00FD4275">
        <w:rPr>
          <w:rFonts w:ascii="Times New Roman" w:hAnsi="Times New Roman" w:cs="Times New Roman"/>
          <w:bCs/>
          <w:sz w:val="23"/>
          <w:szCs w:val="23"/>
        </w:rPr>
        <w:t xml:space="preserve"> Kč. 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>•</w:t>
      </w:r>
      <w:r w:rsidR="00DA201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D4275">
        <w:rPr>
          <w:rFonts w:ascii="Times New Roman" w:hAnsi="Times New Roman" w:cs="Times New Roman"/>
          <w:bCs/>
          <w:sz w:val="23"/>
          <w:szCs w:val="23"/>
        </w:rPr>
        <w:t xml:space="preserve">1 550 elektromobilů, 25 vodíkových OA, 500 vozidel na CNG, 60 LNG kamionů a 1 000 </w:t>
      </w:r>
      <w:proofErr w:type="spellStart"/>
      <w:r w:rsidRPr="00FD4275">
        <w:rPr>
          <w:rFonts w:ascii="Times New Roman" w:hAnsi="Times New Roman" w:cs="Times New Roman"/>
          <w:bCs/>
          <w:sz w:val="23"/>
          <w:szCs w:val="23"/>
        </w:rPr>
        <w:t>cargo</w:t>
      </w:r>
      <w:proofErr w:type="spellEnd"/>
      <w:r w:rsidRPr="00FD4275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FD4275">
        <w:rPr>
          <w:rFonts w:ascii="Times New Roman" w:hAnsi="Times New Roman" w:cs="Times New Roman"/>
          <w:bCs/>
          <w:sz w:val="23"/>
          <w:szCs w:val="23"/>
        </w:rPr>
        <w:t>ekol</w:t>
      </w:r>
      <w:proofErr w:type="spellEnd"/>
      <w:r w:rsidRPr="00FD4275">
        <w:rPr>
          <w:rFonts w:ascii="Times New Roman" w:hAnsi="Times New Roman" w:cs="Times New Roman"/>
          <w:bCs/>
          <w:sz w:val="23"/>
          <w:szCs w:val="23"/>
        </w:rPr>
        <w:t xml:space="preserve"> pro podnikatele za 610 mil. Kč, 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>•</w:t>
      </w:r>
      <w:r w:rsidR="00DA201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D4275">
        <w:rPr>
          <w:rFonts w:ascii="Times New Roman" w:hAnsi="Times New Roman" w:cs="Times New Roman"/>
          <w:bCs/>
          <w:sz w:val="23"/>
          <w:szCs w:val="23"/>
        </w:rPr>
        <w:t>2 260 elektromobilů, 11 vodíkových a 1900 CNG vozidel pro obce, kraje a státní správu za 600 mil. Kč,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>•</w:t>
      </w:r>
      <w:r w:rsidR="00DA201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D4275">
        <w:rPr>
          <w:rFonts w:ascii="Times New Roman" w:hAnsi="Times New Roman" w:cs="Times New Roman"/>
          <w:bCs/>
          <w:sz w:val="23"/>
          <w:szCs w:val="23"/>
        </w:rPr>
        <w:t>220 autobusů (</w:t>
      </w:r>
      <w:proofErr w:type="spellStart"/>
      <w:r w:rsidRPr="00FD4275">
        <w:rPr>
          <w:rFonts w:ascii="Times New Roman" w:hAnsi="Times New Roman" w:cs="Times New Roman"/>
          <w:bCs/>
          <w:sz w:val="23"/>
          <w:szCs w:val="23"/>
        </w:rPr>
        <w:t>elektrobusy</w:t>
      </w:r>
      <w:proofErr w:type="spellEnd"/>
      <w:r w:rsidRPr="00FD4275">
        <w:rPr>
          <w:rFonts w:ascii="Times New Roman" w:hAnsi="Times New Roman" w:cs="Times New Roman"/>
          <w:bCs/>
          <w:sz w:val="23"/>
          <w:szCs w:val="23"/>
        </w:rPr>
        <w:t xml:space="preserve"> a hybridní autobusy) v Praze za 1 700 mil. Kč,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>•</w:t>
      </w:r>
      <w:r w:rsidR="00DA201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D4275">
        <w:rPr>
          <w:rFonts w:ascii="Times New Roman" w:hAnsi="Times New Roman" w:cs="Times New Roman"/>
          <w:bCs/>
          <w:sz w:val="23"/>
          <w:szCs w:val="23"/>
        </w:rPr>
        <w:t>9 bateriových elektrických lokomotiv (BEMU) a 5 vodíkových lokomotiv (HMU) za 2 020 mil. Kč</w:t>
      </w:r>
    </w:p>
    <w:p w:rsidR="00916CC6" w:rsidRPr="00FD4275" w:rsidRDefault="00916CC6" w:rsidP="00804931">
      <w:pPr>
        <w:spacing w:before="120" w:after="12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D4275">
        <w:rPr>
          <w:rFonts w:ascii="Times New Roman" w:hAnsi="Times New Roman" w:cs="Times New Roman"/>
          <w:bCs/>
          <w:sz w:val="23"/>
          <w:szCs w:val="23"/>
        </w:rPr>
        <w:t>•</w:t>
      </w:r>
      <w:r w:rsidR="00DA201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D4275">
        <w:rPr>
          <w:rFonts w:ascii="Times New Roman" w:hAnsi="Times New Roman" w:cs="Times New Roman"/>
          <w:bCs/>
          <w:sz w:val="23"/>
          <w:szCs w:val="23"/>
        </w:rPr>
        <w:t>50 lodí za 300 mil. Kč.</w:t>
      </w:r>
    </w:p>
    <w:p w:rsidR="00916CC6" w:rsidRPr="00DA201A" w:rsidRDefault="00916CC6" w:rsidP="00DA201A">
      <w:pPr>
        <w:pStyle w:val="00Body"/>
        <w:spacing w:after="120" w:line="240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</w:pP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V roce 2021 bude potřeba předfinancovat investice této komponenty skrze kapitoly ministerstev a Magistrátu Hl. města Prahy, v jejichž gesci je uvedená část, tzn. MPO, MD, MŽP či MMR a Magistrát Hl. města Prahy (viz výše).</w:t>
      </w:r>
    </w:p>
    <w:p w:rsidR="00916CC6" w:rsidRPr="00DA201A" w:rsidRDefault="00916CC6" w:rsidP="00DA201A">
      <w:pPr>
        <w:pStyle w:val="00Body"/>
        <w:spacing w:after="120" w:line="240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</w:pPr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U infrastruktury a podpory nákupu vozidel počítáme s 15% spoluúčastí soukromých subjektů. V případě investiční podpory výstavby </w:t>
      </w:r>
      <w:proofErr w:type="spellStart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>biometanových</w:t>
      </w:r>
      <w:proofErr w:type="spellEnd"/>
      <w:r w:rsidRPr="00DA201A">
        <w:rPr>
          <w:rFonts w:ascii="Times New Roman" w:hAnsi="Times New Roman"/>
          <w:bCs/>
          <w:color w:val="000000" w:themeColor="text1"/>
          <w:sz w:val="23"/>
          <w:szCs w:val="23"/>
          <w:lang w:val="cs-CZ"/>
        </w:rPr>
        <w:t xml:space="preserve"> stanic s 80 %.</w:t>
      </w:r>
    </w:p>
    <w:p w:rsidR="00916CC6" w:rsidRDefault="00916CC6" w:rsidP="00A1242E">
      <w:pPr>
        <w:spacing w:before="120" w:after="12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A2737" w:rsidRPr="00E16981" w:rsidRDefault="007A2737" w:rsidP="008E69EC">
      <w:pPr>
        <w:pStyle w:val="K-Nadpis3"/>
        <w:keepNext/>
        <w:spacing w:line="293" w:lineRule="auto"/>
        <w:rPr>
          <w:sz w:val="23"/>
        </w:rPr>
      </w:pPr>
      <w:r w:rsidRPr="00E16981">
        <w:rPr>
          <w:sz w:val="23"/>
        </w:rPr>
        <w:t xml:space="preserve">c) </w:t>
      </w:r>
      <w:r w:rsidR="006C30EB" w:rsidRPr="00E16981">
        <w:rPr>
          <w:sz w:val="23"/>
        </w:rPr>
        <w:t>Národní strategický kontext</w:t>
      </w:r>
    </w:p>
    <w:p w:rsidR="00DB2850" w:rsidRPr="00E16981" w:rsidRDefault="00DB2850" w:rsidP="00DB2850">
      <w:pPr>
        <w:spacing w:before="120" w:after="120"/>
        <w:rPr>
          <w:rFonts w:ascii="Times New Roman" w:hAnsi="Times New Roman" w:cs="Times New Roman"/>
          <w:b/>
          <w:sz w:val="23"/>
          <w:szCs w:val="23"/>
        </w:rPr>
      </w:pPr>
      <w:r w:rsidRPr="00E16981">
        <w:rPr>
          <w:rFonts w:ascii="Times New Roman" w:hAnsi="Times New Roman" w:cs="Times New Roman"/>
          <w:b/>
          <w:sz w:val="23"/>
          <w:szCs w:val="23"/>
        </w:rPr>
        <w:t>Aktuální situace</w:t>
      </w:r>
    </w:p>
    <w:p w:rsidR="00DB2850" w:rsidRPr="00E16981" w:rsidRDefault="00DB2850" w:rsidP="00DB2850">
      <w:pPr>
        <w:spacing w:before="120" w:after="120"/>
        <w:rPr>
          <w:rFonts w:ascii="Times New Roman" w:hAnsi="Times New Roman" w:cs="Times New Roman"/>
          <w:b/>
          <w:sz w:val="23"/>
          <w:szCs w:val="23"/>
        </w:rPr>
      </w:pPr>
      <w:r w:rsidRPr="00E16981">
        <w:rPr>
          <w:rFonts w:ascii="Times New Roman" w:hAnsi="Times New Roman" w:cs="Times New Roman"/>
          <w:b/>
          <w:sz w:val="23"/>
          <w:szCs w:val="23"/>
        </w:rPr>
        <w:t xml:space="preserve">Počty dobíjecích stanic (statistika MPO)   </w:t>
      </w:r>
    </w:p>
    <w:p w:rsidR="00DB2850" w:rsidRPr="00E16981" w:rsidRDefault="00DB2850" w:rsidP="00DB2850">
      <w:pPr>
        <w:spacing w:before="120" w:after="120"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t>Počet evidovaných stanic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bodů (na konci roku 2019)</w:t>
      </w:r>
    </w:p>
    <w:p w:rsidR="00DB2850" w:rsidRPr="00E16981" w:rsidRDefault="00DB2850" w:rsidP="00DB2850">
      <w:pPr>
        <w:spacing w:before="120" w:after="120"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t>veřejných DS/</w:t>
      </w:r>
      <w:proofErr w:type="spellStart"/>
      <w:r w:rsidRPr="00E16981">
        <w:rPr>
          <w:rFonts w:ascii="Times New Roman" w:hAnsi="Times New Roman" w:cs="Times New Roman"/>
          <w:sz w:val="23"/>
          <w:szCs w:val="23"/>
        </w:rPr>
        <w:t>Db</w:t>
      </w:r>
      <w:proofErr w:type="spellEnd"/>
      <w:r w:rsidRPr="00E16981">
        <w:rPr>
          <w:rFonts w:ascii="Times New Roman" w:hAnsi="Times New Roman" w:cs="Times New Roman"/>
          <w:sz w:val="23"/>
          <w:szCs w:val="23"/>
        </w:rPr>
        <w:t xml:space="preserve">             239/717                               </w:t>
      </w:r>
    </w:p>
    <w:p w:rsidR="00DB2850" w:rsidRPr="00E16981" w:rsidRDefault="00DB2850" w:rsidP="00DB2850">
      <w:pPr>
        <w:spacing w:before="120" w:after="120"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t>celkem DS/</w:t>
      </w:r>
      <w:proofErr w:type="spellStart"/>
      <w:r w:rsidRPr="00E16981">
        <w:rPr>
          <w:rFonts w:ascii="Times New Roman" w:hAnsi="Times New Roman" w:cs="Times New Roman"/>
          <w:sz w:val="23"/>
          <w:szCs w:val="23"/>
        </w:rPr>
        <w:t>Db</w:t>
      </w:r>
      <w:proofErr w:type="spellEnd"/>
      <w:r w:rsidRPr="00E16981">
        <w:rPr>
          <w:rFonts w:ascii="Times New Roman" w:hAnsi="Times New Roman" w:cs="Times New Roman"/>
          <w:sz w:val="23"/>
          <w:szCs w:val="23"/>
        </w:rPr>
        <w:t xml:space="preserve">                  248/741</w:t>
      </w:r>
    </w:p>
    <w:p w:rsidR="00DB2850" w:rsidRPr="00E16981" w:rsidRDefault="00DB2850" w:rsidP="00DB2850">
      <w:pPr>
        <w:spacing w:before="120" w:after="120"/>
        <w:rPr>
          <w:rFonts w:ascii="Times New Roman" w:hAnsi="Times New Roman" w:cs="Times New Roman"/>
          <w:b/>
          <w:bCs/>
          <w:sz w:val="23"/>
          <w:szCs w:val="23"/>
        </w:rPr>
      </w:pPr>
      <w:r w:rsidRPr="00E16981">
        <w:rPr>
          <w:rFonts w:ascii="Times New Roman" w:hAnsi="Times New Roman" w:cs="Times New Roman"/>
          <w:b/>
          <w:bCs/>
          <w:sz w:val="23"/>
          <w:szCs w:val="23"/>
        </w:rPr>
        <w:t xml:space="preserve">Počty elektromobilů (statistika CDV) </w:t>
      </w:r>
    </w:p>
    <w:p w:rsidR="00DB2850" w:rsidRPr="00E16981" w:rsidRDefault="00DB2850" w:rsidP="00DB2850">
      <w:pPr>
        <w:spacing w:before="120" w:after="120"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t>K 30.6.2020 bylo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provozu 5,5 tisíce osobních BEV vozidel (včetně 103 autobusů)</w:t>
      </w:r>
    </w:p>
    <w:p w:rsidR="00DB2850" w:rsidRPr="00A1242E" w:rsidRDefault="00DB2850" w:rsidP="00DB2850">
      <w:pPr>
        <w:spacing w:before="120" w:after="12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1242E">
        <w:rPr>
          <w:rFonts w:ascii="Times New Roman" w:hAnsi="Times New Roman" w:cs="Times New Roman"/>
          <w:b/>
          <w:sz w:val="23"/>
          <w:szCs w:val="23"/>
          <w:u w:val="single"/>
        </w:rPr>
        <w:t xml:space="preserve">Scénář vývoje </w:t>
      </w:r>
      <w:proofErr w:type="spellStart"/>
      <w:r w:rsidRPr="00A1242E">
        <w:rPr>
          <w:rFonts w:ascii="Times New Roman" w:hAnsi="Times New Roman" w:cs="Times New Roman"/>
          <w:b/>
          <w:sz w:val="23"/>
          <w:szCs w:val="23"/>
          <w:u w:val="single"/>
        </w:rPr>
        <w:t>elektromobility</w:t>
      </w:r>
      <w:proofErr w:type="spellEnd"/>
      <w:r w:rsidRPr="00A1242E">
        <w:rPr>
          <w:rFonts w:ascii="Times New Roman" w:hAnsi="Times New Roman" w:cs="Times New Roman"/>
          <w:b/>
          <w:sz w:val="23"/>
          <w:szCs w:val="23"/>
          <w:u w:val="single"/>
        </w:rPr>
        <w:t xml:space="preserve"> podle Aktualizace NAP CM</w:t>
      </w:r>
    </w:p>
    <w:p w:rsidR="00DB2850" w:rsidRPr="00E16981" w:rsidRDefault="00DB2850" w:rsidP="00DB2850">
      <w:pPr>
        <w:spacing w:before="120" w:after="120"/>
        <w:rPr>
          <w:rFonts w:ascii="Times New Roman" w:hAnsi="Times New Roman" w:cs="Times New Roman"/>
          <w:b/>
          <w:sz w:val="23"/>
          <w:szCs w:val="23"/>
        </w:rPr>
      </w:pPr>
      <w:r w:rsidRPr="00E16981">
        <w:rPr>
          <w:rFonts w:ascii="Times New Roman" w:hAnsi="Times New Roman" w:cs="Times New Roman"/>
          <w:b/>
          <w:sz w:val="23"/>
          <w:szCs w:val="23"/>
        </w:rPr>
        <w:t>Rozvoj infrastruktury dobíjecích stanic</w:t>
      </w:r>
    </w:p>
    <w:p w:rsidR="00DB2850" w:rsidRPr="00E16981" w:rsidRDefault="00DB2850" w:rsidP="00DB2850">
      <w:pPr>
        <w:spacing w:before="120" w:after="120"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t>Dobíjecí infrastruktura bude obsahovat poměrně široké portfolio technologií (dobíjecí body jak AC, tak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DC, instalovaných podle typu lokality)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zastoupení jednotlivých typů dobíjecích stanic se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čase bude vyvíjet.</w:t>
      </w:r>
    </w:p>
    <w:tbl>
      <w:tblPr>
        <w:tblStyle w:val="Mkatabulky2"/>
        <w:tblW w:w="0" w:type="auto"/>
        <w:tblInd w:w="-5" w:type="dxa"/>
        <w:tblLook w:val="04A0" w:firstRow="1" w:lastRow="0" w:firstColumn="1" w:lastColumn="0" w:noHBand="0" w:noVBand="1"/>
      </w:tblPr>
      <w:tblGrid>
        <w:gridCol w:w="3513"/>
        <w:gridCol w:w="3059"/>
        <w:gridCol w:w="3061"/>
      </w:tblGrid>
      <w:tr w:rsidR="00DB2850" w:rsidRPr="00E16981" w:rsidTr="00377365">
        <w:tc>
          <w:tcPr>
            <w:tcW w:w="3513" w:type="dxa"/>
          </w:tcPr>
          <w:p w:rsidR="00DB2850" w:rsidRPr="00E16981" w:rsidRDefault="00DB2850" w:rsidP="00377365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E16981">
              <w:rPr>
                <w:rFonts w:ascii="Times New Roman" w:hAnsi="Times New Roman" w:cs="Times New Roman"/>
                <w:sz w:val="23"/>
                <w:szCs w:val="23"/>
              </w:rPr>
              <w:t>Scénář pro rok 2030 dle Aktualizace NAP CM</w:t>
            </w:r>
          </w:p>
        </w:tc>
        <w:tc>
          <w:tcPr>
            <w:tcW w:w="3059" w:type="dxa"/>
          </w:tcPr>
          <w:p w:rsidR="00DB2850" w:rsidRPr="00E16981" w:rsidRDefault="00DB2850" w:rsidP="00377365">
            <w:pPr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6981">
              <w:rPr>
                <w:rFonts w:ascii="Times New Roman" w:hAnsi="Times New Roman" w:cs="Times New Roman"/>
                <w:sz w:val="23"/>
                <w:szCs w:val="23"/>
              </w:rPr>
              <w:t>Veřejně přístupná dobíjecí infrastruktura dobíjecích bodů 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E16981">
              <w:rPr>
                <w:rFonts w:ascii="Times New Roman" w:hAnsi="Times New Roman" w:cs="Times New Roman"/>
                <w:sz w:val="23"/>
                <w:szCs w:val="23"/>
              </w:rPr>
              <w:t>roce 2025</w:t>
            </w:r>
          </w:p>
        </w:tc>
        <w:tc>
          <w:tcPr>
            <w:tcW w:w="3061" w:type="dxa"/>
          </w:tcPr>
          <w:p w:rsidR="00DB2850" w:rsidRPr="00E16981" w:rsidRDefault="00DB2850" w:rsidP="00377365">
            <w:pPr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6981">
              <w:rPr>
                <w:rFonts w:ascii="Times New Roman" w:hAnsi="Times New Roman" w:cs="Times New Roman"/>
                <w:sz w:val="23"/>
                <w:szCs w:val="23"/>
              </w:rPr>
              <w:t>Veřejně přístupná dobíjecí infrastruktura dobíjecích bodů dobíjecích bodů 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E16981">
              <w:rPr>
                <w:rFonts w:ascii="Times New Roman" w:hAnsi="Times New Roman" w:cs="Times New Roman"/>
                <w:sz w:val="23"/>
                <w:szCs w:val="23"/>
              </w:rPr>
              <w:t>roce 2030</w:t>
            </w:r>
          </w:p>
        </w:tc>
      </w:tr>
      <w:tr w:rsidR="00DB2850" w:rsidRPr="00E16981" w:rsidTr="00377365">
        <w:tc>
          <w:tcPr>
            <w:tcW w:w="3513" w:type="dxa"/>
          </w:tcPr>
          <w:p w:rsidR="00DB2850" w:rsidRPr="00971B4F" w:rsidRDefault="00DB2850" w:rsidP="00377365">
            <w:pPr>
              <w:spacing w:before="120"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71B4F">
              <w:rPr>
                <w:rFonts w:ascii="Times New Roman" w:hAnsi="Times New Roman" w:cs="Times New Roman"/>
                <w:b/>
                <w:sz w:val="23"/>
                <w:szCs w:val="23"/>
              </w:rPr>
              <w:t>220 000 vozidel</w:t>
            </w:r>
          </w:p>
        </w:tc>
        <w:tc>
          <w:tcPr>
            <w:tcW w:w="3059" w:type="dxa"/>
          </w:tcPr>
          <w:p w:rsidR="00DB2850" w:rsidRPr="00971B4F" w:rsidRDefault="00DB2850" w:rsidP="003773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71B4F">
              <w:rPr>
                <w:rFonts w:ascii="Times New Roman" w:hAnsi="Times New Roman" w:cs="Times New Roman"/>
                <w:b/>
                <w:sz w:val="23"/>
                <w:szCs w:val="23"/>
              </w:rPr>
              <w:t>6 200</w:t>
            </w:r>
          </w:p>
        </w:tc>
        <w:tc>
          <w:tcPr>
            <w:tcW w:w="3061" w:type="dxa"/>
          </w:tcPr>
          <w:p w:rsidR="00DB2850" w:rsidRPr="00971B4F" w:rsidRDefault="00DB2850" w:rsidP="003773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71B4F">
              <w:rPr>
                <w:rFonts w:ascii="Times New Roman" w:hAnsi="Times New Roman" w:cs="Times New Roman"/>
                <w:b/>
                <w:sz w:val="23"/>
                <w:szCs w:val="23"/>
              </w:rPr>
              <w:t>19 000</w:t>
            </w:r>
          </w:p>
        </w:tc>
      </w:tr>
      <w:tr w:rsidR="00DB2850" w:rsidRPr="00E16981" w:rsidTr="00377365">
        <w:tc>
          <w:tcPr>
            <w:tcW w:w="3513" w:type="dxa"/>
          </w:tcPr>
          <w:p w:rsidR="00DB2850" w:rsidRPr="00971B4F" w:rsidRDefault="00DB2850" w:rsidP="00377365">
            <w:pPr>
              <w:spacing w:before="120" w:after="12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71B4F">
              <w:rPr>
                <w:rFonts w:ascii="Times New Roman" w:hAnsi="Times New Roman" w:cs="Times New Roman"/>
                <w:bCs/>
                <w:sz w:val="23"/>
                <w:szCs w:val="23"/>
              </w:rPr>
              <w:t>500 000 vozidel</w:t>
            </w:r>
          </w:p>
        </w:tc>
        <w:tc>
          <w:tcPr>
            <w:tcW w:w="3059" w:type="dxa"/>
          </w:tcPr>
          <w:p w:rsidR="00DB2850" w:rsidRPr="00971B4F" w:rsidRDefault="00DB2850" w:rsidP="0037736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71B4F">
              <w:rPr>
                <w:rFonts w:ascii="Times New Roman" w:hAnsi="Times New Roman" w:cs="Times New Roman"/>
                <w:bCs/>
                <w:sz w:val="23"/>
                <w:szCs w:val="23"/>
              </w:rPr>
              <w:t>11 000</w:t>
            </w:r>
          </w:p>
        </w:tc>
        <w:tc>
          <w:tcPr>
            <w:tcW w:w="3061" w:type="dxa"/>
          </w:tcPr>
          <w:p w:rsidR="00DB2850" w:rsidRPr="00971B4F" w:rsidRDefault="00DB2850" w:rsidP="0037736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71B4F">
              <w:rPr>
                <w:rFonts w:ascii="Times New Roman" w:hAnsi="Times New Roman" w:cs="Times New Roman"/>
                <w:bCs/>
                <w:sz w:val="23"/>
                <w:szCs w:val="23"/>
              </w:rPr>
              <w:t>35 000</w:t>
            </w:r>
          </w:p>
        </w:tc>
      </w:tr>
    </w:tbl>
    <w:p w:rsidR="00DB2850" w:rsidRPr="00E16981" w:rsidRDefault="00DB2850" w:rsidP="00DB2850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</w:p>
    <w:p w:rsidR="00DB2850" w:rsidRPr="00E16981" w:rsidRDefault="00DB2850" w:rsidP="00DB2850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sz w:val="23"/>
          <w:szCs w:val="23"/>
        </w:rPr>
        <w:lastRenderedPageBreak/>
        <w:t xml:space="preserve">Nižší hranice intervalu </w:t>
      </w:r>
      <w:r w:rsidRPr="00E16981">
        <w:rPr>
          <w:rFonts w:ascii="Times New Roman" w:hAnsi="Times New Roman" w:cs="Times New Roman"/>
          <w:b/>
          <w:sz w:val="23"/>
          <w:szCs w:val="23"/>
        </w:rPr>
        <w:t>220 000</w:t>
      </w:r>
      <w:r w:rsidRPr="00E16981">
        <w:rPr>
          <w:rFonts w:ascii="Times New Roman" w:hAnsi="Times New Roman" w:cs="Times New Roman"/>
          <w:sz w:val="23"/>
          <w:szCs w:val="23"/>
        </w:rPr>
        <w:t xml:space="preserve"> elektromobilů vychází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zásadě z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 xml:space="preserve">výše uvedené predikce SDA. Jako horní hranice intervalu byla definována hodnota </w:t>
      </w:r>
      <w:r w:rsidRPr="00E16981">
        <w:rPr>
          <w:rFonts w:ascii="Times New Roman" w:hAnsi="Times New Roman" w:cs="Times New Roman"/>
          <w:b/>
          <w:sz w:val="23"/>
          <w:szCs w:val="23"/>
        </w:rPr>
        <w:t>500 000 elektromobilů</w:t>
      </w:r>
      <w:r w:rsidRPr="00E16981">
        <w:rPr>
          <w:rFonts w:ascii="Times New Roman" w:hAnsi="Times New Roman" w:cs="Times New Roman"/>
          <w:sz w:val="23"/>
          <w:szCs w:val="23"/>
        </w:rPr>
        <w:t xml:space="preserve"> (BEV)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ulicích k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roku 2030. Představuje zhruba 7 % vozového parku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představuje ambici spojenou s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posílením postavení ČR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oblasti inovací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sektoru automobilové dopravy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zajištění odpovídajícího postavení na tomto trhu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rámci EU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globálně. Hodnota horní hranice intervalu je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souladu s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plněním emisního cíle pro automobilky za zachování struktury prodejů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>dovozů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16981">
        <w:rPr>
          <w:rFonts w:ascii="Times New Roman" w:hAnsi="Times New Roman" w:cs="Times New Roman"/>
          <w:sz w:val="23"/>
          <w:szCs w:val="23"/>
        </w:rPr>
        <w:t xml:space="preserve">vývozů vozidel (tj. plnění emisního cíle na území ČR). </w:t>
      </w:r>
    </w:p>
    <w:p w:rsidR="00DB2850" w:rsidRPr="00A1242E" w:rsidRDefault="00DB2850" w:rsidP="00DB2850">
      <w:pPr>
        <w:spacing w:before="120" w:after="12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1242E">
        <w:rPr>
          <w:rFonts w:ascii="Times New Roman" w:hAnsi="Times New Roman" w:cs="Times New Roman"/>
          <w:b/>
          <w:sz w:val="23"/>
          <w:szCs w:val="23"/>
          <w:u w:val="single"/>
        </w:rPr>
        <w:t>Scénář vývoje vozového parku za vodík k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 </w:t>
      </w:r>
      <w:r w:rsidRPr="00A1242E">
        <w:rPr>
          <w:rFonts w:ascii="Times New Roman" w:hAnsi="Times New Roman" w:cs="Times New Roman"/>
          <w:b/>
          <w:sz w:val="23"/>
          <w:szCs w:val="23"/>
          <w:u w:val="single"/>
        </w:rPr>
        <w:t>roku 2030</w:t>
      </w:r>
    </w:p>
    <w:p w:rsidR="00DB2850" w:rsidRPr="0091015F" w:rsidRDefault="00DB2850" w:rsidP="00DB2850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osobní vozila </w:t>
      </w:r>
      <w:r>
        <w:rPr>
          <w:rFonts w:ascii="Times New Roman" w:hAnsi="Times New Roman" w:cs="Times New Roman"/>
          <w:sz w:val="23"/>
          <w:szCs w:val="23"/>
        </w:rPr>
        <w:tab/>
      </w:r>
      <w:r w:rsidRPr="0091015F">
        <w:rPr>
          <w:rFonts w:ascii="Times New Roman" w:hAnsi="Times New Roman" w:cs="Times New Roman"/>
          <w:sz w:val="23"/>
          <w:szCs w:val="23"/>
        </w:rPr>
        <w:tab/>
        <w:t>40 000 - 50 000 ks</w:t>
      </w:r>
    </w:p>
    <w:p w:rsidR="00DB2850" w:rsidRPr="0091015F" w:rsidRDefault="00DB2850" w:rsidP="00DB2850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 w:rsidRPr="0091015F">
        <w:rPr>
          <w:rFonts w:ascii="Times New Roman" w:hAnsi="Times New Roman" w:cs="Times New Roman"/>
          <w:sz w:val="23"/>
          <w:szCs w:val="23"/>
        </w:rPr>
        <w:t>autobusy</w:t>
      </w:r>
      <w:r w:rsidRPr="0091015F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91015F">
        <w:rPr>
          <w:rFonts w:ascii="Times New Roman" w:hAnsi="Times New Roman" w:cs="Times New Roman"/>
          <w:sz w:val="23"/>
          <w:szCs w:val="23"/>
        </w:rPr>
        <w:t>870 ks</w:t>
      </w:r>
    </w:p>
    <w:p w:rsidR="00DB2850" w:rsidRPr="00A1242E" w:rsidRDefault="00DB2850" w:rsidP="00DB2850">
      <w:pPr>
        <w:spacing w:before="120" w:after="12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97632">
        <w:rPr>
          <w:rFonts w:ascii="Times New Roman" w:hAnsi="Times New Roman" w:cs="Times New Roman"/>
          <w:bCs/>
          <w:sz w:val="23"/>
          <w:szCs w:val="23"/>
        </w:rPr>
        <w:t xml:space="preserve">Plnicí stanice </w:t>
      </w:r>
      <w:r w:rsidRPr="00F97632"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91015F">
        <w:rPr>
          <w:rFonts w:ascii="Times New Roman" w:hAnsi="Times New Roman" w:cs="Times New Roman"/>
          <w:sz w:val="23"/>
          <w:szCs w:val="23"/>
        </w:rPr>
        <w:t>80 ks</w:t>
      </w:r>
    </w:p>
    <w:p w:rsidR="00DB2850" w:rsidRPr="00A1242E" w:rsidRDefault="00DB2850" w:rsidP="00DB2850">
      <w:pPr>
        <w:spacing w:before="120" w:after="12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bookmarkStart w:id="8" w:name="_Hlk57022081"/>
      <w:r w:rsidRPr="00A1242E">
        <w:rPr>
          <w:rFonts w:ascii="Times New Roman" w:hAnsi="Times New Roman" w:cs="Times New Roman"/>
          <w:b/>
          <w:sz w:val="23"/>
          <w:szCs w:val="23"/>
          <w:u w:val="single"/>
        </w:rPr>
        <w:t>Scénář vývoje vozového parku za CNG k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 </w:t>
      </w:r>
      <w:r w:rsidRPr="00A1242E">
        <w:rPr>
          <w:rFonts w:ascii="Times New Roman" w:hAnsi="Times New Roman" w:cs="Times New Roman"/>
          <w:b/>
          <w:sz w:val="23"/>
          <w:szCs w:val="23"/>
          <w:u w:val="single"/>
        </w:rPr>
        <w:t>roku 2030</w:t>
      </w:r>
    </w:p>
    <w:bookmarkEnd w:id="8"/>
    <w:p w:rsidR="00DB2850" w:rsidRPr="0091015F" w:rsidRDefault="00DB2850" w:rsidP="00DB2850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 w:rsidRPr="0091015F">
        <w:rPr>
          <w:rFonts w:ascii="Times New Roman" w:hAnsi="Times New Roman" w:cs="Times New Roman"/>
          <w:sz w:val="23"/>
          <w:szCs w:val="23"/>
        </w:rPr>
        <w:t xml:space="preserve">CNG </w:t>
      </w:r>
      <w:r>
        <w:rPr>
          <w:rFonts w:ascii="Times New Roman" w:hAnsi="Times New Roman" w:cs="Times New Roman"/>
          <w:sz w:val="23"/>
          <w:szCs w:val="23"/>
        </w:rPr>
        <w:t>osobní vozidla</w:t>
      </w:r>
      <w:r w:rsidRPr="0091015F">
        <w:rPr>
          <w:rFonts w:ascii="Times New Roman" w:hAnsi="Times New Roman" w:cs="Times New Roman"/>
          <w:sz w:val="23"/>
          <w:szCs w:val="23"/>
        </w:rPr>
        <w:tab/>
        <w:t>20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91015F">
        <w:rPr>
          <w:rFonts w:ascii="Times New Roman" w:hAnsi="Times New Roman" w:cs="Times New Roman"/>
          <w:sz w:val="23"/>
          <w:szCs w:val="23"/>
        </w:rPr>
        <w:t>000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1015F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1015F">
        <w:rPr>
          <w:rFonts w:ascii="Times New Roman" w:hAnsi="Times New Roman" w:cs="Times New Roman"/>
          <w:sz w:val="23"/>
          <w:szCs w:val="23"/>
        </w:rPr>
        <w:t>44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91015F">
        <w:rPr>
          <w:rFonts w:ascii="Times New Roman" w:hAnsi="Times New Roman" w:cs="Times New Roman"/>
          <w:sz w:val="23"/>
          <w:szCs w:val="23"/>
        </w:rPr>
        <w:t>600</w:t>
      </w:r>
      <w:r>
        <w:rPr>
          <w:rFonts w:ascii="Times New Roman" w:hAnsi="Times New Roman" w:cs="Times New Roman"/>
          <w:sz w:val="23"/>
          <w:szCs w:val="23"/>
        </w:rPr>
        <w:t xml:space="preserve"> ks</w:t>
      </w:r>
    </w:p>
    <w:p w:rsidR="00DB2850" w:rsidRPr="0091015F" w:rsidRDefault="00DB2850" w:rsidP="00DB2850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 w:rsidRPr="0091015F">
        <w:rPr>
          <w:rFonts w:ascii="Times New Roman" w:hAnsi="Times New Roman" w:cs="Times New Roman"/>
          <w:sz w:val="23"/>
          <w:szCs w:val="23"/>
        </w:rPr>
        <w:t xml:space="preserve">CNG </w:t>
      </w:r>
      <w:r>
        <w:rPr>
          <w:rFonts w:ascii="Times New Roman" w:hAnsi="Times New Roman" w:cs="Times New Roman"/>
          <w:sz w:val="23"/>
          <w:szCs w:val="23"/>
        </w:rPr>
        <w:t>auto</w:t>
      </w:r>
      <w:r w:rsidRPr="0091015F">
        <w:rPr>
          <w:rFonts w:ascii="Times New Roman" w:hAnsi="Times New Roman" w:cs="Times New Roman"/>
          <w:sz w:val="23"/>
          <w:szCs w:val="23"/>
        </w:rPr>
        <w:t>busy</w:t>
      </w:r>
      <w:r w:rsidRPr="0091015F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91015F">
        <w:rPr>
          <w:rFonts w:ascii="Times New Roman" w:hAnsi="Times New Roman" w:cs="Times New Roman"/>
          <w:sz w:val="23"/>
          <w:szCs w:val="23"/>
        </w:rPr>
        <w:t>1 740 - 2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91015F">
        <w:rPr>
          <w:rFonts w:ascii="Times New Roman" w:hAnsi="Times New Roman" w:cs="Times New Roman"/>
          <w:sz w:val="23"/>
          <w:szCs w:val="23"/>
        </w:rPr>
        <w:t>650</w:t>
      </w:r>
      <w:r>
        <w:rPr>
          <w:rFonts w:ascii="Times New Roman" w:hAnsi="Times New Roman" w:cs="Times New Roman"/>
          <w:sz w:val="23"/>
          <w:szCs w:val="23"/>
        </w:rPr>
        <w:t xml:space="preserve"> ks</w:t>
      </w:r>
    </w:p>
    <w:p w:rsidR="00DB2850" w:rsidRPr="00A1242E" w:rsidRDefault="00DB2850" w:rsidP="00DB2850">
      <w:pPr>
        <w:spacing w:before="120" w:after="12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97632">
        <w:rPr>
          <w:rFonts w:ascii="Times New Roman" w:hAnsi="Times New Roman" w:cs="Times New Roman"/>
          <w:bCs/>
          <w:sz w:val="23"/>
          <w:szCs w:val="23"/>
        </w:rPr>
        <w:t>Plnicí stanice</w:t>
      </w:r>
      <w:r w:rsidRPr="0091015F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91015F">
        <w:rPr>
          <w:rFonts w:ascii="Times New Roman" w:hAnsi="Times New Roman" w:cs="Times New Roman"/>
          <w:sz w:val="23"/>
          <w:szCs w:val="23"/>
        </w:rPr>
        <w:t xml:space="preserve">350–400 ks </w:t>
      </w:r>
    </w:p>
    <w:p w:rsidR="00DB2850" w:rsidRPr="00A1242E" w:rsidRDefault="00DB2850" w:rsidP="00DB2850">
      <w:pPr>
        <w:spacing w:before="120" w:after="12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1242E">
        <w:rPr>
          <w:rFonts w:ascii="Times New Roman" w:hAnsi="Times New Roman" w:cs="Times New Roman"/>
          <w:b/>
          <w:sz w:val="23"/>
          <w:szCs w:val="23"/>
          <w:u w:val="single"/>
        </w:rPr>
        <w:t>Scénáře vývoje vozového parku za LNG k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 </w:t>
      </w:r>
      <w:r w:rsidRPr="00A1242E">
        <w:rPr>
          <w:rFonts w:ascii="Times New Roman" w:hAnsi="Times New Roman" w:cs="Times New Roman"/>
          <w:b/>
          <w:sz w:val="23"/>
          <w:szCs w:val="23"/>
          <w:u w:val="single"/>
        </w:rPr>
        <w:t>roku 2030</w:t>
      </w:r>
    </w:p>
    <w:p w:rsidR="00DB2850" w:rsidRPr="0091015F" w:rsidRDefault="00DB2850" w:rsidP="00DB2850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 w:rsidRPr="0091015F">
        <w:rPr>
          <w:rFonts w:ascii="Times New Roman" w:hAnsi="Times New Roman" w:cs="Times New Roman"/>
          <w:sz w:val="23"/>
          <w:szCs w:val="23"/>
        </w:rPr>
        <w:t>kamiony</w:t>
      </w:r>
      <w:r w:rsidRPr="0091015F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91015F">
        <w:rPr>
          <w:rFonts w:ascii="Times New Roman" w:hAnsi="Times New Roman" w:cs="Times New Roman"/>
          <w:sz w:val="23"/>
          <w:szCs w:val="23"/>
        </w:rPr>
        <w:t>3 500 - 6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91015F">
        <w:rPr>
          <w:rFonts w:ascii="Times New Roman" w:hAnsi="Times New Roman" w:cs="Times New Roman"/>
          <w:sz w:val="23"/>
          <w:szCs w:val="23"/>
        </w:rPr>
        <w:t>900</w:t>
      </w:r>
      <w:r>
        <w:rPr>
          <w:rFonts w:ascii="Times New Roman" w:hAnsi="Times New Roman" w:cs="Times New Roman"/>
          <w:sz w:val="23"/>
          <w:szCs w:val="23"/>
        </w:rPr>
        <w:t xml:space="preserve"> ks</w:t>
      </w:r>
    </w:p>
    <w:p w:rsidR="00DB2850" w:rsidRDefault="00DB2850" w:rsidP="00DB2850">
      <w:pPr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r w:rsidRPr="00F97632">
        <w:rPr>
          <w:rFonts w:ascii="Times New Roman" w:hAnsi="Times New Roman" w:cs="Times New Roman"/>
          <w:bCs/>
          <w:sz w:val="23"/>
          <w:szCs w:val="23"/>
        </w:rPr>
        <w:t>Plnicí stanice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910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1015F">
        <w:rPr>
          <w:rFonts w:ascii="Times New Roman" w:hAnsi="Times New Roman" w:cs="Times New Roman"/>
          <w:sz w:val="23"/>
          <w:szCs w:val="23"/>
        </w:rPr>
        <w:t xml:space="preserve">30 ks </w:t>
      </w:r>
    </w:p>
    <w:p w:rsidR="00DB2850" w:rsidRDefault="00DB2850" w:rsidP="00A1242E">
      <w:pPr>
        <w:spacing w:before="120" w:after="12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436A3E" w:rsidRPr="00654BC3" w:rsidRDefault="00436A3E" w:rsidP="00A1242E">
      <w:pPr>
        <w:spacing w:before="120" w:after="12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654BC3">
        <w:rPr>
          <w:rFonts w:ascii="Times New Roman" w:hAnsi="Times New Roman" w:cs="Times New Roman"/>
          <w:b/>
          <w:sz w:val="23"/>
          <w:szCs w:val="23"/>
          <w:u w:val="single"/>
        </w:rPr>
        <w:t>Podpor</w:t>
      </w:r>
      <w:r w:rsidR="00174DAD">
        <w:rPr>
          <w:rFonts w:ascii="Times New Roman" w:hAnsi="Times New Roman" w:cs="Times New Roman"/>
          <w:b/>
          <w:sz w:val="23"/>
          <w:szCs w:val="23"/>
          <w:u w:val="single"/>
        </w:rPr>
        <w:t>a</w:t>
      </w:r>
      <w:r w:rsidRPr="00654BC3">
        <w:rPr>
          <w:rFonts w:ascii="Times New Roman" w:hAnsi="Times New Roman" w:cs="Times New Roman"/>
          <w:b/>
          <w:sz w:val="23"/>
          <w:szCs w:val="23"/>
          <w:u w:val="single"/>
        </w:rPr>
        <w:t xml:space="preserve"> čisté mobility </w:t>
      </w:r>
      <w:r w:rsidR="003A12B0" w:rsidRPr="00654BC3">
        <w:rPr>
          <w:rFonts w:ascii="Times New Roman" w:hAnsi="Times New Roman" w:cs="Times New Roman"/>
          <w:b/>
          <w:sz w:val="23"/>
          <w:szCs w:val="23"/>
          <w:u w:val="single"/>
        </w:rPr>
        <w:t>2020–2027</w:t>
      </w:r>
    </w:p>
    <w:p w:rsidR="00436A3E" w:rsidRPr="00E43F0A" w:rsidRDefault="0017296A" w:rsidP="00A1242E">
      <w:pPr>
        <w:numPr>
          <w:ilvl w:val="0"/>
          <w:numId w:val="29"/>
        </w:numPr>
        <w:spacing w:before="120" w:after="120"/>
        <w:contextualSpacing/>
        <w:rPr>
          <w:rFonts w:cstheme="minorHAnsi"/>
        </w:rPr>
      </w:pPr>
      <w:r w:rsidRPr="00E43F0A">
        <w:rPr>
          <w:rFonts w:cstheme="minorHAnsi"/>
          <w:b/>
        </w:rPr>
        <w:t>OP Technologie a</w:t>
      </w:r>
      <w:r w:rsidR="00741E3B">
        <w:rPr>
          <w:rFonts w:cstheme="minorHAnsi"/>
          <w:b/>
        </w:rPr>
        <w:t> </w:t>
      </w:r>
      <w:r w:rsidRPr="00E43F0A">
        <w:rPr>
          <w:rFonts w:cstheme="minorHAnsi"/>
          <w:b/>
        </w:rPr>
        <w:t xml:space="preserve">aplikace pro konkurenceschopnost – </w:t>
      </w:r>
      <w:r w:rsidRPr="00E43F0A">
        <w:rPr>
          <w:rFonts w:cstheme="minorHAnsi"/>
          <w:bCs/>
        </w:rPr>
        <w:t>podpora</w:t>
      </w:r>
      <w:r w:rsidR="00436A3E" w:rsidRPr="00E43F0A">
        <w:rPr>
          <w:rFonts w:cstheme="minorHAnsi"/>
        </w:rPr>
        <w:t xml:space="preserve"> nákupu elektromobilů, LNG kamionů a</w:t>
      </w:r>
      <w:r w:rsidR="00741E3B">
        <w:rPr>
          <w:rFonts w:cstheme="minorHAnsi"/>
        </w:rPr>
        <w:t> </w:t>
      </w:r>
      <w:r w:rsidR="00436A3E" w:rsidRPr="00E43F0A">
        <w:rPr>
          <w:rFonts w:cstheme="minorHAnsi"/>
        </w:rPr>
        <w:t xml:space="preserve">dobíjecích stanic pro podnikatele 0,5 -1,0 mld. Kč </w:t>
      </w:r>
      <w:r w:rsidR="00436A3E" w:rsidRPr="00E43F0A">
        <w:rPr>
          <w:rFonts w:cstheme="minorHAnsi"/>
          <w:b/>
        </w:rPr>
        <w:t xml:space="preserve"> </w:t>
      </w:r>
    </w:p>
    <w:p w:rsidR="00436A3E" w:rsidRPr="00E43F0A" w:rsidRDefault="0017296A" w:rsidP="00A1242E">
      <w:pPr>
        <w:numPr>
          <w:ilvl w:val="0"/>
          <w:numId w:val="29"/>
        </w:numPr>
        <w:spacing w:before="120" w:after="120"/>
        <w:contextualSpacing/>
        <w:rPr>
          <w:rFonts w:cstheme="minorHAnsi"/>
        </w:rPr>
      </w:pPr>
      <w:r w:rsidRPr="00E43F0A">
        <w:rPr>
          <w:rFonts w:cstheme="minorHAnsi"/>
          <w:b/>
        </w:rPr>
        <w:t>Integrovaný regionální operační program</w:t>
      </w:r>
      <w:r w:rsidRPr="00E43F0A">
        <w:rPr>
          <w:rFonts w:cstheme="minorHAnsi"/>
          <w:bCs/>
        </w:rPr>
        <w:t xml:space="preserve"> – podpora</w:t>
      </w:r>
      <w:r w:rsidR="00436A3E" w:rsidRPr="00E43F0A">
        <w:rPr>
          <w:rFonts w:cstheme="minorHAnsi"/>
        </w:rPr>
        <w:t xml:space="preserve"> vozidel a</w:t>
      </w:r>
      <w:r w:rsidR="00741E3B">
        <w:rPr>
          <w:rFonts w:cstheme="minorHAnsi"/>
        </w:rPr>
        <w:t> </w:t>
      </w:r>
      <w:r w:rsidR="00436A3E" w:rsidRPr="00E43F0A">
        <w:rPr>
          <w:rFonts w:cstheme="minorHAnsi"/>
        </w:rPr>
        <w:t>infrastruktury na alternativní paliva (veřejná doprava) 5-10 mld. Kč (přesná alokace není známa)</w:t>
      </w:r>
    </w:p>
    <w:p w:rsidR="00436A3E" w:rsidRPr="00A6645C" w:rsidRDefault="00436A3E" w:rsidP="00A1242E">
      <w:pPr>
        <w:numPr>
          <w:ilvl w:val="0"/>
          <w:numId w:val="29"/>
        </w:numPr>
        <w:spacing w:before="120" w:after="120"/>
        <w:contextualSpacing/>
        <w:rPr>
          <w:rFonts w:cstheme="minorHAnsi"/>
        </w:rPr>
      </w:pPr>
      <w:r w:rsidRPr="00E43F0A">
        <w:rPr>
          <w:rFonts w:cstheme="minorHAnsi"/>
          <w:b/>
        </w:rPr>
        <w:t>OP</w:t>
      </w:r>
      <w:r w:rsidR="0017296A" w:rsidRPr="00E43F0A">
        <w:rPr>
          <w:rFonts w:cstheme="minorHAnsi"/>
          <w:b/>
        </w:rPr>
        <w:t xml:space="preserve"> </w:t>
      </w:r>
      <w:r w:rsidR="003A12B0" w:rsidRPr="00E43F0A">
        <w:rPr>
          <w:rFonts w:cstheme="minorHAnsi"/>
          <w:b/>
        </w:rPr>
        <w:t xml:space="preserve">Doprava – </w:t>
      </w:r>
      <w:r w:rsidR="003A12B0" w:rsidRPr="00E43F0A">
        <w:rPr>
          <w:rFonts w:cstheme="minorHAnsi"/>
          <w:bCs/>
        </w:rPr>
        <w:t>podpora</w:t>
      </w:r>
      <w:r w:rsidRPr="00E43F0A">
        <w:rPr>
          <w:rFonts w:cstheme="minorHAnsi"/>
        </w:rPr>
        <w:t xml:space="preserve"> výstavby veřejné dobíjecí a</w:t>
      </w:r>
      <w:r w:rsidR="00741E3B">
        <w:rPr>
          <w:rFonts w:cstheme="minorHAnsi"/>
        </w:rPr>
        <w:t> </w:t>
      </w:r>
      <w:r w:rsidRPr="00E43F0A">
        <w:rPr>
          <w:rFonts w:cstheme="minorHAnsi"/>
        </w:rPr>
        <w:t xml:space="preserve">plnicí infrastruktury </w:t>
      </w:r>
      <w:r w:rsidR="0096299A">
        <w:rPr>
          <w:rFonts w:cstheme="minorHAnsi"/>
        </w:rPr>
        <w:t xml:space="preserve">3,5 - </w:t>
      </w:r>
      <w:r w:rsidRPr="00E43F0A">
        <w:rPr>
          <w:rFonts w:cstheme="minorHAnsi"/>
        </w:rPr>
        <w:t>4 mld. Kč (z toho</w:t>
      </w:r>
      <w:r w:rsidRPr="00E43F0A">
        <w:rPr>
          <w:rFonts w:cstheme="minorHAnsi"/>
          <w:bCs/>
        </w:rPr>
        <w:t xml:space="preserve"> cca 3,3 mld. Kč na </w:t>
      </w:r>
      <w:r w:rsidR="003A12B0" w:rsidRPr="00E43F0A">
        <w:rPr>
          <w:rFonts w:cstheme="minorHAnsi"/>
          <w:bCs/>
        </w:rPr>
        <w:t xml:space="preserve">cca </w:t>
      </w:r>
      <w:r w:rsidR="0096299A">
        <w:rPr>
          <w:rFonts w:cstheme="minorHAnsi"/>
          <w:bCs/>
        </w:rPr>
        <w:t>10 000</w:t>
      </w:r>
      <w:r w:rsidRPr="00E43F0A">
        <w:rPr>
          <w:rFonts w:cstheme="minorHAnsi"/>
          <w:bCs/>
        </w:rPr>
        <w:t xml:space="preserve"> tis. dobíjecích stanic</w:t>
      </w:r>
      <w:r w:rsidR="00A6645C" w:rsidRPr="00A6645C">
        <w:rPr>
          <w:b/>
        </w:rPr>
        <w:t xml:space="preserve"> </w:t>
      </w:r>
      <w:r w:rsidR="00A6645C" w:rsidRPr="00A6645C">
        <w:t>a</w:t>
      </w:r>
      <w:r w:rsidR="00741E3B">
        <w:t> </w:t>
      </w:r>
      <w:r w:rsidR="00A6645C" w:rsidRPr="00A6645C">
        <w:t>500 mil. plnicí stanice vodík a</w:t>
      </w:r>
      <w:r w:rsidR="00741E3B">
        <w:t> </w:t>
      </w:r>
      <w:r w:rsidR="00A6645C" w:rsidRPr="00A6645C">
        <w:t>200 mil. plnicí stanice LNG</w:t>
      </w:r>
      <w:r w:rsidR="00904992" w:rsidRPr="00A6645C">
        <w:rPr>
          <w:rFonts w:cstheme="minorHAnsi"/>
          <w:bCs/>
        </w:rPr>
        <w:t>)</w:t>
      </w:r>
    </w:p>
    <w:p w:rsidR="00A6645C" w:rsidRPr="00A6645C" w:rsidRDefault="00A6645C" w:rsidP="00A6645C">
      <w:pPr>
        <w:pStyle w:val="Odstavecseseznamem"/>
        <w:numPr>
          <w:ilvl w:val="0"/>
          <w:numId w:val="29"/>
        </w:numPr>
        <w:rPr>
          <w:rFonts w:cstheme="minorHAnsi"/>
          <w:b/>
        </w:rPr>
      </w:pPr>
      <w:r w:rsidRPr="00A6645C">
        <w:rPr>
          <w:rFonts w:cstheme="minorHAnsi"/>
          <w:b/>
        </w:rPr>
        <w:t xml:space="preserve">Nová zelená úsporám </w:t>
      </w:r>
    </w:p>
    <w:p w:rsidR="00436A3E" w:rsidRPr="00E43F0A" w:rsidRDefault="00436A3E" w:rsidP="00A1242E">
      <w:pPr>
        <w:numPr>
          <w:ilvl w:val="0"/>
          <w:numId w:val="29"/>
        </w:numPr>
        <w:spacing w:before="120" w:after="120"/>
        <w:contextualSpacing/>
        <w:rPr>
          <w:rFonts w:cstheme="minorHAnsi"/>
        </w:rPr>
      </w:pPr>
      <w:r w:rsidRPr="00E43F0A">
        <w:rPr>
          <w:rFonts w:cstheme="minorHAnsi"/>
          <w:b/>
        </w:rPr>
        <w:t>Modernizační fond</w:t>
      </w:r>
      <w:r w:rsidRPr="00E43F0A">
        <w:rPr>
          <w:rFonts w:cstheme="minorHAnsi"/>
        </w:rPr>
        <w:t xml:space="preserve"> </w:t>
      </w:r>
      <w:r w:rsidR="00904992" w:rsidRPr="00E43F0A">
        <w:rPr>
          <w:rFonts w:cstheme="minorHAnsi"/>
        </w:rPr>
        <w:tab/>
      </w:r>
      <w:r w:rsidRPr="00E43F0A">
        <w:rPr>
          <w:rFonts w:cstheme="minorHAnsi"/>
        </w:rPr>
        <w:t>Modernizace dopravy v</w:t>
      </w:r>
      <w:r w:rsidR="00741E3B">
        <w:rPr>
          <w:rFonts w:cstheme="minorHAnsi"/>
        </w:rPr>
        <w:t> </w:t>
      </w:r>
      <w:r w:rsidRPr="00E43F0A">
        <w:rPr>
          <w:rFonts w:cstheme="minorHAnsi"/>
        </w:rPr>
        <w:t>podnikatelském sektoru</w:t>
      </w:r>
      <w:r w:rsidRPr="00E43F0A">
        <w:rPr>
          <w:rFonts w:cstheme="minorHAnsi"/>
        </w:rPr>
        <w:tab/>
        <w:t>5,4 mld. Kč</w:t>
      </w:r>
    </w:p>
    <w:p w:rsidR="00436A3E" w:rsidRPr="00E43F0A" w:rsidRDefault="00436A3E" w:rsidP="00A1242E">
      <w:pPr>
        <w:spacing w:before="120" w:after="120"/>
        <w:ind w:left="2136" w:firstLine="696"/>
        <w:contextualSpacing/>
        <w:rPr>
          <w:rFonts w:cstheme="minorHAnsi"/>
        </w:rPr>
      </w:pPr>
      <w:r w:rsidRPr="00E43F0A">
        <w:rPr>
          <w:rFonts w:cstheme="minorHAnsi"/>
        </w:rPr>
        <w:t>Modernizace veřejné dopravy</w:t>
      </w:r>
      <w:r w:rsidRPr="00E43F0A">
        <w:rPr>
          <w:rFonts w:cstheme="minorHAnsi"/>
        </w:rPr>
        <w:tab/>
      </w:r>
      <w:r w:rsidR="00904992" w:rsidRPr="00E43F0A">
        <w:rPr>
          <w:rFonts w:cstheme="minorHAnsi"/>
        </w:rPr>
        <w:tab/>
      </w:r>
      <w:r w:rsidR="00904992" w:rsidRPr="00E43F0A">
        <w:rPr>
          <w:rFonts w:cstheme="minorHAnsi"/>
        </w:rPr>
        <w:tab/>
      </w:r>
      <w:r w:rsidR="00904992" w:rsidRPr="00E43F0A">
        <w:rPr>
          <w:rFonts w:cstheme="minorHAnsi"/>
        </w:rPr>
        <w:tab/>
      </w:r>
      <w:r w:rsidRPr="00E43F0A">
        <w:rPr>
          <w:rFonts w:cstheme="minorHAnsi"/>
        </w:rPr>
        <w:t>7,7 mld. Kč</w:t>
      </w:r>
    </w:p>
    <w:p w:rsidR="007B24DF" w:rsidRPr="007B24DF" w:rsidRDefault="00436A3E" w:rsidP="00A1242E">
      <w:pPr>
        <w:numPr>
          <w:ilvl w:val="0"/>
          <w:numId w:val="29"/>
        </w:numPr>
        <w:spacing w:before="120" w:after="120"/>
        <w:contextualSpacing/>
        <w:rPr>
          <w:rFonts w:cstheme="minorHAnsi"/>
        </w:rPr>
      </w:pPr>
      <w:r w:rsidRPr="00E43F0A">
        <w:rPr>
          <w:rFonts w:cstheme="minorHAnsi"/>
          <w:b/>
        </w:rPr>
        <w:t xml:space="preserve">Fond </w:t>
      </w:r>
      <w:r w:rsidR="006B326A" w:rsidRPr="00E43F0A">
        <w:rPr>
          <w:rFonts w:cstheme="minorHAnsi"/>
          <w:b/>
        </w:rPr>
        <w:t>obnovy</w:t>
      </w:r>
      <w:r w:rsidR="006B326A" w:rsidRPr="00E43F0A">
        <w:rPr>
          <w:rFonts w:cstheme="minorHAnsi"/>
        </w:rPr>
        <w:t xml:space="preserve"> </w:t>
      </w:r>
      <w:r w:rsidR="006B326A">
        <w:rPr>
          <w:rFonts w:cstheme="minorHAnsi"/>
        </w:rPr>
        <w:t>– podpora</w:t>
      </w:r>
      <w:r w:rsidRPr="00E43F0A">
        <w:rPr>
          <w:rFonts w:cstheme="minorHAnsi"/>
        </w:rPr>
        <w:t xml:space="preserve"> </w:t>
      </w:r>
      <w:r w:rsidR="00537529">
        <w:rPr>
          <w:rFonts w:cstheme="minorHAnsi"/>
        </w:rPr>
        <w:t xml:space="preserve">výstavby infrastruktury a pořizování </w:t>
      </w:r>
      <w:r w:rsidRPr="00E43F0A">
        <w:rPr>
          <w:rFonts w:cstheme="minorHAnsi"/>
        </w:rPr>
        <w:t>vozidel na alternativní paliva 9,44</w:t>
      </w:r>
      <w:r w:rsidR="00974A80">
        <w:rPr>
          <w:rFonts w:cstheme="minorHAnsi"/>
        </w:rPr>
        <w:t> </w:t>
      </w:r>
      <w:r w:rsidRPr="00E43F0A">
        <w:rPr>
          <w:rFonts w:cstheme="minorHAnsi"/>
        </w:rPr>
        <w:t>mld.</w:t>
      </w:r>
      <w:r w:rsidR="00974A80">
        <w:rPr>
          <w:rFonts w:cstheme="minorHAnsi"/>
        </w:rPr>
        <w:t> </w:t>
      </w:r>
      <w:r w:rsidRPr="00E43F0A">
        <w:rPr>
          <w:rFonts w:cstheme="minorHAnsi"/>
        </w:rPr>
        <w:t>Kč (dle současného návrhu</w:t>
      </w:r>
      <w:r w:rsidR="00904992" w:rsidRPr="00E43F0A">
        <w:rPr>
          <w:rFonts w:cstheme="minorHAnsi"/>
        </w:rPr>
        <w:t>)</w:t>
      </w:r>
      <w:r w:rsidR="007B24DF">
        <w:rPr>
          <w:rFonts w:cstheme="minorHAnsi"/>
          <w:b/>
        </w:rPr>
        <w:t>.</w:t>
      </w:r>
    </w:p>
    <w:p w:rsidR="00436A3E" w:rsidRPr="00FB07D8" w:rsidRDefault="007B24DF" w:rsidP="007B24DF">
      <w:pPr>
        <w:spacing w:before="120" w:after="120"/>
        <w:ind w:left="360"/>
        <w:contextualSpacing/>
        <w:rPr>
          <w:rFonts w:cstheme="minorHAnsi"/>
          <w:u w:val="single"/>
        </w:rPr>
      </w:pPr>
      <w:r>
        <w:rPr>
          <w:rFonts w:cstheme="minorHAnsi"/>
          <w:b/>
        </w:rPr>
        <w:tab/>
      </w:r>
      <w:r w:rsidRPr="00FB07D8">
        <w:rPr>
          <w:rFonts w:cstheme="minorHAnsi"/>
          <w:u w:val="single"/>
        </w:rPr>
        <w:t xml:space="preserve">Infrastruktura </w:t>
      </w:r>
      <w:r w:rsidR="00B65B44">
        <w:rPr>
          <w:rFonts w:cstheme="minorHAnsi"/>
          <w:u w:val="single"/>
        </w:rPr>
        <w:t>pro</w:t>
      </w:r>
      <w:r w:rsidRPr="00FB07D8">
        <w:rPr>
          <w:rFonts w:cstheme="minorHAnsi"/>
          <w:u w:val="single"/>
        </w:rPr>
        <w:t xml:space="preserve"> alternativní paliva</w:t>
      </w:r>
    </w:p>
    <w:p w:rsidR="00436A3E" w:rsidRPr="00E43F0A" w:rsidRDefault="00436A3E" w:rsidP="00A1242E">
      <w:pPr>
        <w:spacing w:before="120" w:after="120"/>
        <w:ind w:left="720"/>
        <w:contextualSpacing/>
        <w:rPr>
          <w:rFonts w:cstheme="minorHAnsi"/>
          <w:b/>
        </w:rPr>
      </w:pPr>
      <w:r w:rsidRPr="00D02748">
        <w:rPr>
          <w:rFonts w:cstheme="minorHAnsi"/>
        </w:rPr>
        <w:t xml:space="preserve">veřejných dobíjecích bodů </w:t>
      </w:r>
      <w:r w:rsidR="0017296A" w:rsidRPr="00D02748">
        <w:rPr>
          <w:rFonts w:cstheme="minorHAnsi"/>
        </w:rPr>
        <w:tab/>
      </w:r>
      <w:r w:rsidR="00EE684E" w:rsidRPr="00D02748">
        <w:rPr>
          <w:rFonts w:cstheme="minorHAnsi"/>
        </w:rPr>
        <w:t xml:space="preserve">2 240 </w:t>
      </w:r>
      <w:r w:rsidRPr="00E43F0A">
        <w:rPr>
          <w:rFonts w:cstheme="minorHAnsi"/>
        </w:rPr>
        <w:t>za (</w:t>
      </w:r>
      <w:r w:rsidR="00EE684E">
        <w:rPr>
          <w:rFonts w:cstheme="minorHAnsi"/>
        </w:rPr>
        <w:t xml:space="preserve">1 </w:t>
      </w:r>
      <w:r w:rsidRPr="00E43F0A">
        <w:rPr>
          <w:rFonts w:cstheme="minorHAnsi"/>
        </w:rPr>
        <w:t>8</w:t>
      </w:r>
      <w:r w:rsidR="00EE684E">
        <w:rPr>
          <w:rFonts w:cstheme="minorHAnsi"/>
        </w:rPr>
        <w:t>25</w:t>
      </w:r>
      <w:r w:rsidRPr="00E43F0A">
        <w:rPr>
          <w:rFonts w:cstheme="minorHAnsi"/>
        </w:rPr>
        <w:t xml:space="preserve"> mil. Kč), </w:t>
      </w:r>
    </w:p>
    <w:p w:rsidR="00436A3E" w:rsidRPr="00E43F0A" w:rsidRDefault="00436A3E" w:rsidP="00A1242E">
      <w:pPr>
        <w:spacing w:before="120" w:after="120"/>
        <w:ind w:left="2124" w:firstLine="696"/>
        <w:contextualSpacing/>
        <w:rPr>
          <w:rFonts w:cstheme="minorHAnsi"/>
        </w:rPr>
      </w:pPr>
      <w:r w:rsidRPr="00E43F0A">
        <w:rPr>
          <w:rFonts w:cstheme="minorHAnsi"/>
          <w:b/>
        </w:rPr>
        <w:t xml:space="preserve">     </w:t>
      </w:r>
      <w:r w:rsidR="0017296A" w:rsidRPr="00E43F0A">
        <w:rPr>
          <w:rFonts w:cstheme="minorHAnsi"/>
          <w:b/>
        </w:rPr>
        <w:tab/>
      </w:r>
      <w:r w:rsidRPr="00D02748">
        <w:rPr>
          <w:rFonts w:cstheme="minorHAnsi"/>
        </w:rPr>
        <w:t xml:space="preserve">3 600 </w:t>
      </w:r>
      <w:r w:rsidRPr="00E43F0A">
        <w:rPr>
          <w:rFonts w:cstheme="minorHAnsi"/>
        </w:rPr>
        <w:t xml:space="preserve">dobíjecích bodů obytné domy za 180 mil. Kč, </w:t>
      </w:r>
    </w:p>
    <w:p w:rsidR="00436A3E" w:rsidRPr="00E43F0A" w:rsidRDefault="00436A3E" w:rsidP="00A1242E">
      <w:pPr>
        <w:spacing w:before="120" w:after="120"/>
        <w:ind w:left="2124" w:firstLine="696"/>
        <w:contextualSpacing/>
        <w:rPr>
          <w:rFonts w:cstheme="minorHAnsi"/>
        </w:rPr>
      </w:pPr>
      <w:r w:rsidRPr="00E43F0A">
        <w:rPr>
          <w:rFonts w:cstheme="minorHAnsi"/>
        </w:rPr>
        <w:t xml:space="preserve">     </w:t>
      </w:r>
      <w:r w:rsidR="0017296A" w:rsidRPr="00E43F0A">
        <w:rPr>
          <w:rFonts w:cstheme="minorHAnsi"/>
        </w:rPr>
        <w:tab/>
      </w:r>
      <w:r w:rsidR="00EE684E" w:rsidRPr="00D02748">
        <w:rPr>
          <w:rFonts w:cstheme="minorHAnsi"/>
        </w:rPr>
        <w:t>950</w:t>
      </w:r>
      <w:r w:rsidRPr="00E43F0A">
        <w:rPr>
          <w:rFonts w:cstheme="minorHAnsi"/>
        </w:rPr>
        <w:t xml:space="preserve"> dobíjecích bodů </w:t>
      </w:r>
      <w:r w:rsidR="00EE684E">
        <w:rPr>
          <w:rFonts w:cstheme="minorHAnsi"/>
        </w:rPr>
        <w:t xml:space="preserve">(u </w:t>
      </w:r>
      <w:r w:rsidR="00FC6325" w:rsidRPr="00FC6325">
        <w:rPr>
          <w:rFonts w:cstheme="minorHAnsi"/>
        </w:rPr>
        <w:t>obc</w:t>
      </w:r>
      <w:r w:rsidR="00FC6325">
        <w:rPr>
          <w:rFonts w:cstheme="minorHAnsi"/>
        </w:rPr>
        <w:t>í</w:t>
      </w:r>
      <w:r w:rsidR="00FC6325" w:rsidRPr="00FC6325">
        <w:rPr>
          <w:rFonts w:cstheme="minorHAnsi"/>
        </w:rPr>
        <w:t>, kraj</w:t>
      </w:r>
      <w:r w:rsidR="00FC6325">
        <w:rPr>
          <w:rFonts w:cstheme="minorHAnsi"/>
        </w:rPr>
        <w:t>ů</w:t>
      </w:r>
      <w:r w:rsidR="00FC6325" w:rsidRPr="00FC6325">
        <w:rPr>
          <w:rFonts w:cstheme="minorHAnsi"/>
        </w:rPr>
        <w:t>, státní správ</w:t>
      </w:r>
      <w:r w:rsidR="00FC6325">
        <w:rPr>
          <w:rFonts w:cstheme="minorHAnsi"/>
        </w:rPr>
        <w:t>y</w:t>
      </w:r>
      <w:r w:rsidR="00EE684E">
        <w:rPr>
          <w:rFonts w:cstheme="minorHAnsi"/>
        </w:rPr>
        <w:t xml:space="preserve">) </w:t>
      </w:r>
      <w:r w:rsidRPr="00E43F0A">
        <w:rPr>
          <w:rFonts w:cstheme="minorHAnsi"/>
        </w:rPr>
        <w:t>za 250 mil. Kč</w:t>
      </w:r>
      <w:r w:rsidR="00511ECB">
        <w:rPr>
          <w:rFonts w:cstheme="minorHAnsi"/>
        </w:rPr>
        <w:t>,</w:t>
      </w:r>
    </w:p>
    <w:p w:rsidR="00436A3E" w:rsidRPr="00E43F0A" w:rsidRDefault="00436A3E" w:rsidP="00A1242E">
      <w:pPr>
        <w:spacing w:before="120" w:after="120"/>
        <w:ind w:left="720"/>
        <w:contextualSpacing/>
        <w:rPr>
          <w:rFonts w:cstheme="minorHAnsi"/>
        </w:rPr>
      </w:pPr>
      <w:r w:rsidRPr="00D02748">
        <w:rPr>
          <w:rFonts w:cstheme="minorHAnsi"/>
        </w:rPr>
        <w:t xml:space="preserve">neveřejných </w:t>
      </w:r>
      <w:r w:rsidR="0017296A" w:rsidRPr="00D02748">
        <w:rPr>
          <w:rFonts w:cstheme="minorHAnsi"/>
        </w:rPr>
        <w:tab/>
      </w:r>
      <w:r w:rsidRPr="00D02748">
        <w:rPr>
          <w:rFonts w:cstheme="minorHAnsi"/>
        </w:rPr>
        <w:t xml:space="preserve">210 </w:t>
      </w:r>
      <w:r w:rsidRPr="00E43F0A">
        <w:rPr>
          <w:rFonts w:cstheme="minorHAnsi"/>
        </w:rPr>
        <w:t>dobíjecích bodů DPHMP (1 200 mil. Kč),</w:t>
      </w:r>
    </w:p>
    <w:p w:rsidR="00436A3E" w:rsidRPr="00E43F0A" w:rsidRDefault="00436A3E" w:rsidP="00A1242E">
      <w:pPr>
        <w:spacing w:before="120" w:after="120"/>
        <w:ind w:left="720"/>
        <w:contextualSpacing/>
        <w:rPr>
          <w:rFonts w:cstheme="minorHAnsi"/>
        </w:rPr>
      </w:pPr>
      <w:r w:rsidRPr="00E43F0A">
        <w:rPr>
          <w:rFonts w:cstheme="minorHAnsi"/>
          <w:b/>
        </w:rPr>
        <w:t xml:space="preserve">                     </w:t>
      </w:r>
      <w:r w:rsidR="0017296A" w:rsidRPr="00E43F0A">
        <w:rPr>
          <w:rFonts w:cstheme="minorHAnsi"/>
          <w:b/>
        </w:rPr>
        <w:tab/>
      </w:r>
      <w:r w:rsidRPr="00D02748">
        <w:rPr>
          <w:rFonts w:cstheme="minorHAnsi"/>
        </w:rPr>
        <w:t xml:space="preserve">1 940 </w:t>
      </w:r>
      <w:r w:rsidRPr="00E43F0A">
        <w:rPr>
          <w:rFonts w:cstheme="minorHAnsi"/>
        </w:rPr>
        <w:t>dobíjecích bodů podnikatelé (300 mil. Kč)</w:t>
      </w:r>
      <w:r w:rsidR="00511ECB">
        <w:rPr>
          <w:rFonts w:cstheme="minorHAnsi"/>
        </w:rPr>
        <w:t>,</w:t>
      </w:r>
    </w:p>
    <w:p w:rsidR="0091015F" w:rsidRPr="00625FC9" w:rsidRDefault="0091015F" w:rsidP="00A1242E">
      <w:pPr>
        <w:spacing w:before="120" w:after="120" w:line="240" w:lineRule="auto"/>
        <w:ind w:firstLine="708"/>
        <w:rPr>
          <w:rFonts w:cstheme="minorHAnsi"/>
          <w:b/>
        </w:rPr>
      </w:pPr>
      <w:r w:rsidRPr="00D02748">
        <w:rPr>
          <w:rFonts w:cstheme="minorHAnsi"/>
        </w:rPr>
        <w:t xml:space="preserve">veřejné vodíkové plničky </w:t>
      </w:r>
      <w:r w:rsidR="00EE684E" w:rsidRPr="00D02748">
        <w:rPr>
          <w:rFonts w:cstheme="minorHAnsi"/>
        </w:rPr>
        <w:t xml:space="preserve">4 </w:t>
      </w:r>
      <w:r w:rsidRPr="00D02748">
        <w:rPr>
          <w:rFonts w:cstheme="minorHAnsi"/>
        </w:rPr>
        <w:t xml:space="preserve">ks </w:t>
      </w:r>
      <w:r w:rsidR="00511ECB" w:rsidRPr="00511ECB">
        <w:rPr>
          <w:rFonts w:cstheme="minorHAnsi"/>
        </w:rPr>
        <w:t>za 2</w:t>
      </w:r>
      <w:r w:rsidR="00EE684E">
        <w:rPr>
          <w:rFonts w:cstheme="minorHAnsi"/>
        </w:rPr>
        <w:t>8</w:t>
      </w:r>
      <w:r w:rsidR="00511ECB" w:rsidRPr="00511ECB">
        <w:rPr>
          <w:rFonts w:cstheme="minorHAnsi"/>
        </w:rPr>
        <w:t>0 mil. Kč</w:t>
      </w:r>
      <w:r w:rsidR="00511ECB">
        <w:rPr>
          <w:rFonts w:cstheme="minorHAnsi"/>
        </w:rPr>
        <w:t>,</w:t>
      </w:r>
    </w:p>
    <w:p w:rsidR="00004BA4" w:rsidRDefault="0091015F" w:rsidP="00511ECB">
      <w:pPr>
        <w:spacing w:before="120" w:after="120" w:line="240" w:lineRule="auto"/>
        <w:ind w:firstLine="708"/>
      </w:pPr>
      <w:r w:rsidRPr="00D02748">
        <w:rPr>
          <w:rFonts w:cstheme="minorHAnsi"/>
        </w:rPr>
        <w:t>plniček na LNG 5 ks</w:t>
      </w:r>
      <w:r w:rsidR="00511ECB" w:rsidRPr="00D02748">
        <w:rPr>
          <w:rFonts w:cstheme="minorHAnsi"/>
        </w:rPr>
        <w:t xml:space="preserve"> </w:t>
      </w:r>
      <w:r w:rsidR="00511ECB" w:rsidRPr="00511ECB">
        <w:rPr>
          <w:rFonts w:cstheme="minorHAnsi"/>
        </w:rPr>
        <w:t xml:space="preserve">za </w:t>
      </w:r>
      <w:r w:rsidR="00511ECB" w:rsidRPr="00511ECB">
        <w:t>100 mil. Kč.</w:t>
      </w:r>
    </w:p>
    <w:p w:rsidR="00EE684E" w:rsidRPr="00FB07D8" w:rsidRDefault="00EE684E" w:rsidP="00FB07D8">
      <w:pPr>
        <w:spacing w:before="120" w:after="120"/>
        <w:ind w:left="720"/>
        <w:contextualSpacing/>
        <w:rPr>
          <w:rFonts w:cstheme="minorHAnsi"/>
          <w:u w:val="single"/>
        </w:rPr>
      </w:pPr>
      <w:r w:rsidRPr="00FB07D8">
        <w:rPr>
          <w:rFonts w:cstheme="minorHAnsi"/>
          <w:u w:val="single"/>
        </w:rPr>
        <w:lastRenderedPageBreak/>
        <w:t xml:space="preserve">Dopravní prostředky na alternativní paliva  </w:t>
      </w:r>
    </w:p>
    <w:p w:rsidR="00EE684E" w:rsidRPr="0013655A" w:rsidRDefault="00EE684E" w:rsidP="00FB07D8">
      <w:pPr>
        <w:spacing w:before="120" w:after="120" w:line="240" w:lineRule="auto"/>
        <w:ind w:left="708"/>
        <w:rPr>
          <w:rFonts w:cstheme="minorHAnsi"/>
        </w:rPr>
      </w:pPr>
      <w:r w:rsidRPr="0013655A">
        <w:rPr>
          <w:rFonts w:cstheme="minorHAnsi"/>
        </w:rPr>
        <w:t xml:space="preserve">3 135 vozidel na alternativní paliva pro podnikatele (včetně 1 000 </w:t>
      </w:r>
      <w:proofErr w:type="spellStart"/>
      <w:r w:rsidRPr="0013655A">
        <w:rPr>
          <w:rFonts w:cstheme="minorHAnsi"/>
        </w:rPr>
        <w:t>cargo</w:t>
      </w:r>
      <w:proofErr w:type="spellEnd"/>
      <w:r w:rsidRPr="0013655A">
        <w:rPr>
          <w:rFonts w:cstheme="minorHAnsi"/>
        </w:rPr>
        <w:t xml:space="preserve"> </w:t>
      </w:r>
      <w:proofErr w:type="spellStart"/>
      <w:r w:rsidRPr="0013655A">
        <w:rPr>
          <w:rFonts w:cstheme="minorHAnsi"/>
        </w:rPr>
        <w:t>ekol</w:t>
      </w:r>
      <w:proofErr w:type="spellEnd"/>
      <w:r w:rsidRPr="0013655A">
        <w:rPr>
          <w:rFonts w:cstheme="minorHAnsi"/>
        </w:rPr>
        <w:t xml:space="preserve">) </w:t>
      </w:r>
    </w:p>
    <w:p w:rsidR="00EE684E" w:rsidRPr="0013655A" w:rsidRDefault="00EE684E" w:rsidP="00FB07D8">
      <w:pPr>
        <w:spacing w:before="120" w:after="120" w:line="240" w:lineRule="auto"/>
        <w:ind w:left="708"/>
        <w:rPr>
          <w:rFonts w:cstheme="minorHAnsi"/>
        </w:rPr>
      </w:pPr>
      <w:r w:rsidRPr="0013655A">
        <w:rPr>
          <w:rFonts w:cstheme="minorHAnsi"/>
        </w:rPr>
        <w:t>4 1</w:t>
      </w:r>
      <w:r w:rsidR="0054472B">
        <w:rPr>
          <w:rFonts w:cstheme="minorHAnsi"/>
        </w:rPr>
        <w:t>71</w:t>
      </w:r>
      <w:r w:rsidRPr="0013655A">
        <w:rPr>
          <w:rFonts w:cstheme="minorHAnsi"/>
        </w:rPr>
        <w:t xml:space="preserve"> vozidel pro obce, kraje a státní správu, </w:t>
      </w:r>
    </w:p>
    <w:p w:rsidR="00EE684E" w:rsidRPr="0013655A" w:rsidRDefault="00EE684E" w:rsidP="00FB07D8">
      <w:pPr>
        <w:spacing w:before="120" w:after="120" w:line="240" w:lineRule="auto"/>
        <w:ind w:left="708"/>
        <w:rPr>
          <w:rFonts w:cstheme="minorHAnsi"/>
        </w:rPr>
      </w:pPr>
      <w:r w:rsidRPr="0013655A">
        <w:rPr>
          <w:rFonts w:cstheme="minorHAnsi"/>
        </w:rPr>
        <w:t>220 vozidel (</w:t>
      </w:r>
      <w:proofErr w:type="spellStart"/>
      <w:r w:rsidRPr="0013655A">
        <w:rPr>
          <w:rFonts w:cstheme="minorHAnsi"/>
        </w:rPr>
        <w:t>elektrobusy</w:t>
      </w:r>
      <w:proofErr w:type="spellEnd"/>
      <w:r w:rsidRPr="0013655A">
        <w:rPr>
          <w:rFonts w:cstheme="minorHAnsi"/>
        </w:rPr>
        <w:t xml:space="preserve"> a hybridní autobusy) pro veřejnou dopravu v Praze </w:t>
      </w:r>
    </w:p>
    <w:p w:rsidR="00EE684E" w:rsidRPr="0013655A" w:rsidRDefault="00EE684E" w:rsidP="00FB07D8">
      <w:pPr>
        <w:spacing w:before="120" w:after="120" w:line="240" w:lineRule="auto"/>
        <w:ind w:left="708"/>
        <w:rPr>
          <w:rFonts w:cstheme="minorHAnsi"/>
        </w:rPr>
      </w:pPr>
      <w:r w:rsidRPr="0013655A">
        <w:rPr>
          <w:rFonts w:cstheme="minorHAnsi"/>
        </w:rPr>
        <w:t>14 lokomotiv/jednotek na alternativní pohon (z toho 9 bateriových elektrických (BEMU) a 5 vodíkových (HMU)),</w:t>
      </w:r>
    </w:p>
    <w:p w:rsidR="00EE684E" w:rsidRPr="0013655A" w:rsidRDefault="00EE684E" w:rsidP="00FB07D8">
      <w:pPr>
        <w:spacing w:before="120" w:after="120" w:line="240" w:lineRule="auto"/>
        <w:ind w:left="708"/>
        <w:rPr>
          <w:rFonts w:cstheme="minorHAnsi"/>
        </w:rPr>
      </w:pPr>
      <w:r w:rsidRPr="0013655A">
        <w:rPr>
          <w:rFonts w:cstheme="minorHAnsi"/>
        </w:rPr>
        <w:t xml:space="preserve">50 </w:t>
      </w:r>
      <w:proofErr w:type="gramStart"/>
      <w:r w:rsidRPr="0013655A">
        <w:rPr>
          <w:rFonts w:cstheme="minorHAnsi"/>
        </w:rPr>
        <w:t>lodí - přestavba</w:t>
      </w:r>
      <w:proofErr w:type="gramEnd"/>
      <w:r w:rsidRPr="0013655A">
        <w:rPr>
          <w:rFonts w:cstheme="minorHAnsi"/>
        </w:rPr>
        <w:t xml:space="preserve"> na bateriové elektrické plavidlo </w:t>
      </w:r>
    </w:p>
    <w:p w:rsidR="00DC4A4A" w:rsidRPr="0013655A" w:rsidRDefault="00DC4A4A" w:rsidP="00FB07D8">
      <w:pPr>
        <w:spacing w:before="120" w:after="120" w:line="240" w:lineRule="auto"/>
        <w:ind w:left="708"/>
        <w:rPr>
          <w:rFonts w:cstheme="minorHAnsi"/>
          <w:u w:val="single"/>
        </w:rPr>
      </w:pPr>
      <w:r w:rsidRPr="0013655A">
        <w:rPr>
          <w:rFonts w:cstheme="minorHAnsi"/>
          <w:u w:val="single"/>
        </w:rPr>
        <w:t>Bioplynové stanice</w:t>
      </w:r>
    </w:p>
    <w:p w:rsidR="00EE684E" w:rsidRPr="0013655A" w:rsidRDefault="00DC4A4A" w:rsidP="00FB07D8">
      <w:pPr>
        <w:spacing w:before="120" w:after="120" w:line="240" w:lineRule="auto"/>
        <w:ind w:left="708"/>
        <w:rPr>
          <w:rFonts w:cstheme="minorHAnsi"/>
        </w:rPr>
      </w:pPr>
      <w:r w:rsidRPr="0013655A">
        <w:rPr>
          <w:rFonts w:cstheme="minorHAnsi"/>
        </w:rPr>
        <w:t xml:space="preserve">10 </w:t>
      </w:r>
      <w:proofErr w:type="spellStart"/>
      <w:r w:rsidRPr="0013655A">
        <w:rPr>
          <w:rFonts w:cstheme="minorHAnsi"/>
        </w:rPr>
        <w:t>biometanových</w:t>
      </w:r>
      <w:proofErr w:type="spellEnd"/>
      <w:r w:rsidRPr="0013655A">
        <w:rPr>
          <w:rFonts w:cstheme="minorHAnsi"/>
        </w:rPr>
        <w:t xml:space="preserve"> stanic (</w:t>
      </w:r>
      <w:r w:rsidR="00EE684E" w:rsidRPr="0013655A">
        <w:rPr>
          <w:rFonts w:cstheme="minorHAnsi"/>
        </w:rPr>
        <w:t>výstavb</w:t>
      </w:r>
      <w:r w:rsidRPr="0013655A">
        <w:rPr>
          <w:rFonts w:cstheme="minorHAnsi"/>
        </w:rPr>
        <w:t>a</w:t>
      </w:r>
      <w:r w:rsidR="00EE684E" w:rsidRPr="0013655A">
        <w:rPr>
          <w:rFonts w:cstheme="minorHAnsi"/>
        </w:rPr>
        <w:t>/přestavb</w:t>
      </w:r>
      <w:r w:rsidRPr="0013655A">
        <w:rPr>
          <w:rFonts w:cstheme="minorHAnsi"/>
        </w:rPr>
        <w:t>a).</w:t>
      </w:r>
    </w:p>
    <w:p w:rsidR="00DC4A4A" w:rsidRDefault="00DC4A4A" w:rsidP="00C46EB1">
      <w:pPr>
        <w:spacing w:before="120" w:after="120" w:line="240" w:lineRule="auto"/>
        <w:rPr>
          <w:rFonts w:cstheme="minorHAnsi"/>
          <w:b/>
        </w:rPr>
      </w:pPr>
    </w:p>
    <w:p w:rsidR="007A2737" w:rsidRPr="00E16981" w:rsidRDefault="007A2737" w:rsidP="00A1242E">
      <w:pPr>
        <w:pStyle w:val="K-Nadpis3"/>
        <w:spacing w:line="293" w:lineRule="auto"/>
        <w:rPr>
          <w:sz w:val="23"/>
        </w:rPr>
      </w:pPr>
      <w:r w:rsidRPr="00E16981">
        <w:rPr>
          <w:sz w:val="23"/>
        </w:rPr>
        <w:t>d) Předchozí snahy</w:t>
      </w:r>
    </w:p>
    <w:p w:rsidR="002F1D49" w:rsidRPr="00654BC3" w:rsidRDefault="002F1D49" w:rsidP="00A1242E">
      <w:pPr>
        <w:spacing w:before="120" w:after="12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654BC3">
        <w:rPr>
          <w:rFonts w:ascii="Times New Roman" w:hAnsi="Times New Roman" w:cs="Times New Roman"/>
          <w:b/>
          <w:sz w:val="23"/>
          <w:szCs w:val="23"/>
          <w:u w:val="single"/>
        </w:rPr>
        <w:t xml:space="preserve">Podpory čisté mobility </w:t>
      </w:r>
      <w:r w:rsidR="003A12B0" w:rsidRPr="00654BC3">
        <w:rPr>
          <w:rFonts w:ascii="Times New Roman" w:hAnsi="Times New Roman" w:cs="Times New Roman"/>
          <w:b/>
          <w:sz w:val="23"/>
          <w:szCs w:val="23"/>
          <w:u w:val="single"/>
        </w:rPr>
        <w:t>2014–2020</w:t>
      </w:r>
    </w:p>
    <w:p w:rsidR="002F1D49" w:rsidRPr="00654BC3" w:rsidRDefault="002F1D49" w:rsidP="00A1242E">
      <w:pPr>
        <w:numPr>
          <w:ilvl w:val="0"/>
          <w:numId w:val="28"/>
        </w:numPr>
        <w:spacing w:before="120" w:after="120"/>
        <w:ind w:left="714" w:hanging="357"/>
        <w:contextualSpacing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b/>
          <w:sz w:val="23"/>
          <w:szCs w:val="23"/>
        </w:rPr>
        <w:t>OP</w:t>
      </w:r>
      <w:r w:rsidR="003A12B0" w:rsidRPr="003A12B0">
        <w:rPr>
          <w:rFonts w:ascii="Times New Roman" w:hAnsi="Times New Roman" w:cs="Times New Roman"/>
          <w:b/>
          <w:sz w:val="23"/>
          <w:szCs w:val="23"/>
        </w:rPr>
        <w:t xml:space="preserve"> Podnikání a</w:t>
      </w:r>
      <w:r w:rsidR="00741E3B">
        <w:rPr>
          <w:rFonts w:ascii="Times New Roman" w:hAnsi="Times New Roman" w:cs="Times New Roman"/>
          <w:b/>
          <w:sz w:val="23"/>
          <w:szCs w:val="23"/>
        </w:rPr>
        <w:t> </w:t>
      </w:r>
      <w:r w:rsidR="003A12B0" w:rsidRPr="003A12B0">
        <w:rPr>
          <w:rFonts w:ascii="Times New Roman" w:hAnsi="Times New Roman" w:cs="Times New Roman"/>
          <w:b/>
          <w:sz w:val="23"/>
          <w:szCs w:val="23"/>
        </w:rPr>
        <w:t>inovace pro konkurenceschopnost</w:t>
      </w:r>
      <w:r w:rsidR="003A12B0">
        <w:rPr>
          <w:rFonts w:ascii="Times New Roman" w:hAnsi="Times New Roman" w:cs="Times New Roman"/>
          <w:sz w:val="23"/>
          <w:szCs w:val="23"/>
        </w:rPr>
        <w:t xml:space="preserve"> – podpora</w:t>
      </w:r>
      <w:r w:rsidRPr="00654BC3">
        <w:rPr>
          <w:rFonts w:ascii="Times New Roman" w:hAnsi="Times New Roman" w:cs="Times New Roman"/>
          <w:sz w:val="23"/>
          <w:szCs w:val="23"/>
        </w:rPr>
        <w:t xml:space="preserve"> nákupu elektromobilů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654BC3">
        <w:rPr>
          <w:rFonts w:ascii="Times New Roman" w:hAnsi="Times New Roman" w:cs="Times New Roman"/>
          <w:sz w:val="23"/>
          <w:szCs w:val="23"/>
        </w:rPr>
        <w:t>dobíjecích stanic pro podnikatele 0,6 mld. Kč dle schválených projektů; přes 1 300 EV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654BC3">
        <w:rPr>
          <w:rFonts w:ascii="Times New Roman" w:hAnsi="Times New Roman" w:cs="Times New Roman"/>
          <w:sz w:val="23"/>
          <w:szCs w:val="23"/>
        </w:rPr>
        <w:t xml:space="preserve">více než 200 dobíjecích stanic </w:t>
      </w:r>
      <w:r w:rsidR="00DC4A4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F1D49" w:rsidRPr="00E16981" w:rsidRDefault="00904992" w:rsidP="00A1242E">
      <w:pPr>
        <w:numPr>
          <w:ilvl w:val="0"/>
          <w:numId w:val="28"/>
        </w:numPr>
        <w:spacing w:before="120" w:after="120"/>
        <w:ind w:left="714" w:hanging="357"/>
        <w:contextualSpacing/>
        <w:rPr>
          <w:rFonts w:ascii="Times New Roman" w:hAnsi="Times New Roman" w:cs="Times New Roman"/>
          <w:sz w:val="23"/>
          <w:szCs w:val="23"/>
        </w:rPr>
      </w:pPr>
      <w:bookmarkStart w:id="9" w:name="_Hlk58396537"/>
      <w:r w:rsidRPr="00904992">
        <w:rPr>
          <w:rFonts w:ascii="Times New Roman" w:hAnsi="Times New Roman" w:cs="Times New Roman"/>
          <w:b/>
          <w:sz w:val="23"/>
          <w:szCs w:val="23"/>
        </w:rPr>
        <w:t xml:space="preserve">Integrovaný regionální operační </w:t>
      </w:r>
      <w:bookmarkEnd w:id="9"/>
      <w:r w:rsidR="003A12B0" w:rsidRPr="00904992">
        <w:rPr>
          <w:rFonts w:ascii="Times New Roman" w:hAnsi="Times New Roman" w:cs="Times New Roman"/>
          <w:b/>
          <w:sz w:val="23"/>
          <w:szCs w:val="23"/>
        </w:rPr>
        <w:t>program</w:t>
      </w:r>
      <w:r w:rsidR="003A12B0">
        <w:rPr>
          <w:rFonts w:ascii="Arial" w:hAnsi="Arial" w:cs="Arial"/>
          <w:bCs/>
        </w:rPr>
        <w:t xml:space="preserve"> – podpora</w:t>
      </w:r>
      <w:r w:rsidR="002F1D49" w:rsidRPr="00654BC3">
        <w:rPr>
          <w:rFonts w:ascii="Times New Roman" w:hAnsi="Times New Roman" w:cs="Times New Roman"/>
          <w:sz w:val="23"/>
          <w:szCs w:val="23"/>
        </w:rPr>
        <w:t xml:space="preserve"> vozidel na alternativní paliva (veřejná doprava); 8,5 mld. Kč schválené projekty cca 1 150 </w:t>
      </w:r>
      <w:proofErr w:type="gramStart"/>
      <w:r w:rsidR="002F1D49" w:rsidRPr="00654BC3">
        <w:rPr>
          <w:rFonts w:ascii="Times New Roman" w:hAnsi="Times New Roman" w:cs="Times New Roman"/>
          <w:sz w:val="23"/>
          <w:szCs w:val="23"/>
        </w:rPr>
        <w:t xml:space="preserve">vozidel </w:t>
      </w:r>
      <w:r w:rsidR="00DC4A4A">
        <w:rPr>
          <w:rFonts w:ascii="Times New Roman" w:hAnsi="Times New Roman" w:cs="Times New Roman"/>
          <w:sz w:val="23"/>
          <w:szCs w:val="23"/>
        </w:rPr>
        <w:t xml:space="preserve"> </w:t>
      </w:r>
      <w:r w:rsidR="002F1D49" w:rsidRPr="00654BC3">
        <w:rPr>
          <w:rFonts w:ascii="Times New Roman" w:hAnsi="Times New Roman" w:cs="Times New Roman"/>
          <w:sz w:val="23"/>
          <w:szCs w:val="23"/>
        </w:rPr>
        <w:t>;</w:t>
      </w:r>
      <w:proofErr w:type="gramEnd"/>
      <w:r w:rsidR="002F1D49" w:rsidRPr="00654BC3">
        <w:rPr>
          <w:rFonts w:ascii="Times New Roman" w:hAnsi="Times New Roman" w:cs="Times New Roman"/>
          <w:sz w:val="23"/>
          <w:szCs w:val="23"/>
        </w:rPr>
        <w:t xml:space="preserve"> do 31.10. 2020 pořízeno 79 </w:t>
      </w:r>
      <w:proofErr w:type="spellStart"/>
      <w:r w:rsidR="002F1D49" w:rsidRPr="00654BC3">
        <w:rPr>
          <w:rFonts w:ascii="Times New Roman" w:hAnsi="Times New Roman" w:cs="Times New Roman"/>
          <w:sz w:val="23"/>
          <w:szCs w:val="23"/>
        </w:rPr>
        <w:t>elektrobusů</w:t>
      </w:r>
      <w:proofErr w:type="spellEnd"/>
      <w:r w:rsidR="002F1D49" w:rsidRPr="00654BC3">
        <w:rPr>
          <w:rFonts w:ascii="Times New Roman" w:hAnsi="Times New Roman" w:cs="Times New Roman"/>
          <w:sz w:val="23"/>
          <w:szCs w:val="23"/>
        </w:rPr>
        <w:t>, 149 </w:t>
      </w:r>
      <w:r w:rsidR="00654BC3" w:rsidRPr="00654BC3">
        <w:rPr>
          <w:rFonts w:ascii="Times New Roman" w:hAnsi="Times New Roman" w:cs="Times New Roman"/>
          <w:sz w:val="23"/>
          <w:szCs w:val="23"/>
        </w:rPr>
        <w:t>trolejbusů, 49</w:t>
      </w:r>
      <w:r w:rsidR="002F1D49" w:rsidRPr="00654BC3">
        <w:rPr>
          <w:rFonts w:ascii="Times New Roman" w:hAnsi="Times New Roman" w:cs="Times New Roman"/>
          <w:sz w:val="23"/>
          <w:szCs w:val="23"/>
        </w:rPr>
        <w:t xml:space="preserve"> tramvají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="002F1D49" w:rsidRPr="00654BC3">
        <w:rPr>
          <w:rFonts w:ascii="Times New Roman" w:hAnsi="Times New Roman" w:cs="Times New Roman"/>
          <w:sz w:val="23"/>
          <w:szCs w:val="23"/>
        </w:rPr>
        <w:t>450 autobusů na CNG</w:t>
      </w:r>
    </w:p>
    <w:p w:rsidR="002F1D49" w:rsidRPr="00E16981" w:rsidRDefault="002F1D49" w:rsidP="00A1242E">
      <w:pPr>
        <w:numPr>
          <w:ilvl w:val="0"/>
          <w:numId w:val="28"/>
        </w:numPr>
        <w:spacing w:before="120" w:after="120"/>
        <w:ind w:left="714" w:hanging="357"/>
        <w:contextualSpacing/>
        <w:rPr>
          <w:rFonts w:ascii="Times New Roman" w:hAnsi="Times New Roman" w:cs="Times New Roman"/>
          <w:sz w:val="23"/>
          <w:szCs w:val="23"/>
        </w:rPr>
      </w:pPr>
      <w:r w:rsidRPr="00E16981">
        <w:rPr>
          <w:rFonts w:ascii="Times New Roman" w:hAnsi="Times New Roman" w:cs="Times New Roman"/>
          <w:b/>
          <w:sz w:val="23"/>
          <w:szCs w:val="23"/>
        </w:rPr>
        <w:t>OP</w:t>
      </w:r>
      <w:r w:rsidR="0090499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16981">
        <w:rPr>
          <w:rFonts w:ascii="Times New Roman" w:hAnsi="Times New Roman" w:cs="Times New Roman"/>
          <w:b/>
          <w:sz w:val="23"/>
          <w:szCs w:val="23"/>
        </w:rPr>
        <w:t>D</w:t>
      </w:r>
      <w:r w:rsidR="00904992">
        <w:rPr>
          <w:rFonts w:ascii="Times New Roman" w:hAnsi="Times New Roman" w:cs="Times New Roman"/>
          <w:b/>
          <w:sz w:val="23"/>
          <w:szCs w:val="23"/>
        </w:rPr>
        <w:t>oprava</w:t>
      </w:r>
      <w:r w:rsidRPr="00E1698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54BC3">
        <w:rPr>
          <w:rFonts w:ascii="Times New Roman" w:hAnsi="Times New Roman" w:cs="Times New Roman"/>
          <w:sz w:val="23"/>
          <w:szCs w:val="23"/>
        </w:rPr>
        <w:t>podpora výstavby veřejné dobíjecí infrastruktury; schválené projekty za 1,25 mld. Kč (cca 500 </w:t>
      </w:r>
      <w:r w:rsidR="003A12B0" w:rsidRPr="00654BC3">
        <w:rPr>
          <w:rFonts w:ascii="Times New Roman" w:hAnsi="Times New Roman" w:cs="Times New Roman"/>
          <w:sz w:val="23"/>
          <w:szCs w:val="23"/>
        </w:rPr>
        <w:t>rychle</w:t>
      </w:r>
      <w:r w:rsidR="00654BC3" w:rsidRPr="00654BC3">
        <w:rPr>
          <w:rFonts w:ascii="Times New Roman" w:hAnsi="Times New Roman" w:cs="Times New Roman"/>
          <w:sz w:val="23"/>
          <w:szCs w:val="23"/>
        </w:rPr>
        <w:t xml:space="preserve"> +</w:t>
      </w:r>
      <w:r w:rsidRPr="00654BC3">
        <w:rPr>
          <w:rFonts w:ascii="Times New Roman" w:hAnsi="Times New Roman" w:cs="Times New Roman"/>
          <w:sz w:val="23"/>
          <w:szCs w:val="23"/>
        </w:rPr>
        <w:t xml:space="preserve"> 780 </w:t>
      </w:r>
      <w:r w:rsidR="003A12B0" w:rsidRPr="00654BC3">
        <w:rPr>
          <w:rFonts w:ascii="Times New Roman" w:hAnsi="Times New Roman" w:cs="Times New Roman"/>
          <w:sz w:val="23"/>
          <w:szCs w:val="23"/>
        </w:rPr>
        <w:t>pomalu dobíjecích</w:t>
      </w:r>
      <w:r w:rsidRPr="00654BC3">
        <w:rPr>
          <w:rFonts w:ascii="Times New Roman" w:hAnsi="Times New Roman" w:cs="Times New Roman"/>
          <w:sz w:val="23"/>
          <w:szCs w:val="23"/>
        </w:rPr>
        <w:t xml:space="preserve"> stanic),</w:t>
      </w:r>
      <w:r w:rsidRPr="00E16981">
        <w:rPr>
          <w:rFonts w:ascii="Times New Roman" w:hAnsi="Times New Roman" w:cs="Times New Roman"/>
          <w:sz w:val="23"/>
          <w:szCs w:val="23"/>
        </w:rPr>
        <w:t xml:space="preserve"> </w:t>
      </w:r>
      <w:r w:rsidR="00DC4A4A">
        <w:rPr>
          <w:rFonts w:ascii="Times New Roman" w:hAnsi="Times New Roman" w:cs="Times New Roman"/>
          <w:sz w:val="23"/>
          <w:szCs w:val="23"/>
        </w:rPr>
        <w:t xml:space="preserve">7 vodíkových stanic, </w:t>
      </w:r>
      <w:r w:rsidR="00DC4A4A" w:rsidRPr="00DC4A4A">
        <w:rPr>
          <w:rFonts w:ascii="Times New Roman" w:hAnsi="Times New Roman" w:cs="Times New Roman"/>
          <w:sz w:val="23"/>
          <w:szCs w:val="23"/>
        </w:rPr>
        <w:t>18 LNG stanic a 9 CNG stanic</w:t>
      </w:r>
    </w:p>
    <w:p w:rsidR="002F1D49" w:rsidRPr="00E16981" w:rsidRDefault="002F1D49" w:rsidP="00A1242E">
      <w:pPr>
        <w:numPr>
          <w:ilvl w:val="0"/>
          <w:numId w:val="28"/>
        </w:numPr>
        <w:spacing w:before="120" w:after="120"/>
        <w:ind w:left="714" w:hanging="357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E16981">
        <w:rPr>
          <w:rFonts w:ascii="Times New Roman" w:hAnsi="Times New Roman" w:cs="Times New Roman"/>
          <w:b/>
          <w:sz w:val="23"/>
          <w:szCs w:val="23"/>
        </w:rPr>
        <w:t>N</w:t>
      </w:r>
      <w:r w:rsidR="0017296A">
        <w:rPr>
          <w:rFonts w:ascii="Times New Roman" w:hAnsi="Times New Roman" w:cs="Times New Roman"/>
          <w:b/>
          <w:sz w:val="23"/>
          <w:szCs w:val="23"/>
        </w:rPr>
        <w:t>árodní program Životního prostředí – alokace</w:t>
      </w:r>
      <w:r w:rsidRPr="00654BC3">
        <w:rPr>
          <w:rFonts w:ascii="Times New Roman" w:hAnsi="Times New Roman" w:cs="Times New Roman"/>
          <w:bCs/>
          <w:sz w:val="23"/>
          <w:szCs w:val="23"/>
        </w:rPr>
        <w:t xml:space="preserve"> 0,4 mld. Kč; schválené projekty cca 800</w:t>
      </w:r>
      <w:r w:rsidR="00DC4A4A">
        <w:rPr>
          <w:rFonts w:ascii="Times New Roman" w:hAnsi="Times New Roman" w:cs="Times New Roman"/>
          <w:bCs/>
          <w:sz w:val="23"/>
          <w:szCs w:val="23"/>
        </w:rPr>
        <w:t> </w:t>
      </w:r>
      <w:r w:rsidRPr="00654BC3">
        <w:rPr>
          <w:rFonts w:ascii="Times New Roman" w:hAnsi="Times New Roman" w:cs="Times New Roman"/>
          <w:bCs/>
          <w:sz w:val="23"/>
          <w:szCs w:val="23"/>
        </w:rPr>
        <w:t>vozidel (3/4 elektromobily)</w:t>
      </w:r>
    </w:p>
    <w:p w:rsidR="002F1D49" w:rsidRDefault="003A12B0" w:rsidP="00A1242E">
      <w:pPr>
        <w:numPr>
          <w:ilvl w:val="0"/>
          <w:numId w:val="28"/>
        </w:numPr>
        <w:spacing w:after="120"/>
        <w:ind w:left="714" w:hanging="357"/>
        <w:contextual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Program </w:t>
      </w:r>
      <w:r w:rsidR="002F1D49" w:rsidRPr="00E16981">
        <w:rPr>
          <w:rFonts w:ascii="Times New Roman" w:hAnsi="Times New Roman" w:cs="Times New Roman"/>
          <w:b/>
          <w:sz w:val="23"/>
          <w:szCs w:val="23"/>
        </w:rPr>
        <w:t>CEF</w:t>
      </w:r>
      <w:r>
        <w:rPr>
          <w:rFonts w:ascii="Times New Roman" w:hAnsi="Times New Roman" w:cs="Times New Roman"/>
          <w:b/>
          <w:sz w:val="23"/>
          <w:szCs w:val="23"/>
        </w:rPr>
        <w:t xml:space="preserve"> (</w:t>
      </w:r>
      <w:proofErr w:type="spellStart"/>
      <w:r w:rsidRPr="003A12B0">
        <w:rPr>
          <w:rFonts w:ascii="Times New Roman" w:hAnsi="Times New Roman" w:cs="Times New Roman"/>
          <w:b/>
          <w:sz w:val="23"/>
          <w:szCs w:val="23"/>
        </w:rPr>
        <w:t>Connecting</w:t>
      </w:r>
      <w:proofErr w:type="spellEnd"/>
      <w:r w:rsidRPr="003A12B0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3A12B0">
        <w:rPr>
          <w:rFonts w:ascii="Times New Roman" w:hAnsi="Times New Roman" w:cs="Times New Roman"/>
          <w:b/>
          <w:sz w:val="23"/>
          <w:szCs w:val="23"/>
        </w:rPr>
        <w:t>Europe</w:t>
      </w:r>
      <w:proofErr w:type="spellEnd"/>
      <w:r w:rsidRPr="003A12B0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3A12B0">
        <w:rPr>
          <w:rFonts w:ascii="Times New Roman" w:hAnsi="Times New Roman" w:cs="Times New Roman"/>
          <w:b/>
          <w:sz w:val="23"/>
          <w:szCs w:val="23"/>
        </w:rPr>
        <w:t>Facility</w:t>
      </w:r>
      <w:proofErr w:type="spellEnd"/>
      <w:r w:rsidRPr="003A12B0">
        <w:rPr>
          <w:rFonts w:ascii="Times New Roman" w:hAnsi="Times New Roman" w:cs="Times New Roman"/>
          <w:b/>
          <w:sz w:val="23"/>
          <w:szCs w:val="23"/>
        </w:rPr>
        <w:t>)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F1D49" w:rsidRPr="00654BC3">
        <w:rPr>
          <w:rFonts w:ascii="Times New Roman" w:hAnsi="Times New Roman" w:cs="Times New Roman"/>
          <w:bCs/>
          <w:sz w:val="23"/>
          <w:szCs w:val="23"/>
        </w:rPr>
        <w:t>dobíjecí stanice dva projekty za ČEZ 108 dobíjecích stanic 3,5 mil. € a</w:t>
      </w:r>
      <w:r w:rsidR="00741E3B">
        <w:rPr>
          <w:rFonts w:ascii="Times New Roman" w:hAnsi="Times New Roman" w:cs="Times New Roman"/>
          <w:bCs/>
          <w:sz w:val="23"/>
          <w:szCs w:val="23"/>
        </w:rPr>
        <w:t> </w:t>
      </w:r>
      <w:r w:rsidR="002F1D49" w:rsidRPr="00654BC3">
        <w:rPr>
          <w:rFonts w:ascii="Times New Roman" w:hAnsi="Times New Roman" w:cs="Times New Roman"/>
          <w:bCs/>
          <w:sz w:val="23"/>
          <w:szCs w:val="23"/>
        </w:rPr>
        <w:t xml:space="preserve">jeden dobíjecí síť ve střední Evropě za 12 mil. </w:t>
      </w:r>
      <w:r w:rsidR="00654BC3" w:rsidRPr="00654BC3">
        <w:rPr>
          <w:rFonts w:ascii="Times New Roman" w:hAnsi="Times New Roman" w:cs="Times New Roman"/>
          <w:bCs/>
          <w:sz w:val="23"/>
          <w:szCs w:val="23"/>
        </w:rPr>
        <w:t>€ (</w:t>
      </w:r>
      <w:r w:rsidR="002F1D49" w:rsidRPr="00654BC3">
        <w:rPr>
          <w:rFonts w:ascii="Times New Roman" w:hAnsi="Times New Roman" w:cs="Times New Roman"/>
          <w:bCs/>
          <w:sz w:val="23"/>
          <w:szCs w:val="23"/>
        </w:rPr>
        <w:t>proplacené náklady)</w:t>
      </w:r>
      <w:r w:rsidR="002F1D49" w:rsidRPr="00E1698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91015F" w:rsidRPr="0091015F" w:rsidRDefault="0091015F" w:rsidP="00A1242E">
      <w:pPr>
        <w:numPr>
          <w:ilvl w:val="0"/>
          <w:numId w:val="28"/>
        </w:numPr>
        <w:spacing w:after="120"/>
        <w:ind w:left="714" w:hanging="357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91015F">
        <w:rPr>
          <w:rFonts w:ascii="Times New Roman" w:hAnsi="Times New Roman" w:cs="Times New Roman"/>
          <w:b/>
          <w:sz w:val="23"/>
          <w:szCs w:val="23"/>
        </w:rPr>
        <w:t>CEF</w:t>
      </w:r>
      <w:r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D02748">
        <w:rPr>
          <w:rFonts w:ascii="Times New Roman" w:hAnsi="Times New Roman" w:cs="Times New Roman"/>
          <w:sz w:val="23"/>
          <w:szCs w:val="23"/>
        </w:rPr>
        <w:t>jeden</w:t>
      </w:r>
      <w:r w:rsidRPr="0091015F">
        <w:rPr>
          <w:rFonts w:ascii="Times New Roman" w:hAnsi="Times New Roman" w:cs="Times New Roman"/>
          <w:bCs/>
          <w:sz w:val="23"/>
          <w:szCs w:val="23"/>
        </w:rPr>
        <w:t xml:space="preserve"> proje</w:t>
      </w:r>
      <w:r w:rsidR="00BC66C0">
        <w:rPr>
          <w:rFonts w:ascii="Times New Roman" w:hAnsi="Times New Roman" w:cs="Times New Roman"/>
          <w:bCs/>
          <w:sz w:val="23"/>
          <w:szCs w:val="23"/>
        </w:rPr>
        <w:t>k</w:t>
      </w:r>
      <w:r w:rsidRPr="0091015F">
        <w:rPr>
          <w:rFonts w:ascii="Times New Roman" w:hAnsi="Times New Roman" w:cs="Times New Roman"/>
          <w:bCs/>
          <w:sz w:val="23"/>
          <w:szCs w:val="23"/>
        </w:rPr>
        <w:t xml:space="preserve">t </w:t>
      </w:r>
      <w:r w:rsidR="00BC66C0">
        <w:rPr>
          <w:rFonts w:ascii="Times New Roman" w:hAnsi="Times New Roman" w:cs="Times New Roman"/>
          <w:bCs/>
          <w:sz w:val="23"/>
          <w:szCs w:val="23"/>
        </w:rPr>
        <w:t>„</w:t>
      </w:r>
      <w:r w:rsidRPr="0091015F">
        <w:rPr>
          <w:rFonts w:ascii="Times New Roman" w:hAnsi="Times New Roman" w:cs="Times New Roman"/>
          <w:bCs/>
          <w:sz w:val="23"/>
          <w:szCs w:val="23"/>
        </w:rPr>
        <w:t xml:space="preserve">LNG </w:t>
      </w:r>
      <w:proofErr w:type="spellStart"/>
      <w:r w:rsidRPr="0091015F">
        <w:rPr>
          <w:rFonts w:ascii="Times New Roman" w:hAnsi="Times New Roman" w:cs="Times New Roman"/>
          <w:bCs/>
          <w:sz w:val="23"/>
          <w:szCs w:val="23"/>
        </w:rPr>
        <w:t>Rollout</w:t>
      </w:r>
      <w:proofErr w:type="spellEnd"/>
      <w:r w:rsidRPr="0091015F">
        <w:rPr>
          <w:rFonts w:ascii="Times New Roman" w:hAnsi="Times New Roman" w:cs="Times New Roman"/>
          <w:bCs/>
          <w:sz w:val="23"/>
          <w:szCs w:val="23"/>
        </w:rPr>
        <w:t xml:space="preserve"> in </w:t>
      </w:r>
      <w:proofErr w:type="spellStart"/>
      <w:r w:rsidRPr="0091015F">
        <w:rPr>
          <w:rFonts w:ascii="Times New Roman" w:hAnsi="Times New Roman" w:cs="Times New Roman"/>
          <w:bCs/>
          <w:sz w:val="23"/>
          <w:szCs w:val="23"/>
        </w:rPr>
        <w:t>Central</w:t>
      </w:r>
      <w:proofErr w:type="spellEnd"/>
      <w:r w:rsidRPr="0091015F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91015F">
        <w:rPr>
          <w:rFonts w:ascii="Times New Roman" w:hAnsi="Times New Roman" w:cs="Times New Roman"/>
          <w:bCs/>
          <w:sz w:val="23"/>
          <w:szCs w:val="23"/>
        </w:rPr>
        <w:t>Europe</w:t>
      </w:r>
      <w:proofErr w:type="spellEnd"/>
      <w:r w:rsidRPr="0091015F">
        <w:rPr>
          <w:rFonts w:ascii="Times New Roman" w:hAnsi="Times New Roman" w:cs="Times New Roman"/>
          <w:bCs/>
          <w:sz w:val="23"/>
          <w:szCs w:val="23"/>
        </w:rPr>
        <w:t xml:space="preserve"> – </w:t>
      </w:r>
      <w:proofErr w:type="spellStart"/>
      <w:r w:rsidRPr="0091015F">
        <w:rPr>
          <w:rFonts w:ascii="Times New Roman" w:hAnsi="Times New Roman" w:cs="Times New Roman"/>
          <w:bCs/>
          <w:sz w:val="23"/>
          <w:szCs w:val="23"/>
        </w:rPr>
        <w:t>for</w:t>
      </w:r>
      <w:proofErr w:type="spellEnd"/>
      <w:r w:rsidRPr="0091015F">
        <w:rPr>
          <w:rFonts w:ascii="Times New Roman" w:hAnsi="Times New Roman" w:cs="Times New Roman"/>
          <w:bCs/>
          <w:sz w:val="23"/>
          <w:szCs w:val="23"/>
        </w:rPr>
        <w:t xml:space="preserve"> a</w:t>
      </w:r>
      <w:r w:rsidR="00741E3B">
        <w:rPr>
          <w:rFonts w:ascii="Times New Roman" w:hAnsi="Times New Roman" w:cs="Times New Roman"/>
          <w:bCs/>
          <w:sz w:val="23"/>
          <w:szCs w:val="23"/>
        </w:rPr>
        <w:t> </w:t>
      </w:r>
      <w:proofErr w:type="spellStart"/>
      <w:r w:rsidRPr="0091015F">
        <w:rPr>
          <w:rFonts w:ascii="Times New Roman" w:hAnsi="Times New Roman" w:cs="Times New Roman"/>
          <w:bCs/>
          <w:sz w:val="23"/>
          <w:szCs w:val="23"/>
        </w:rPr>
        <w:t>greener</w:t>
      </w:r>
      <w:proofErr w:type="spellEnd"/>
      <w:r w:rsidRPr="0091015F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91015F">
        <w:rPr>
          <w:rFonts w:ascii="Times New Roman" w:hAnsi="Times New Roman" w:cs="Times New Roman"/>
          <w:bCs/>
          <w:sz w:val="23"/>
          <w:szCs w:val="23"/>
        </w:rPr>
        <w:t>transportation</w:t>
      </w:r>
      <w:proofErr w:type="spellEnd"/>
      <w:r w:rsidRPr="0091015F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91015F">
        <w:rPr>
          <w:rFonts w:ascii="Times New Roman" w:hAnsi="Times New Roman" w:cs="Times New Roman"/>
          <w:bCs/>
          <w:sz w:val="23"/>
          <w:szCs w:val="23"/>
        </w:rPr>
        <w:t>sector</w:t>
      </w:r>
      <w:proofErr w:type="spellEnd"/>
      <w:r w:rsidR="00BC66C0">
        <w:rPr>
          <w:rFonts w:ascii="Times New Roman" w:hAnsi="Times New Roman" w:cs="Times New Roman"/>
          <w:bCs/>
          <w:sz w:val="23"/>
          <w:szCs w:val="23"/>
        </w:rPr>
        <w:t>“</w:t>
      </w:r>
      <w:r w:rsidRPr="0091015F">
        <w:rPr>
          <w:rFonts w:ascii="Times New Roman" w:hAnsi="Times New Roman" w:cs="Times New Roman"/>
          <w:bCs/>
          <w:sz w:val="23"/>
          <w:szCs w:val="23"/>
        </w:rPr>
        <w:t xml:space="preserve"> (zatím nebyl financován)</w:t>
      </w:r>
    </w:p>
    <w:p w:rsidR="0091015F" w:rsidRDefault="0091015F" w:rsidP="00A1242E">
      <w:pPr>
        <w:spacing w:after="120"/>
        <w:ind w:left="714"/>
        <w:contextualSpacing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91015F">
        <w:rPr>
          <w:rFonts w:ascii="Times New Roman" w:hAnsi="Times New Roman" w:cs="Times New Roman"/>
          <w:bCs/>
          <w:sz w:val="23"/>
          <w:szCs w:val="23"/>
        </w:rPr>
        <w:t>CEF - Čeští</w:t>
      </w:r>
      <w:proofErr w:type="gramEnd"/>
      <w:r w:rsidRPr="0091015F">
        <w:rPr>
          <w:rFonts w:ascii="Times New Roman" w:hAnsi="Times New Roman" w:cs="Times New Roman"/>
          <w:bCs/>
          <w:sz w:val="23"/>
          <w:szCs w:val="23"/>
        </w:rPr>
        <w:t xml:space="preserve"> příjemci se účastní 58 projektů a</w:t>
      </w:r>
      <w:r w:rsidR="00741E3B">
        <w:rPr>
          <w:rFonts w:ascii="Times New Roman" w:hAnsi="Times New Roman" w:cs="Times New Roman"/>
          <w:bCs/>
          <w:sz w:val="23"/>
          <w:szCs w:val="23"/>
        </w:rPr>
        <w:t> </w:t>
      </w:r>
      <w:r w:rsidRPr="0091015F">
        <w:rPr>
          <w:rFonts w:ascii="Times New Roman" w:hAnsi="Times New Roman" w:cs="Times New Roman"/>
          <w:bCs/>
          <w:sz w:val="23"/>
          <w:szCs w:val="23"/>
        </w:rPr>
        <w:t>získávají 956,2 milionu EUR na spolufinancování CEF Transport (z celkového počtu 916 milionů EUR pochází z</w:t>
      </w:r>
      <w:r w:rsidR="00741E3B">
        <w:rPr>
          <w:rFonts w:ascii="Times New Roman" w:hAnsi="Times New Roman" w:cs="Times New Roman"/>
          <w:bCs/>
          <w:sz w:val="23"/>
          <w:szCs w:val="23"/>
        </w:rPr>
        <w:t> </w:t>
      </w:r>
      <w:r w:rsidRPr="0091015F">
        <w:rPr>
          <w:rFonts w:ascii="Times New Roman" w:hAnsi="Times New Roman" w:cs="Times New Roman"/>
          <w:bCs/>
          <w:sz w:val="23"/>
          <w:szCs w:val="23"/>
        </w:rPr>
        <w:t>obálky soudržnosti), přičemž investice do těchto projektů činily 1,3 miliardy EUR.</w:t>
      </w:r>
    </w:p>
    <w:p w:rsidR="0091015F" w:rsidRPr="0091015F" w:rsidRDefault="0091015F" w:rsidP="00A1242E">
      <w:pPr>
        <w:spacing w:after="120"/>
        <w:ind w:left="714"/>
        <w:contextualSpacing/>
        <w:rPr>
          <w:rFonts w:ascii="Times New Roman" w:hAnsi="Times New Roman" w:cs="Times New Roman"/>
          <w:bCs/>
          <w:sz w:val="23"/>
          <w:szCs w:val="23"/>
        </w:rPr>
      </w:pPr>
      <w:r w:rsidRPr="0091015F">
        <w:rPr>
          <w:rFonts w:ascii="Times New Roman" w:hAnsi="Times New Roman" w:cs="Times New Roman"/>
          <w:bCs/>
          <w:sz w:val="23"/>
          <w:szCs w:val="23"/>
        </w:rPr>
        <w:t>Dalších 5 projektů se nachází v</w:t>
      </w:r>
      <w:r w:rsidR="00741E3B">
        <w:rPr>
          <w:rFonts w:ascii="Times New Roman" w:hAnsi="Times New Roman" w:cs="Times New Roman"/>
          <w:bCs/>
          <w:sz w:val="23"/>
          <w:szCs w:val="23"/>
        </w:rPr>
        <w:t> </w:t>
      </w:r>
      <w:r w:rsidRPr="0091015F">
        <w:rPr>
          <w:rFonts w:ascii="Times New Roman" w:hAnsi="Times New Roman" w:cs="Times New Roman"/>
          <w:bCs/>
          <w:sz w:val="23"/>
          <w:szCs w:val="23"/>
        </w:rPr>
        <w:t>Česku, ale bez zapojení českých příjemců. Tyto projekty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91015F">
        <w:rPr>
          <w:rFonts w:ascii="Times New Roman" w:hAnsi="Times New Roman" w:cs="Times New Roman"/>
          <w:bCs/>
          <w:sz w:val="23"/>
          <w:szCs w:val="23"/>
        </w:rPr>
        <w:t>odpovídají celkem 293,1 mil. EUR financování CEF Transport a</w:t>
      </w:r>
      <w:r w:rsidR="00741E3B">
        <w:rPr>
          <w:rFonts w:ascii="Times New Roman" w:hAnsi="Times New Roman" w:cs="Times New Roman"/>
          <w:bCs/>
          <w:sz w:val="23"/>
          <w:szCs w:val="23"/>
        </w:rPr>
        <w:t> </w:t>
      </w:r>
      <w:r w:rsidRPr="0091015F">
        <w:rPr>
          <w:rFonts w:ascii="Times New Roman" w:hAnsi="Times New Roman" w:cs="Times New Roman"/>
          <w:bCs/>
          <w:sz w:val="23"/>
          <w:szCs w:val="23"/>
        </w:rPr>
        <w:t>celkové investici 671,7 mil. EUR.</w:t>
      </w:r>
    </w:p>
    <w:p w:rsidR="002C20CF" w:rsidRPr="00E16981" w:rsidRDefault="002C20CF" w:rsidP="00A1242E">
      <w:pPr>
        <w:pStyle w:val="K-Nadpis2"/>
        <w:spacing w:after="120"/>
        <w:rPr>
          <w:sz w:val="23"/>
          <w:szCs w:val="23"/>
        </w:rPr>
      </w:pPr>
      <w:r w:rsidRPr="00E16981">
        <w:rPr>
          <w:sz w:val="23"/>
          <w:szCs w:val="23"/>
        </w:rPr>
        <w:t xml:space="preserve">3. </w:t>
      </w:r>
      <w:r w:rsidR="00AF3BAB" w:rsidRPr="00E16981">
        <w:rPr>
          <w:sz w:val="23"/>
          <w:szCs w:val="23"/>
        </w:rPr>
        <w:t>Popis reforem</w:t>
      </w:r>
      <w:r w:rsidR="009C04D3" w:rsidRPr="00E16981">
        <w:rPr>
          <w:sz w:val="23"/>
          <w:szCs w:val="23"/>
        </w:rPr>
        <w:t xml:space="preserve"> a</w:t>
      </w:r>
      <w:r w:rsidR="00741E3B">
        <w:rPr>
          <w:sz w:val="23"/>
          <w:szCs w:val="23"/>
        </w:rPr>
        <w:t> </w:t>
      </w:r>
      <w:r w:rsidR="009C04D3" w:rsidRPr="00E16981">
        <w:rPr>
          <w:sz w:val="23"/>
          <w:szCs w:val="23"/>
        </w:rPr>
        <w:t>investic</w:t>
      </w:r>
      <w:r w:rsidR="00AF3BAB" w:rsidRPr="00E16981">
        <w:rPr>
          <w:sz w:val="23"/>
          <w:szCs w:val="23"/>
        </w:rPr>
        <w:t xml:space="preserve"> k</w:t>
      </w:r>
      <w:r w:rsidRPr="00E16981">
        <w:rPr>
          <w:sz w:val="23"/>
          <w:szCs w:val="23"/>
        </w:rPr>
        <w:t>omponent</w:t>
      </w:r>
      <w:r w:rsidR="00AF3BAB" w:rsidRPr="00E16981">
        <w:rPr>
          <w:sz w:val="23"/>
          <w:szCs w:val="23"/>
        </w:rPr>
        <w:t>y</w:t>
      </w:r>
      <w:r w:rsidRPr="00E16981">
        <w:rPr>
          <w:sz w:val="23"/>
          <w:szCs w:val="23"/>
        </w:rPr>
        <w:t xml:space="preserve"> </w:t>
      </w:r>
    </w:p>
    <w:p w:rsidR="000C0598" w:rsidRDefault="000C0598" w:rsidP="00D02748">
      <w:pPr>
        <w:pStyle w:val="K-Nadpis3"/>
        <w:numPr>
          <w:ilvl w:val="0"/>
          <w:numId w:val="44"/>
        </w:numPr>
        <w:spacing w:line="293" w:lineRule="auto"/>
        <w:ind w:left="360"/>
        <w:rPr>
          <w:sz w:val="23"/>
        </w:rPr>
      </w:pPr>
      <w:r w:rsidRPr="00E16981">
        <w:rPr>
          <w:sz w:val="23"/>
        </w:rPr>
        <w:t>Popis r</w:t>
      </w:r>
      <w:r w:rsidR="002E19BA" w:rsidRPr="00E16981">
        <w:rPr>
          <w:sz w:val="23"/>
        </w:rPr>
        <w:t>efor</w:t>
      </w:r>
      <w:r w:rsidRPr="00E16981">
        <w:rPr>
          <w:sz w:val="23"/>
        </w:rPr>
        <w:t>e</w:t>
      </w:r>
      <w:r w:rsidR="002E19BA" w:rsidRPr="00E16981">
        <w:rPr>
          <w:sz w:val="23"/>
        </w:rPr>
        <w:t xml:space="preserve">m </w:t>
      </w:r>
    </w:p>
    <w:p w:rsidR="00871E23" w:rsidRPr="00D02748" w:rsidRDefault="00871E23" w:rsidP="00D02748">
      <w:pPr>
        <w:pStyle w:val="K-Text"/>
      </w:pPr>
      <w:r w:rsidRPr="00D02748">
        <w:t xml:space="preserve">Doprava je </w:t>
      </w:r>
      <w:r>
        <w:t xml:space="preserve">i </w:t>
      </w:r>
      <w:r w:rsidRPr="00D02748">
        <w:t>v ČR významným zdrojem znečišťujících látek (pevné částice frakce PM</w:t>
      </w:r>
      <w:r w:rsidRPr="00D02748">
        <w:rPr>
          <w:vertAlign w:val="subscript"/>
        </w:rPr>
        <w:t>2,5</w:t>
      </w:r>
      <w:r w:rsidRPr="00D02748">
        <w:t>, PM</w:t>
      </w:r>
      <w:r w:rsidRPr="00D02748">
        <w:rPr>
          <w:vertAlign w:val="subscript"/>
        </w:rPr>
        <w:t>10</w:t>
      </w:r>
      <w:r w:rsidRPr="00D02748">
        <w:t xml:space="preserve">, </w:t>
      </w:r>
      <w:r>
        <w:t>CO</w:t>
      </w:r>
      <w:r w:rsidRPr="00D02748">
        <w:rPr>
          <w:vertAlign w:val="subscript"/>
        </w:rPr>
        <w:t>2</w:t>
      </w:r>
      <w:r>
        <w:t xml:space="preserve">, </w:t>
      </w:r>
      <w:r w:rsidRPr="00D02748">
        <w:t>NO</w:t>
      </w:r>
      <w:r w:rsidRPr="00D02748">
        <w:rPr>
          <w:vertAlign w:val="subscript"/>
        </w:rPr>
        <w:t>2</w:t>
      </w:r>
      <w:r w:rsidRPr="00D02748">
        <w:t>). Problém znečištění ze silniční dopravy se týká zejména velkých měst a aglomerací, ale nevyhýbá se také menším sídlům s vysokou intenzitou dopravy.</w:t>
      </w:r>
      <w:r w:rsidR="00110F85">
        <w:t xml:space="preserve"> ČR je rovněž významnou tranzitní zemí.</w:t>
      </w:r>
    </w:p>
    <w:p w:rsidR="00871E23" w:rsidRPr="00D02748" w:rsidRDefault="00871E23" w:rsidP="00D02748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D02748">
        <w:rPr>
          <w:rFonts w:ascii="Times New Roman" w:hAnsi="Times New Roman" w:cs="Times New Roman"/>
          <w:sz w:val="23"/>
          <w:szCs w:val="23"/>
        </w:rPr>
        <w:lastRenderedPageBreak/>
        <w:t>Např. v Praze se doprava v roce 2016 podílela na celkových emisích PM</w:t>
      </w:r>
      <w:r w:rsidRPr="00D02748">
        <w:rPr>
          <w:rFonts w:ascii="Times New Roman" w:hAnsi="Times New Roman" w:cs="Times New Roman"/>
          <w:sz w:val="23"/>
          <w:szCs w:val="23"/>
          <w:vertAlign w:val="subscript"/>
        </w:rPr>
        <w:t>2,5</w:t>
      </w:r>
      <w:r w:rsidRPr="00D02748">
        <w:rPr>
          <w:rFonts w:ascii="Times New Roman" w:hAnsi="Times New Roman" w:cs="Times New Roman"/>
          <w:sz w:val="23"/>
          <w:szCs w:val="23"/>
        </w:rPr>
        <w:t xml:space="preserve"> téměř 50 % a na celkových emisích oxidů dusíku cca 75 %. </w:t>
      </w:r>
    </w:p>
    <w:p w:rsidR="00871E23" w:rsidRDefault="00871E23" w:rsidP="00871E23">
      <w:pPr>
        <w:pStyle w:val="K-Nadpis3"/>
        <w:spacing w:line="293" w:lineRule="auto"/>
        <w:rPr>
          <w:b w:val="0"/>
          <w:sz w:val="23"/>
        </w:rPr>
      </w:pPr>
      <w:r w:rsidRPr="00D02748">
        <w:rPr>
          <w:b w:val="0"/>
          <w:sz w:val="23"/>
        </w:rPr>
        <w:t>Z výše uvedeného vyplývá, že pro zlepšení kvality ovzduší a snižování emisí z dopravy je žádoucí posílit zastoupení </w:t>
      </w:r>
      <w:proofErr w:type="spellStart"/>
      <w:r w:rsidRPr="00D02748">
        <w:rPr>
          <w:b w:val="0"/>
          <w:sz w:val="23"/>
        </w:rPr>
        <w:t>nízkoemisních</w:t>
      </w:r>
      <w:proofErr w:type="spellEnd"/>
      <w:r w:rsidRPr="00D02748">
        <w:rPr>
          <w:b w:val="0"/>
          <w:sz w:val="23"/>
        </w:rPr>
        <w:t xml:space="preserve"> způsobů dopravy, tedy čistou mobilitu. Tuto skutečnost zmiňují i některé existující strategické dokumenty přijaté vládou ČR jako např. Státní politika životního prostředí ČR, Politika ochrany klimatu v ČR, Národní program snižování emisí ČR.</w:t>
      </w:r>
    </w:p>
    <w:p w:rsidR="00C87389" w:rsidRPr="00C87389" w:rsidRDefault="00C87389" w:rsidP="00C873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</w:pPr>
      <w:r w:rsidRPr="00C87389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Snahou České republiky je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mj. </w:t>
      </w:r>
      <w:r w:rsidRPr="00C87389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snížení emisí v dopravě prostřednictvím opatření uvedených v Aktualizaci Národního akčního plánu čisté mobility, který vznikl na základě požadavku směrnice Evropského parlamentu a Rady 2014/94/EU o zavádění infrastruktury pro alternativní paliva, a ze kterého vychází komponenta čistá mobilita. Zároveň se jedná o podporu transformace automobilového průmyslu v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 </w:t>
      </w:r>
      <w:r w:rsidRPr="00C87389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souvislosti s přechodem na </w:t>
      </w:r>
      <w:proofErr w:type="spellStart"/>
      <w:r w:rsidRPr="00C87389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nízkoemisní</w:t>
      </w:r>
      <w:proofErr w:type="spellEnd"/>
      <w:r w:rsidRPr="00C87389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 mobilitu v souladu s Memorandem o budoucnosti automobilového průmyslu.  </w:t>
      </w:r>
    </w:p>
    <w:p w:rsidR="00C87389" w:rsidRPr="00C87389" w:rsidRDefault="00C87389" w:rsidP="00C873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</w:pPr>
      <w:r w:rsidRPr="00C87389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V souvislosti s podporou </w:t>
      </w:r>
      <w:proofErr w:type="spellStart"/>
      <w:r w:rsidRPr="00C87389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nízkoemisních</w:t>
      </w:r>
      <w:proofErr w:type="spellEnd"/>
      <w:r w:rsidRPr="00C87389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 vozidel (elektromobily a </w:t>
      </w:r>
      <w:proofErr w:type="spellStart"/>
      <w:r w:rsidRPr="00C87389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PHEVs</w:t>
      </w:r>
      <w:proofErr w:type="spellEnd"/>
      <w:r w:rsidRPr="00C87389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) bude v případě osobních vozidel aplikován limit 50 g CO2/km. Tento limit vychází ze Směrnice EP a Rady 2019/1161, kterou se mění směrnice 2009/33/ES o podpoře čistých a energeticky účinných silničních vozidel, která stanoví povinný podíl nízko a bezemisních vozidel pořizovaných veřejnými zadavateli. Podpora vozidel na CNG/LNG je velmi důležitá z důvodu plnění povinného cíle do roku 2030, tj. dosažení 14% podílu energie v dopravě z obnovitelných zdrojů, který bude ČR plnit zejména spotřebou </w:t>
      </w:r>
      <w:proofErr w:type="spellStart"/>
      <w:r w:rsidRPr="00C87389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bioCNG</w:t>
      </w:r>
      <w:proofErr w:type="spellEnd"/>
      <w:r w:rsidRPr="00C87389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. </w:t>
      </w:r>
    </w:p>
    <w:p w:rsidR="00C87389" w:rsidRDefault="00C87389" w:rsidP="00C873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</w:pPr>
      <w:r w:rsidRPr="00C87389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Cílem je rozvoj potřebné infrastruktury pro vozidla na alternativní paliva a zvýšení počtu těchto vozidel v České republice. To pomůže nastartování výroby a prodejů vozidel na alternativní paliva v ČR. Vazba tohoto cíle je v doporučeních EU pro ČR v rámci udržitelné dopravní infrastruktury. </w:t>
      </w:r>
    </w:p>
    <w:p w:rsidR="00871E23" w:rsidRPr="00E56C7A" w:rsidRDefault="00871E23" w:rsidP="00C873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V</w:t>
      </w:r>
      <w:r w:rsidRPr="004B591D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eřejná dobíjecí infrastruktura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 je </w:t>
      </w:r>
      <w:r w:rsidRPr="004B591D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klíčová pro rozvoj </w:t>
      </w:r>
      <w:proofErr w:type="spellStart"/>
      <w:r w:rsidRPr="004B591D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elektromobility</w:t>
      </w:r>
      <w:proofErr w:type="spellEnd"/>
      <w:r w:rsidRPr="004B591D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ale </w:t>
      </w:r>
      <w:r w:rsidRPr="004B591D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těžištěm dobíjení bude neveřejné dobíjení, kterým se zpravidla myslí dobíjení v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 </w:t>
      </w:r>
      <w:r w:rsidRPr="004B591D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domácnostech anebo v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 </w:t>
      </w:r>
      <w:r w:rsidRPr="004B591D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zaměstnání (často citovanou hodnotou je 80% podíl).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 </w:t>
      </w:r>
      <w:r w:rsidRPr="004B591D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Z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 </w:t>
      </w:r>
      <w:r w:rsidRPr="004B591D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logiky věci vyplývá, že veřejné a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 </w:t>
      </w:r>
      <w:r w:rsidRPr="004B591D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neveřejné dobíjení se navzájem doplňují. Zatímco neveřejné dobíjení bude atraktivní zejména nízkými náklady, hlavním parametrem veřejné infrastruktury je její výkon, tj. rychlost dobíjení.</w:t>
      </w:r>
    </w:p>
    <w:p w:rsidR="00871E23" w:rsidRPr="00E56C7A" w:rsidRDefault="00871E23" w:rsidP="00871E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</w:pPr>
      <w:r w:rsidRPr="00E56C7A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Specifickým segmentem </w:t>
      </w:r>
      <w:proofErr w:type="spellStart"/>
      <w:r w:rsidRPr="00E56C7A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elektromobility</w:t>
      </w:r>
      <w:proofErr w:type="spellEnd"/>
      <w:r w:rsidRPr="00E56C7A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 xml:space="preserve"> je využití v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 </w:t>
      </w:r>
      <w:r w:rsidRPr="00E56C7A"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  <w:t>rámci MHD, kdy lze maximálně vytěžit výhody lokálně bezemisního provozu.</w:t>
      </w:r>
    </w:p>
    <w:p w:rsidR="00871E23" w:rsidRPr="00E56C7A" w:rsidRDefault="00871E23" w:rsidP="00871E23">
      <w:pPr>
        <w:spacing w:after="1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cs-CZ"/>
        </w:rPr>
      </w:pPr>
      <w:r w:rsidRPr="00E56C7A">
        <w:rPr>
          <w:rFonts w:ascii="Times New Roman" w:hAnsi="Times New Roman" w:cs="Times New Roman"/>
          <w:sz w:val="23"/>
          <w:szCs w:val="23"/>
        </w:rPr>
        <w:t>Pokud se mají efekty rozvoje čisté mobility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56C7A">
        <w:rPr>
          <w:rFonts w:ascii="Times New Roman" w:hAnsi="Times New Roman" w:cs="Times New Roman"/>
          <w:sz w:val="23"/>
          <w:szCs w:val="23"/>
        </w:rPr>
        <w:t>rámci EU projevit odpovídajícím způsobem, je třeba, aby byly využity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E56C7A">
        <w:rPr>
          <w:rFonts w:ascii="Times New Roman" w:hAnsi="Times New Roman" w:cs="Times New Roman"/>
          <w:sz w:val="23"/>
          <w:szCs w:val="23"/>
        </w:rPr>
        <w:t>nástroje stimulace poptávky</w:t>
      </w:r>
      <w:r>
        <w:rPr>
          <w:rFonts w:ascii="Times New Roman" w:hAnsi="Times New Roman" w:cs="Times New Roman"/>
          <w:sz w:val="23"/>
          <w:szCs w:val="23"/>
        </w:rPr>
        <w:t xml:space="preserve"> po bezemisních a </w:t>
      </w:r>
      <w:proofErr w:type="spellStart"/>
      <w:r>
        <w:rPr>
          <w:rFonts w:ascii="Times New Roman" w:hAnsi="Times New Roman" w:cs="Times New Roman"/>
          <w:sz w:val="23"/>
          <w:szCs w:val="23"/>
        </w:rPr>
        <w:t>nízkoemisních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56C7A">
        <w:rPr>
          <w:rFonts w:ascii="Times New Roman" w:hAnsi="Times New Roman" w:cs="Times New Roman"/>
          <w:sz w:val="23"/>
          <w:szCs w:val="23"/>
        </w:rPr>
        <w:t>vozidlech.</w:t>
      </w:r>
    </w:p>
    <w:p w:rsidR="002E19BA" w:rsidRPr="00E16981" w:rsidRDefault="000C0598" w:rsidP="00D02748">
      <w:pPr>
        <w:pStyle w:val="K-Nadpis3"/>
        <w:numPr>
          <w:ilvl w:val="0"/>
          <w:numId w:val="44"/>
        </w:numPr>
        <w:spacing w:line="293" w:lineRule="auto"/>
        <w:ind w:left="360"/>
        <w:rPr>
          <w:sz w:val="23"/>
        </w:rPr>
      </w:pPr>
      <w:r w:rsidRPr="00E16981">
        <w:rPr>
          <w:sz w:val="23"/>
        </w:rPr>
        <w:t xml:space="preserve">Popis </w:t>
      </w:r>
      <w:r w:rsidR="002E19BA" w:rsidRPr="00E16981">
        <w:rPr>
          <w:sz w:val="23"/>
        </w:rPr>
        <w:t>investic</w:t>
      </w:r>
    </w:p>
    <w:p w:rsidR="00F91337" w:rsidRPr="00F91337" w:rsidRDefault="00F91337" w:rsidP="00F91337">
      <w:r w:rsidRPr="00F91337">
        <w:t xml:space="preserve">1.1. Budování infrastruktury – budování veřejné infrastruktury 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214"/>
      </w:tblGrid>
      <w:tr w:rsidR="00F91337" w:rsidRPr="00F91337" w:rsidTr="000D5FF3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Výzva</w:t>
            </w:r>
          </w:p>
        </w:tc>
        <w:tc>
          <w:tcPr>
            <w:tcW w:w="7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Podpora budování veřejné infrastruktury 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Postavit minimálně </w:t>
            </w:r>
            <w:r w:rsidR="008C05AD">
              <w:rPr>
                <w:rFonts w:ascii="Calibri" w:hAnsi="Calibri" w:cs="Calibri"/>
                <w:color w:val="auto"/>
                <w:lang w:eastAsia="cs-CZ"/>
              </w:rPr>
              <w:t>4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veřejné vodíkové plničky, 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 xml:space="preserve">2 </w:t>
            </w:r>
            <w:r w:rsidR="008B40DF">
              <w:rPr>
                <w:rFonts w:ascii="Calibri" w:hAnsi="Calibri" w:cs="Calibri"/>
                <w:color w:val="auto"/>
                <w:lang w:eastAsia="cs-CZ"/>
              </w:rPr>
              <w:t>240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veřejných dobíjecích bodů, 5 plniček na LNG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Implementace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MPO</w:t>
            </w:r>
          </w:p>
        </w:tc>
      </w:tr>
      <w:tr w:rsidR="00F91337" w:rsidRPr="00F91337" w:rsidTr="000D5FF3">
        <w:trPr>
          <w:trHeight w:val="70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Spolupráce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zapojení zúčastněných stran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Energetické firmy, automobilky, firmy zabývající se prodejem pohonných hmot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Překážky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rizika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Dlouhodobé schvalovací procesy výstavby, dlouhodobost připojení nových objektů do sítě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Cílové skupiny populace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ekonomické subjekty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Majitelé elektromobilů, dopravní společnosti mající ve vozovém parku kamiony na LNG, případně vodík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Souhrnné náklady realizace financované z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RRF za celé období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741E3B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>
              <w:rPr>
                <w:rFonts w:ascii="Calibri" w:hAnsi="Calibri" w:cs="Calibri"/>
                <w:color w:val="auto"/>
              </w:rPr>
              <w:t>2 180</w:t>
            </w:r>
            <w:r w:rsidR="00F91337" w:rsidRPr="00F91337">
              <w:rPr>
                <w:rFonts w:ascii="Calibri" w:hAnsi="Calibri" w:cs="Calibri"/>
                <w:color w:val="auto"/>
              </w:rPr>
              <w:t xml:space="preserve">,0 mil. Kč 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lastRenderedPageBreak/>
              <w:t>Dodržování pravidel státní podpory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Uveďte dobu implementace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Plánovaná doba realizace (roky). Kdy se očekává dokončení (</w:t>
            </w:r>
            <w:r w:rsidR="007A5188">
              <w:rPr>
                <w:rFonts w:ascii="Calibri" w:hAnsi="Calibri" w:cs="Calibri"/>
                <w:color w:val="auto"/>
                <w:lang w:eastAsia="cs-CZ"/>
              </w:rPr>
              <w:t>2025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). </w:t>
            </w:r>
          </w:p>
        </w:tc>
      </w:tr>
    </w:tbl>
    <w:p w:rsidR="00F91337" w:rsidRPr="00F91337" w:rsidRDefault="00F91337" w:rsidP="00F91337"/>
    <w:p w:rsidR="00F91337" w:rsidRPr="00F91337" w:rsidRDefault="00F91337" w:rsidP="00F91337">
      <w:r w:rsidRPr="00F91337">
        <w:t xml:space="preserve">1.2. Budování </w:t>
      </w:r>
      <w:proofErr w:type="gramStart"/>
      <w:r w:rsidRPr="00F91337">
        <w:t xml:space="preserve">infrastruktury - </w:t>
      </w:r>
      <w:r w:rsidR="008D52A7" w:rsidRPr="00F91337">
        <w:rPr>
          <w:rFonts w:ascii="Calibri" w:hAnsi="Calibri" w:cs="Calibri"/>
          <w:color w:val="auto"/>
          <w:lang w:eastAsia="cs-CZ"/>
        </w:rPr>
        <w:t>pro</w:t>
      </w:r>
      <w:proofErr w:type="gramEnd"/>
      <w:r w:rsidR="008D52A7" w:rsidRPr="00F91337">
        <w:rPr>
          <w:rFonts w:ascii="Calibri" w:hAnsi="Calibri" w:cs="Calibri"/>
          <w:color w:val="auto"/>
          <w:lang w:eastAsia="cs-CZ"/>
        </w:rPr>
        <w:t xml:space="preserve"> veřejnou dopravu (Praha)</w:t>
      </w:r>
      <w:r w:rsidRPr="00F91337">
        <w:t xml:space="preserve">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214"/>
      </w:tblGrid>
      <w:tr w:rsidR="00F91337" w:rsidRPr="00F91337" w:rsidTr="000D5FF3"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Výzva</w:t>
            </w:r>
          </w:p>
        </w:tc>
        <w:tc>
          <w:tcPr>
            <w:tcW w:w="7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Budování infrastruktury pro veřejnou dopravu (Praha)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Podpora výstavby dobíjecí infrastruktury pro 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elektrobusy</w:t>
            </w:r>
            <w:proofErr w:type="spellEnd"/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v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Praze – 210 dobíjecích bodů pro veřejnou dopravu,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Implementace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Dopravní podnik hlavního města Prahy </w:t>
            </w:r>
          </w:p>
        </w:tc>
      </w:tr>
      <w:tr w:rsidR="00F91337" w:rsidRPr="00F91337" w:rsidTr="000D5FF3">
        <w:trPr>
          <w:trHeight w:val="7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Spolupráce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zapojení zúčastněných stran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Dopravní podnik hlavního města Prahy, energetické společnosti, </w:t>
            </w:r>
            <w:r w:rsidR="008B40DF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Překážky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rizika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Schvalovací procesy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Cílové skupiny populace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ekonomické subjekty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Uživatelé veřejné dopravy v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Praze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Souhrnné náklady realizace financované z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RRF za celé období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8C05AD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>
              <w:rPr>
                <w:rFonts w:ascii="Calibri" w:hAnsi="Calibri" w:cs="Calibri"/>
                <w:color w:val="auto"/>
                <w:lang w:eastAsia="cs-CZ"/>
              </w:rPr>
              <w:t>1200</w:t>
            </w:r>
            <w:r w:rsidR="00EE271E">
              <w:rPr>
                <w:rFonts w:ascii="Calibri" w:hAnsi="Calibri" w:cs="Calibri"/>
                <w:color w:val="auto"/>
                <w:lang w:eastAsia="cs-CZ"/>
              </w:rPr>
              <w:t>,0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 xml:space="preserve"> mil. Kč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Dodržování pravidel státní podpory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Uveďte dobu implementace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Plánovaná doba realizace (roky). Kdy se očekává dokončení (</w:t>
            </w:r>
            <w:r w:rsidR="007A5188">
              <w:rPr>
                <w:rFonts w:ascii="Calibri" w:hAnsi="Calibri" w:cs="Calibri"/>
                <w:color w:val="auto"/>
                <w:lang w:eastAsia="cs-CZ"/>
              </w:rPr>
              <w:t>2025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). </w:t>
            </w:r>
          </w:p>
        </w:tc>
      </w:tr>
    </w:tbl>
    <w:p w:rsidR="00F91337" w:rsidRPr="00F91337" w:rsidRDefault="00F91337" w:rsidP="00F91337"/>
    <w:p w:rsidR="00F91337" w:rsidRPr="00F91337" w:rsidRDefault="00F91337" w:rsidP="00F91337">
      <w:r w:rsidRPr="00F91337">
        <w:t xml:space="preserve">1.3. Budování neveřejné infrastruktury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214"/>
      </w:tblGrid>
      <w:tr w:rsidR="00F91337" w:rsidRPr="00F91337" w:rsidTr="000D5FF3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Výzva</w:t>
            </w:r>
          </w:p>
        </w:tc>
        <w:tc>
          <w:tcPr>
            <w:tcW w:w="7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Budování neveřejné infrastruktury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Rozšíření počtu neveřejných dobíjecích bodů u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podnikatelů o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1 940 ks 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Implementace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Podnikatelské subjekty</w:t>
            </w:r>
          </w:p>
        </w:tc>
      </w:tr>
      <w:tr w:rsidR="00F91337" w:rsidRPr="00F91337" w:rsidTr="000D5FF3">
        <w:trPr>
          <w:trHeight w:val="70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Spolupráce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zapojení zúčastněných stran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Podnikatelské subjekty jako vlastníci dobíjecí infrastruktury, jejich elektromobily, firmy zabývající se výstavbou dobíjecích stanice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Překážky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rizika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Dlouhodobé schvalovací procesy výstavby, dlouhodobost připojení nových objektů do sítě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Cílové skupiny populace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ekonomické subjekty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Souhrnné náklady realizace financované z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RRF za celé období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300 mil. Kč  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Dodržování pravidel státní podpory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Uveďte dobu implementace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8B40DF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8B40DF">
              <w:rPr>
                <w:rFonts w:ascii="Calibri" w:hAnsi="Calibri" w:cs="Calibri"/>
                <w:color w:val="auto"/>
                <w:lang w:eastAsia="cs-CZ"/>
              </w:rPr>
              <w:t>Plánovaná doba realizace (roky). Kdy se očekává dokončení (</w:t>
            </w:r>
            <w:r w:rsidR="007A5188">
              <w:rPr>
                <w:rFonts w:ascii="Calibri" w:hAnsi="Calibri" w:cs="Calibri"/>
                <w:color w:val="auto"/>
                <w:lang w:eastAsia="cs-CZ"/>
              </w:rPr>
              <w:t>2025</w:t>
            </w:r>
            <w:r w:rsidRPr="008B40DF">
              <w:rPr>
                <w:rFonts w:ascii="Calibri" w:hAnsi="Calibri" w:cs="Calibri"/>
                <w:color w:val="auto"/>
                <w:lang w:eastAsia="cs-CZ"/>
              </w:rPr>
              <w:t>).</w:t>
            </w:r>
          </w:p>
        </w:tc>
      </w:tr>
    </w:tbl>
    <w:p w:rsidR="00F91337" w:rsidRPr="00F91337" w:rsidRDefault="00F91337" w:rsidP="00F91337"/>
    <w:p w:rsidR="00F91337" w:rsidRPr="00F91337" w:rsidRDefault="00F91337" w:rsidP="00F91337">
      <w:r w:rsidRPr="00F91337">
        <w:t>1.4. Budování infrastruktury – dobíjecí stanic</w:t>
      </w:r>
      <w:r w:rsidR="008A3CDA">
        <w:t>e</w:t>
      </w:r>
      <w:r w:rsidRPr="00F91337">
        <w:t xml:space="preserve"> pro obytné budovy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214"/>
      </w:tblGrid>
      <w:tr w:rsidR="00F91337" w:rsidRPr="00F91337" w:rsidTr="000D5FF3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Výzva</w:t>
            </w:r>
          </w:p>
        </w:tc>
        <w:tc>
          <w:tcPr>
            <w:tcW w:w="7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Budování dobíjecích stanic pro obytné budovy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Vybudování dobíjecích stanic u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obytných domů jak v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soukromých garážích, tak na souvisejících parkovacích místech. Rozšíření dobíjecí 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infrastruktuy</w:t>
            </w:r>
            <w:proofErr w:type="spellEnd"/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pro obytné budovy o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3 </w:t>
            </w:r>
            <w:r w:rsidR="008B40DF">
              <w:rPr>
                <w:rFonts w:ascii="Calibri" w:hAnsi="Calibri" w:cs="Calibri"/>
                <w:color w:val="auto"/>
                <w:lang w:eastAsia="cs-CZ"/>
              </w:rPr>
              <w:t>6</w:t>
            </w:r>
            <w:r w:rsidR="008B40DF" w:rsidRPr="00F91337">
              <w:rPr>
                <w:rFonts w:ascii="Calibri" w:hAnsi="Calibri" w:cs="Calibri"/>
                <w:color w:val="auto"/>
                <w:lang w:eastAsia="cs-CZ"/>
              </w:rPr>
              <w:t xml:space="preserve">00 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dobíjecích bodů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lastRenderedPageBreak/>
              <w:t>Implementace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Sdružení vlastníků bytů, majitelé obytných domů, </w:t>
            </w:r>
          </w:p>
        </w:tc>
      </w:tr>
      <w:tr w:rsidR="00F91337" w:rsidRPr="00F91337" w:rsidTr="000D5FF3">
        <w:trPr>
          <w:trHeight w:val="70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Spolupráce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zapojení zúčastněných stran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Sdružení vlastníků bytů, majitelé obytných domů, firmy 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budujícící</w:t>
            </w:r>
            <w:proofErr w:type="spellEnd"/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dobíjecí infrastrukturu 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Překážky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rizika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Dlouhodobé schvalovací procesy výstavby, dlouhodobost připojení nových objektů do sítě, Nutnost souhlasu všech vlastníků SVJ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Cílové skupiny populace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ekonomické subjekty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Majitelé elektromobilů, žijící v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bytových domech, kteří budou moci dobíjet na neveřejných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poloveřejných</w:t>
            </w:r>
            <w:proofErr w:type="spellEnd"/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dobíjecích stanicích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Souhrnné náklady realizace financované z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RRF za celé období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1</w:t>
            </w:r>
            <w:r w:rsidR="008B40DF">
              <w:rPr>
                <w:rFonts w:ascii="Calibri" w:hAnsi="Calibri" w:cs="Calibri"/>
                <w:color w:val="auto"/>
                <w:lang w:eastAsia="cs-CZ"/>
              </w:rPr>
              <w:t>8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0 mil. Kč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Dodržování pravidel státní podpory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Uveďte dobu implementace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Plánovaná doba realizace (roky). Kdy se očekává dokončení (</w:t>
            </w:r>
            <w:r w:rsidR="007A5188">
              <w:rPr>
                <w:rFonts w:ascii="Calibri" w:hAnsi="Calibri" w:cs="Calibri"/>
                <w:color w:val="auto"/>
                <w:lang w:eastAsia="cs-CZ"/>
              </w:rPr>
              <w:t>2025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).</w:t>
            </w:r>
          </w:p>
        </w:tc>
      </w:tr>
    </w:tbl>
    <w:p w:rsidR="00F91337" w:rsidRPr="00F91337" w:rsidRDefault="00F91337" w:rsidP="00F91337"/>
    <w:p w:rsidR="00F91337" w:rsidRPr="00F91337" w:rsidRDefault="00F91337" w:rsidP="00F91337">
      <w:r w:rsidRPr="00F91337">
        <w:t xml:space="preserve">1.5. Budování </w:t>
      </w:r>
      <w:proofErr w:type="gramStart"/>
      <w:r w:rsidRPr="00F91337">
        <w:t>infrastruktury</w:t>
      </w:r>
      <w:r w:rsidR="008A3CDA">
        <w:t xml:space="preserve"> - </w:t>
      </w:r>
      <w:r w:rsidR="008A3CDA" w:rsidRPr="00F91337">
        <w:t>pro</w:t>
      </w:r>
      <w:proofErr w:type="gramEnd"/>
      <w:r w:rsidR="008A3CDA" w:rsidRPr="00F91337">
        <w:t xml:space="preserve"> obce, kraje, státní správu</w:t>
      </w:r>
      <w:r w:rsidRPr="00F91337">
        <w:t xml:space="preserve">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214"/>
      </w:tblGrid>
      <w:tr w:rsidR="00F91337" w:rsidRPr="00F91337" w:rsidTr="000D5FF3"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Výzva</w:t>
            </w:r>
          </w:p>
        </w:tc>
        <w:tc>
          <w:tcPr>
            <w:tcW w:w="7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t xml:space="preserve">Budování infrastruktury pro </w:t>
            </w:r>
            <w:r w:rsidR="005215ED" w:rsidRPr="00F91337">
              <w:t>obce, kraje, státní správu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Zvýšení počtu veřejných dobíjecích stanic u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="005215ED" w:rsidRPr="00F91337">
              <w:t>obc</w:t>
            </w:r>
            <w:r w:rsidR="005215ED">
              <w:t>í</w:t>
            </w:r>
            <w:r w:rsidR="005215ED" w:rsidRPr="00F91337">
              <w:t>, kraj</w:t>
            </w:r>
            <w:r w:rsidR="005215ED">
              <w:t>ů</w:t>
            </w:r>
            <w:r w:rsidR="005215ED" w:rsidRPr="00F91337">
              <w:t>, státní správ</w:t>
            </w:r>
            <w:r w:rsidR="005215ED">
              <w:t>y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jimi zřízených institucí o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="008B40DF">
              <w:rPr>
                <w:rFonts w:ascii="Calibri" w:hAnsi="Calibri" w:cs="Calibri"/>
                <w:color w:val="auto"/>
                <w:lang w:eastAsia="cs-CZ"/>
              </w:rPr>
              <w:t>950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ks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Implementace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5215ED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>
              <w:t>O</w:t>
            </w:r>
            <w:r w:rsidRPr="00F91337">
              <w:t>bce, kraje, státní správ</w:t>
            </w:r>
            <w:r>
              <w:t>a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</w:p>
        </w:tc>
      </w:tr>
      <w:tr w:rsidR="00F91337" w:rsidRPr="00F91337" w:rsidTr="000D5FF3">
        <w:trPr>
          <w:trHeight w:val="7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Spolupráce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zapojení zúčastněných stran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5215ED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>
              <w:t>O</w:t>
            </w:r>
            <w:r w:rsidRPr="00F91337">
              <w:t>bce, kraje, státní správ</w:t>
            </w:r>
            <w:r>
              <w:t>a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>, firmy zabývající se budováním dobíjecí infrastruktury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Překážky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rizika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Po 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coronavirové</w:t>
            </w:r>
            <w:proofErr w:type="spellEnd"/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krizi výrazný pokles příjmů obcí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krajů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nutnost seškrtávání investic, zdlouhavost veřejné zakázky, zdlouhavost schvalovacích procesů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Cílové skupiny populace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ekonomické subjekty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Majitelé elektromobilů fyzické osoby, firmy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Souhrnné náklady realizace financované z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RRF za celé období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8B40DF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>
              <w:rPr>
                <w:rFonts w:ascii="Calibri" w:hAnsi="Calibri" w:cs="Calibri"/>
                <w:color w:val="auto"/>
                <w:lang w:eastAsia="cs-CZ"/>
              </w:rPr>
              <w:t>250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 xml:space="preserve">,0 mil. Kč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Dodržování pravidel státní podpory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Uveďte dobu implementace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Plánovaná doba realizace (roky). Kdy se očekává dokončení (</w:t>
            </w:r>
            <w:r w:rsidR="007A5188">
              <w:rPr>
                <w:rFonts w:ascii="Calibri" w:hAnsi="Calibri" w:cs="Calibri"/>
                <w:color w:val="auto"/>
                <w:lang w:eastAsia="cs-CZ"/>
              </w:rPr>
              <w:t>2025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).</w:t>
            </w:r>
          </w:p>
        </w:tc>
      </w:tr>
    </w:tbl>
    <w:p w:rsidR="00F91337" w:rsidRPr="00F91337" w:rsidRDefault="00F91337" w:rsidP="00F91337"/>
    <w:p w:rsidR="00F91337" w:rsidRPr="00F91337" w:rsidRDefault="00F91337" w:rsidP="00F91337">
      <w:r w:rsidRPr="00F91337">
        <w:t xml:space="preserve">2.1. Podpora nákupu vozidel – </w:t>
      </w:r>
      <w:r w:rsidR="00521823">
        <w:t>v</w:t>
      </w:r>
      <w:r w:rsidRPr="00F91337">
        <w:t>ozidla (el, H2, CNG/LNG) pro podnikatelské subjekty včetně E-</w:t>
      </w:r>
      <w:proofErr w:type="spellStart"/>
      <w:r w:rsidRPr="00F91337">
        <w:t>cargokol</w:t>
      </w:r>
      <w:proofErr w:type="spellEnd"/>
      <w:r w:rsidRPr="00F91337"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214"/>
      </w:tblGrid>
      <w:tr w:rsidR="00F91337" w:rsidRPr="00F91337" w:rsidTr="000D5FF3"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Výzva</w:t>
            </w:r>
          </w:p>
        </w:tc>
        <w:tc>
          <w:tcPr>
            <w:tcW w:w="7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Podpora nákupu vozidel – </w:t>
            </w:r>
            <w:r w:rsidR="00521823">
              <w:rPr>
                <w:rFonts w:ascii="Calibri" w:hAnsi="Calibri" w:cs="Calibri"/>
                <w:color w:val="auto"/>
                <w:lang w:eastAsia="cs-CZ"/>
              </w:rPr>
              <w:t>v</w:t>
            </w:r>
            <w:r w:rsidR="00521823" w:rsidRPr="00F91337">
              <w:rPr>
                <w:rFonts w:ascii="Calibri" w:hAnsi="Calibri" w:cs="Calibri"/>
                <w:color w:val="auto"/>
                <w:lang w:eastAsia="cs-CZ"/>
              </w:rPr>
              <w:t xml:space="preserve">ozidla 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(el, H2, CNG/LNG) pro podnikatelské subjekty včetně E-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cargokol</w:t>
            </w:r>
            <w:proofErr w:type="spellEnd"/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Navýšení počtu vozidel na alternativní paliva u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podnikatelů o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3 135 ks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>
              <w:rPr>
                <w:rFonts w:ascii="Calibri" w:hAnsi="Calibri" w:cs="Calibri"/>
                <w:color w:val="auto"/>
                <w:lang w:eastAsia="cs-CZ"/>
              </w:rPr>
              <w:t>I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Podnikatelské subjekty</w:t>
            </w:r>
          </w:p>
        </w:tc>
      </w:tr>
      <w:tr w:rsidR="00F91337" w:rsidRPr="00F91337" w:rsidTr="000D5FF3">
        <w:trPr>
          <w:trHeight w:val="7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Spolupráce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zapojení zúčastněných stran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Podnikatelské subjekty, dopravci, prodejci vozidel,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Překážky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rizika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Nedostatek vozidel na trhu, nutnost výběrového řízení 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Cílové skupiny populace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ekonomické subjekty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Podnikatelské subjekty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dopravci,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Souhrnné náklady realizace financované z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RRF za celé období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610 mil. Kč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lastRenderedPageBreak/>
              <w:t>Dodržování pravidel státní podpory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Uveďte dobu implementace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Plánovaná doba realizace (roky). Kdy se očekává dokončení (</w:t>
            </w:r>
            <w:r w:rsidR="007A5188">
              <w:rPr>
                <w:rFonts w:ascii="Calibri" w:hAnsi="Calibri" w:cs="Calibri"/>
                <w:color w:val="auto"/>
                <w:lang w:eastAsia="cs-CZ"/>
              </w:rPr>
              <w:t>2025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).</w:t>
            </w:r>
          </w:p>
        </w:tc>
      </w:tr>
    </w:tbl>
    <w:p w:rsidR="00F91337" w:rsidRPr="00F91337" w:rsidRDefault="00F91337" w:rsidP="00F91337"/>
    <w:p w:rsidR="00F91337" w:rsidRPr="00F91337" w:rsidRDefault="00F91337" w:rsidP="00F91337">
      <w:r w:rsidRPr="00F91337">
        <w:t xml:space="preserve"> 2.2. Podpora nákupu vozidel – </w:t>
      </w:r>
      <w:r w:rsidR="00521823">
        <w:t>v</w:t>
      </w:r>
      <w:r w:rsidR="00521823" w:rsidRPr="00F91337">
        <w:t xml:space="preserve">ozidla </w:t>
      </w:r>
      <w:r w:rsidRPr="00F91337">
        <w:t xml:space="preserve">(el, H2, CNG) pro </w:t>
      </w:r>
      <w:bookmarkStart w:id="10" w:name="_Hlk59025889"/>
      <w:r w:rsidRPr="00F91337">
        <w:t>obce, kraje, státní správu</w:t>
      </w:r>
      <w:bookmarkEnd w:id="10"/>
      <w:r w:rsidRPr="00F91337"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214"/>
      </w:tblGrid>
      <w:tr w:rsidR="00F91337" w:rsidRPr="00F91337" w:rsidTr="000D5FF3"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Výzva</w:t>
            </w:r>
          </w:p>
        </w:tc>
        <w:tc>
          <w:tcPr>
            <w:tcW w:w="7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Podpora nákupu vozidel – </w:t>
            </w:r>
            <w:r w:rsidR="00521823">
              <w:rPr>
                <w:rFonts w:ascii="Calibri" w:hAnsi="Calibri" w:cs="Calibri"/>
                <w:color w:val="auto"/>
                <w:lang w:eastAsia="cs-CZ"/>
              </w:rPr>
              <w:t>v</w:t>
            </w:r>
            <w:r w:rsidR="00521823" w:rsidRPr="00F91337">
              <w:rPr>
                <w:rFonts w:ascii="Calibri" w:hAnsi="Calibri" w:cs="Calibri"/>
                <w:color w:val="auto"/>
                <w:lang w:eastAsia="cs-CZ"/>
              </w:rPr>
              <w:t xml:space="preserve">ozidla 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(el, H2, CNG) pro obce, kraje, státní správu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Navýšení počtu vozidel u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="00B7463C" w:rsidRPr="00B7463C">
              <w:rPr>
                <w:rFonts w:ascii="Calibri" w:hAnsi="Calibri" w:cs="Calibri"/>
                <w:color w:val="auto"/>
                <w:lang w:eastAsia="cs-CZ"/>
              </w:rPr>
              <w:t>obc</w:t>
            </w:r>
            <w:r w:rsidR="00B7463C">
              <w:rPr>
                <w:rFonts w:ascii="Calibri" w:hAnsi="Calibri" w:cs="Calibri"/>
                <w:color w:val="auto"/>
                <w:lang w:eastAsia="cs-CZ"/>
              </w:rPr>
              <w:t>í</w:t>
            </w:r>
            <w:r w:rsidR="00B7463C" w:rsidRPr="00B7463C">
              <w:rPr>
                <w:rFonts w:ascii="Calibri" w:hAnsi="Calibri" w:cs="Calibri"/>
                <w:color w:val="auto"/>
                <w:lang w:eastAsia="cs-CZ"/>
              </w:rPr>
              <w:t>, kraj</w:t>
            </w:r>
            <w:r w:rsidR="00B7463C">
              <w:rPr>
                <w:rFonts w:ascii="Calibri" w:hAnsi="Calibri" w:cs="Calibri"/>
                <w:color w:val="auto"/>
                <w:lang w:eastAsia="cs-CZ"/>
              </w:rPr>
              <w:t>ů</w:t>
            </w:r>
            <w:r w:rsidR="00B7463C" w:rsidRPr="00B7463C">
              <w:rPr>
                <w:rFonts w:ascii="Calibri" w:hAnsi="Calibri" w:cs="Calibri"/>
                <w:color w:val="auto"/>
                <w:lang w:eastAsia="cs-CZ"/>
              </w:rPr>
              <w:t xml:space="preserve">, státní </w:t>
            </w:r>
            <w:proofErr w:type="spellStart"/>
            <w:r w:rsidR="00B7463C" w:rsidRPr="00B7463C">
              <w:rPr>
                <w:rFonts w:ascii="Calibri" w:hAnsi="Calibri" w:cs="Calibri"/>
                <w:color w:val="auto"/>
                <w:lang w:eastAsia="cs-CZ"/>
              </w:rPr>
              <w:t>správ</w:t>
            </w:r>
            <w:r w:rsidR="00B7463C">
              <w:rPr>
                <w:rFonts w:ascii="Calibri" w:hAnsi="Calibri" w:cs="Calibri"/>
                <w:color w:val="auto"/>
                <w:lang w:eastAsia="cs-CZ"/>
              </w:rPr>
              <w:t>y</w:t>
            </w:r>
            <w:r w:rsidR="00FC6325">
              <w:rPr>
                <w:rFonts w:ascii="Calibri" w:hAnsi="Calibri" w:cs="Calibri"/>
                <w:color w:val="auto"/>
                <w:lang w:eastAsia="cs-CZ"/>
              </w:rPr>
              <w:t>w</w:t>
            </w:r>
            <w:proofErr w:type="spellEnd"/>
            <w:r w:rsidR="00B7463C" w:rsidRPr="00B7463C" w:rsidDel="00B7463C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o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4 1</w:t>
            </w:r>
            <w:r w:rsidR="008B40DF">
              <w:rPr>
                <w:rFonts w:ascii="Calibri" w:hAnsi="Calibri" w:cs="Calibri"/>
                <w:color w:val="auto"/>
                <w:lang w:eastAsia="cs-CZ"/>
              </w:rPr>
              <w:t>7</w:t>
            </w:r>
            <w:r w:rsidR="00B7463C">
              <w:rPr>
                <w:rFonts w:ascii="Calibri" w:hAnsi="Calibri" w:cs="Calibri"/>
                <w:color w:val="auto"/>
                <w:lang w:eastAsia="cs-CZ"/>
              </w:rPr>
              <w:t>1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vozidel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Implementace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185CE0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>
              <w:t>O</w:t>
            </w:r>
            <w:r w:rsidRPr="00F91337">
              <w:t>bce, kraje, státní správ</w:t>
            </w:r>
            <w:r>
              <w:t>a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</w:p>
        </w:tc>
      </w:tr>
      <w:tr w:rsidR="00F91337" w:rsidRPr="00F91337" w:rsidTr="000D5FF3">
        <w:trPr>
          <w:trHeight w:val="7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Spolupráce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zapojení zúčastněných stran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185CE0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>
              <w:t>O</w:t>
            </w:r>
            <w:r w:rsidRPr="00F91337">
              <w:t>bce, kraje, státní správ</w:t>
            </w:r>
            <w:r>
              <w:t>a</w:t>
            </w:r>
            <w:r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>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>jim podřízení organizace, prodejci vozidel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Překážky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rizika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Po 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coronavirové</w:t>
            </w:r>
            <w:proofErr w:type="spellEnd"/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krizi výrazný pokles příjmů obcí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krajů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nutnost seškrtávání investic do obnovy vozového parku, zdlouhavost veřejné zakázky, nedostatek vozidel u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prodejů. 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Cílové skupiny populace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ekonomické subjekty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185CE0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>
              <w:t>O</w:t>
            </w:r>
            <w:r w:rsidRPr="00F91337">
              <w:t>bce, kraje, státní správ</w:t>
            </w:r>
            <w:r>
              <w:t>a</w:t>
            </w:r>
            <w:r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>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>jim podřízení organizace, prodejci vozidel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Souhrnné náklady realizace financované z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RRF za celé období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600 mil. Kč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Dodržování pravidel státní podpory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Uveďte dobu implementace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Plánovaná doba realizace (roky). Kdy se očekává dokončení (</w:t>
            </w:r>
            <w:r w:rsidR="007A5188">
              <w:rPr>
                <w:rFonts w:ascii="Calibri" w:hAnsi="Calibri" w:cs="Calibri"/>
                <w:color w:val="auto"/>
                <w:lang w:eastAsia="cs-CZ"/>
              </w:rPr>
              <w:t>2025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).</w:t>
            </w:r>
          </w:p>
        </w:tc>
      </w:tr>
    </w:tbl>
    <w:p w:rsidR="00F91337" w:rsidRPr="00F91337" w:rsidRDefault="00F91337" w:rsidP="00F91337"/>
    <w:p w:rsidR="00F91337" w:rsidRPr="00F91337" w:rsidRDefault="00F91337" w:rsidP="00F91337">
      <w:r w:rsidRPr="00F91337">
        <w:t xml:space="preserve">2.3. Podpora nákupu vozidel – </w:t>
      </w:r>
      <w:r w:rsidR="00521823">
        <w:t>v</w:t>
      </w:r>
      <w:r w:rsidR="00521823" w:rsidRPr="00F91337">
        <w:t xml:space="preserve">ozidla </w:t>
      </w:r>
      <w:r w:rsidRPr="00F91337">
        <w:t>(</w:t>
      </w:r>
      <w:proofErr w:type="spellStart"/>
      <w:r w:rsidRPr="00F91337">
        <w:t>elektrobusy</w:t>
      </w:r>
      <w:proofErr w:type="spellEnd"/>
      <w:r w:rsidRPr="00F91337">
        <w:t xml:space="preserve"> a</w:t>
      </w:r>
      <w:r w:rsidR="00741E3B">
        <w:t> </w:t>
      </w:r>
      <w:r w:rsidRPr="00F91337">
        <w:t>hybridní autobusy pro veřejnou hromadnou dopravu v</w:t>
      </w:r>
      <w:r w:rsidR="00741E3B">
        <w:t> </w:t>
      </w:r>
      <w:r w:rsidRPr="00F91337">
        <w:t xml:space="preserve">Hlavním městě Praha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214"/>
      </w:tblGrid>
      <w:tr w:rsidR="00F91337" w:rsidRPr="00F91337" w:rsidTr="000D5FF3"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Výzva</w:t>
            </w:r>
          </w:p>
        </w:tc>
        <w:tc>
          <w:tcPr>
            <w:tcW w:w="7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Podpora nákupu vozidel – </w:t>
            </w:r>
            <w:r w:rsidR="00521823">
              <w:rPr>
                <w:rFonts w:ascii="Calibri" w:hAnsi="Calibri" w:cs="Calibri"/>
                <w:color w:val="auto"/>
                <w:lang w:eastAsia="cs-CZ"/>
              </w:rPr>
              <w:t>v</w:t>
            </w:r>
            <w:r w:rsidR="00521823" w:rsidRPr="00F91337">
              <w:rPr>
                <w:rFonts w:ascii="Calibri" w:hAnsi="Calibri" w:cs="Calibri"/>
                <w:color w:val="auto"/>
                <w:lang w:eastAsia="cs-CZ"/>
              </w:rPr>
              <w:t xml:space="preserve">ozidla 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(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elektrobusy</w:t>
            </w:r>
            <w:proofErr w:type="spellEnd"/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hybridní autobusy pro veřejnou hromadnou dopravu v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Hlavním městě Praha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Navýšení počtu 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elektrobusů</w:t>
            </w:r>
            <w:proofErr w:type="spellEnd"/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hybridních autobusů o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="008B40DF" w:rsidRPr="00F91337">
              <w:rPr>
                <w:rFonts w:ascii="Calibri" w:hAnsi="Calibri" w:cs="Calibri"/>
                <w:color w:val="auto"/>
                <w:lang w:eastAsia="cs-CZ"/>
              </w:rPr>
              <w:t>2</w:t>
            </w:r>
            <w:r w:rsidR="008B40DF">
              <w:rPr>
                <w:rFonts w:ascii="Calibri" w:hAnsi="Calibri" w:cs="Calibri"/>
                <w:color w:val="auto"/>
                <w:lang w:eastAsia="cs-CZ"/>
              </w:rPr>
              <w:t>2</w:t>
            </w:r>
            <w:r w:rsidR="008B40DF" w:rsidRPr="00F91337">
              <w:rPr>
                <w:rFonts w:ascii="Calibri" w:hAnsi="Calibri" w:cs="Calibri"/>
                <w:color w:val="auto"/>
                <w:lang w:eastAsia="cs-CZ"/>
              </w:rPr>
              <w:t xml:space="preserve">0 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ks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Implementace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Dopravní podnik hlavního města Prahy </w:t>
            </w:r>
          </w:p>
        </w:tc>
      </w:tr>
      <w:tr w:rsidR="00F91337" w:rsidRPr="00F91337" w:rsidTr="000D5FF3">
        <w:trPr>
          <w:trHeight w:val="7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Spolupráce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zapojení zúčastněných stran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Dopravní podnik hlavního města Prahy, prodejci autobusů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Překážky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rizika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Zdlouhavost výběrových řízení, nedostatek vozidel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Cílové skupiny populace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ekonomické subjekty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Souhrnné náklady realizace financované z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RRF za celé období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1 700 mil. Kč.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Dodržování pravidel státní podpory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Uveďte dobu implementace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Plánovaná doba realizace (roky). Kdy se očekává dokončení (</w:t>
            </w:r>
            <w:r w:rsidR="007A5188">
              <w:rPr>
                <w:rFonts w:ascii="Calibri" w:hAnsi="Calibri" w:cs="Calibri"/>
                <w:color w:val="auto"/>
                <w:lang w:eastAsia="cs-CZ"/>
              </w:rPr>
              <w:t>2025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).</w:t>
            </w:r>
          </w:p>
        </w:tc>
      </w:tr>
    </w:tbl>
    <w:p w:rsidR="00F91337" w:rsidRPr="00F91337" w:rsidRDefault="00F91337" w:rsidP="00F91337"/>
    <w:p w:rsidR="00F91337" w:rsidRPr="00F91337" w:rsidRDefault="00F91337" w:rsidP="00D02748">
      <w:pPr>
        <w:keepNext/>
      </w:pPr>
      <w:r w:rsidRPr="00F91337">
        <w:t xml:space="preserve">2.4. Podpora nákupu vozidel – </w:t>
      </w:r>
      <w:r w:rsidR="00521823">
        <w:t>ž</w:t>
      </w:r>
      <w:r w:rsidR="00521823" w:rsidRPr="00F91337">
        <w:t xml:space="preserve">elezniční </w:t>
      </w:r>
      <w:r w:rsidRPr="00F91337">
        <w:t xml:space="preserve">(kolejová) vozidla na alternativní pohon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214"/>
      </w:tblGrid>
      <w:tr w:rsidR="00F91337" w:rsidRPr="00F91337" w:rsidTr="000D5FF3"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Výzva</w:t>
            </w:r>
          </w:p>
        </w:tc>
        <w:tc>
          <w:tcPr>
            <w:tcW w:w="7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Podpora nákupu vozidel – </w:t>
            </w:r>
            <w:r w:rsidR="00521823">
              <w:rPr>
                <w:rFonts w:ascii="Calibri" w:hAnsi="Calibri" w:cs="Calibri"/>
                <w:color w:val="auto"/>
                <w:lang w:eastAsia="cs-CZ"/>
              </w:rPr>
              <w:t>ž</w:t>
            </w:r>
            <w:r w:rsidR="00521823" w:rsidRPr="00F91337">
              <w:rPr>
                <w:rFonts w:ascii="Calibri" w:hAnsi="Calibri" w:cs="Calibri"/>
                <w:color w:val="auto"/>
                <w:lang w:eastAsia="cs-CZ"/>
              </w:rPr>
              <w:t xml:space="preserve">elezniční 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(kolejová) vozidla na alternativní pohon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lastRenderedPageBreak/>
              <w:t>Cíl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Navýšení počtu kolejových vozidel na alternativní pohon o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="008B40DF">
              <w:rPr>
                <w:rFonts w:ascii="Calibri" w:hAnsi="Calibri" w:cs="Calibri"/>
                <w:color w:val="auto"/>
                <w:lang w:eastAsia="cs-CZ"/>
              </w:rPr>
              <w:t>14</w:t>
            </w:r>
            <w:r w:rsidR="008B40DF"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(z toho </w:t>
            </w:r>
            <w:r w:rsidR="008B40DF">
              <w:rPr>
                <w:rFonts w:ascii="Calibri" w:hAnsi="Calibri" w:cs="Calibri"/>
                <w:color w:val="auto"/>
                <w:lang w:eastAsia="cs-CZ"/>
              </w:rPr>
              <w:t>9</w:t>
            </w:r>
            <w:r w:rsidR="008B40DF"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bateriových elektrických (BEMU)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="008B40DF">
              <w:rPr>
                <w:rFonts w:ascii="Calibri" w:hAnsi="Calibri" w:cs="Calibri"/>
                <w:color w:val="auto"/>
                <w:lang w:eastAsia="cs-CZ"/>
              </w:rPr>
              <w:t>5</w:t>
            </w:r>
            <w:r w:rsidR="008B40DF"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vodíkových (HMU))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Implementace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České Dráhy, železniční dopravci </w:t>
            </w:r>
          </w:p>
        </w:tc>
      </w:tr>
      <w:tr w:rsidR="00F91337" w:rsidRPr="00F91337" w:rsidTr="000D5FF3">
        <w:trPr>
          <w:trHeight w:val="7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Spolupráce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zapojení zúčastněných stran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Železniční dopravci, výrobci kolejových vozidel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Překážky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rizika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Zdlouhavost výběrových řízení, nedostatek vozidel na trhu, doba dodání (např. v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Itálii podobná zakázka na vodíkové soupravy, 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zasmluvěna</w:t>
            </w:r>
            <w:proofErr w:type="spellEnd"/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2020 dodávka vozidel 2022). 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Cílové skupiny populace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ekonomické subjekty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Cestující veřejnou železniční dopravou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Souhrnné náklady realizace financované z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RRF za celé období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741E3B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>
              <w:rPr>
                <w:rFonts w:ascii="Calibri" w:hAnsi="Calibri" w:cs="Calibri"/>
                <w:color w:val="auto"/>
                <w:lang w:eastAsia="cs-CZ"/>
              </w:rPr>
              <w:t>2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>0</w:t>
            </w:r>
            <w:r>
              <w:rPr>
                <w:rFonts w:ascii="Calibri" w:hAnsi="Calibri" w:cs="Calibri"/>
                <w:color w:val="auto"/>
                <w:lang w:eastAsia="cs-CZ"/>
              </w:rPr>
              <w:t>2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>0</w:t>
            </w:r>
            <w:r>
              <w:rPr>
                <w:rFonts w:ascii="Calibri" w:hAnsi="Calibri" w:cs="Calibri"/>
                <w:color w:val="auto"/>
                <w:lang w:eastAsia="cs-CZ"/>
              </w:rPr>
              <w:t>,0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 xml:space="preserve"> mil. Kč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Dodržování pravidel státní podpory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Uveďte dobu implementace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Plánovaná doba realizace (roky). Kdy se očekává dokončení (</w:t>
            </w:r>
            <w:r w:rsidR="007A5188">
              <w:rPr>
                <w:rFonts w:ascii="Calibri" w:hAnsi="Calibri" w:cs="Calibri"/>
                <w:color w:val="auto"/>
                <w:lang w:eastAsia="cs-CZ"/>
              </w:rPr>
              <w:t>2025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).</w:t>
            </w:r>
          </w:p>
        </w:tc>
      </w:tr>
    </w:tbl>
    <w:p w:rsidR="00F91337" w:rsidRPr="00F91337" w:rsidRDefault="00F91337" w:rsidP="00F91337"/>
    <w:p w:rsidR="00F91337" w:rsidRPr="00F91337" w:rsidRDefault="00F91337" w:rsidP="00F91337">
      <w:r w:rsidRPr="00F91337">
        <w:t xml:space="preserve"> 2.5. Podpora nákupu vozidel – </w:t>
      </w:r>
      <w:r w:rsidR="00521823">
        <w:t>ř</w:t>
      </w:r>
      <w:r w:rsidR="00521823" w:rsidRPr="00F91337">
        <w:t xml:space="preserve">íční </w:t>
      </w:r>
      <w:r w:rsidRPr="00F91337">
        <w:t>plavidla na alternativní pohon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214"/>
      </w:tblGrid>
      <w:tr w:rsidR="00F91337" w:rsidRPr="00F91337" w:rsidTr="000D5FF3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Výzva</w:t>
            </w:r>
          </w:p>
        </w:tc>
        <w:tc>
          <w:tcPr>
            <w:tcW w:w="7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Podpora nákupu vozidel – </w:t>
            </w:r>
            <w:r w:rsidR="00521823">
              <w:rPr>
                <w:rFonts w:ascii="Calibri" w:hAnsi="Calibri" w:cs="Calibri"/>
                <w:color w:val="auto"/>
                <w:lang w:eastAsia="cs-CZ"/>
              </w:rPr>
              <w:t>ř</w:t>
            </w:r>
            <w:r w:rsidR="00521823" w:rsidRPr="00F91337">
              <w:rPr>
                <w:rFonts w:ascii="Calibri" w:hAnsi="Calibri" w:cs="Calibri"/>
                <w:color w:val="auto"/>
                <w:lang w:eastAsia="cs-CZ"/>
              </w:rPr>
              <w:t xml:space="preserve">íční 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plavidla na alternativní pohon*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Navýšení počtu modernizovaných plavidel (přestavba na bateriové elektrické plavidlo) o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50 lodí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Implementace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Provozovatelé majitelé lodí</w:t>
            </w:r>
          </w:p>
        </w:tc>
      </w:tr>
      <w:tr w:rsidR="00F91337" w:rsidRPr="00F91337" w:rsidTr="000D5FF3">
        <w:trPr>
          <w:trHeight w:val="70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Spolupráce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zapojení zúčastněných stran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Provozovatelé majitelé lodí, firmy zabývající se 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Překážky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rizika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V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souvislosti s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coronavirou</w:t>
            </w:r>
            <w:proofErr w:type="spellEnd"/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krizí pokles příjmů provozovatelů lodí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nejistota turistické návštěvnosti Prahy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Cílové skupiny populace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ekonomické subjekty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Provozovatelé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majitelé lodí, firmy zabývající se elektrifikací vozidel, lodí 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Souhrnné náklady realizace financované z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RRF za celé období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300 </w:t>
            </w:r>
            <w:r w:rsidR="00287483">
              <w:rPr>
                <w:rFonts w:ascii="Calibri" w:hAnsi="Calibri" w:cs="Calibri"/>
                <w:color w:val="auto"/>
                <w:lang w:eastAsia="cs-CZ"/>
              </w:rPr>
              <w:t>mil. Kč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Dodržování pravidel státní podpory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</w:p>
        </w:tc>
      </w:tr>
      <w:tr w:rsidR="00F91337" w:rsidRPr="00F91337" w:rsidTr="000D5FF3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Uveďte dobu implementace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Plánovaná doba realizace (v měsících). Kdy se očekává dokončení (čtvrtletí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rok). </w:t>
            </w:r>
          </w:p>
        </w:tc>
      </w:tr>
    </w:tbl>
    <w:p w:rsidR="00741E3B" w:rsidRPr="00F91337" w:rsidRDefault="00741E3B" w:rsidP="00F91337"/>
    <w:p w:rsidR="00F91337" w:rsidRPr="00F91337" w:rsidRDefault="00F91337" w:rsidP="00F91337">
      <w:r w:rsidRPr="00F91337">
        <w:t xml:space="preserve">3.1. Investiční podpora výroby </w:t>
      </w:r>
      <w:r w:rsidR="0013655A">
        <w:t xml:space="preserve">a využití </w:t>
      </w:r>
      <w:proofErr w:type="spellStart"/>
      <w:r w:rsidRPr="00F91337">
        <w:t>bioCNG</w:t>
      </w:r>
      <w:proofErr w:type="spellEnd"/>
      <w:r w:rsidRPr="00F91337">
        <w:t xml:space="preserve">   </w:t>
      </w:r>
      <w:r w:rsidR="00741E3B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214"/>
      </w:tblGrid>
      <w:tr w:rsidR="00F91337" w:rsidRPr="00F91337" w:rsidTr="000D5FF3"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Výzva</w:t>
            </w:r>
          </w:p>
        </w:tc>
        <w:tc>
          <w:tcPr>
            <w:tcW w:w="7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Investiční podpora výroby </w:t>
            </w:r>
            <w:r w:rsidR="0013655A">
              <w:rPr>
                <w:rFonts w:ascii="Calibri" w:hAnsi="Calibri" w:cs="Calibri"/>
                <w:color w:val="auto"/>
                <w:lang w:eastAsia="cs-CZ"/>
              </w:rPr>
              <w:t>a</w:t>
            </w:r>
            <w:r w:rsidR="0013655A">
              <w:rPr>
                <w:rFonts w:ascii="Calibri" w:hAnsi="Calibri" w:cs="Calibri"/>
                <w:lang w:eastAsia="cs-CZ"/>
              </w:rPr>
              <w:t xml:space="preserve"> využití 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bioCNG</w:t>
            </w:r>
            <w:proofErr w:type="spellEnd"/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Podpořit úpravu případně výstavbu/přestavbu minimálně 10 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biometanových</w:t>
            </w:r>
            <w:proofErr w:type="spellEnd"/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stanic, které budou vyrábět biopaliva 2. generace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Implementace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C1EAD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Majitel</w:t>
            </w:r>
            <w:r>
              <w:rPr>
                <w:rFonts w:ascii="Calibri" w:hAnsi="Calibri" w:cs="Calibri"/>
                <w:color w:val="auto"/>
                <w:lang w:eastAsia="cs-CZ"/>
              </w:rPr>
              <w:t>é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 xml:space="preserve">klasických bioplynových stanic </w:t>
            </w:r>
          </w:p>
        </w:tc>
      </w:tr>
      <w:tr w:rsidR="00F91337" w:rsidRPr="00F91337" w:rsidTr="000D5FF3">
        <w:trPr>
          <w:trHeight w:val="7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Spolupráce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zapojení zúčastněných stran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C1EAD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Majitel</w:t>
            </w:r>
            <w:r>
              <w:rPr>
                <w:rFonts w:ascii="Calibri" w:hAnsi="Calibri" w:cs="Calibri"/>
                <w:color w:val="auto"/>
                <w:lang w:eastAsia="cs-CZ"/>
              </w:rPr>
              <w:t>é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  <w:r w:rsidR="00F91337" w:rsidRPr="00F91337">
              <w:rPr>
                <w:rFonts w:ascii="Calibri" w:hAnsi="Calibri" w:cs="Calibri"/>
                <w:color w:val="auto"/>
                <w:lang w:eastAsia="cs-CZ"/>
              </w:rPr>
              <w:t>klasických bioplynových stanic, výrobci zařízení upravující bioplyn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Překážky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rizika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Zdlouhavý povolovací proces, nutnost dohody s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majiteli pozemků, zajištění zdrojů pro bioplynové stanice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Cílové skupiny populace a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ekonomické subjekty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Majitelé bioplynových stanic, svozové firmy odpadu,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lastRenderedPageBreak/>
              <w:t>Souhrnné náklady realizace financované z</w:t>
            </w:r>
            <w:r w:rsidR="00741E3B">
              <w:rPr>
                <w:rFonts w:ascii="Calibri" w:hAnsi="Calibri" w:cs="Calibri"/>
                <w:color w:val="auto"/>
                <w:lang w:eastAsia="cs-CZ"/>
              </w:rPr>
              <w:t> 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RRF za celé období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100 mil. </w:t>
            </w:r>
            <w:proofErr w:type="spellStart"/>
            <w:r w:rsidRPr="00F91337">
              <w:rPr>
                <w:rFonts w:ascii="Calibri" w:hAnsi="Calibri" w:cs="Calibri"/>
                <w:color w:val="auto"/>
                <w:lang w:eastAsia="cs-CZ"/>
              </w:rPr>
              <w:t>kč</w:t>
            </w:r>
            <w:proofErr w:type="spellEnd"/>
            <w:r w:rsidRPr="00F91337">
              <w:rPr>
                <w:rFonts w:ascii="Calibri" w:hAnsi="Calibri" w:cs="Calibri"/>
                <w:color w:val="auto"/>
                <w:lang w:eastAsia="cs-CZ"/>
              </w:rPr>
              <w:t xml:space="preserve"> </w:t>
            </w: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Dodržování pravidel státní podpory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</w:p>
        </w:tc>
      </w:tr>
      <w:tr w:rsidR="00F91337" w:rsidRPr="00F91337" w:rsidTr="000D5FF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Uveďte dobu implementace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37" w:rsidRPr="00F91337" w:rsidRDefault="00F91337" w:rsidP="00F91337">
            <w:pPr>
              <w:spacing w:after="0" w:line="240" w:lineRule="auto"/>
              <w:rPr>
                <w:rFonts w:ascii="Calibri" w:hAnsi="Calibri" w:cs="Calibri"/>
                <w:color w:val="auto"/>
                <w:lang w:eastAsia="cs-CZ"/>
              </w:rPr>
            </w:pPr>
            <w:r w:rsidRPr="00F91337">
              <w:rPr>
                <w:rFonts w:ascii="Calibri" w:hAnsi="Calibri" w:cs="Calibri"/>
                <w:color w:val="auto"/>
                <w:lang w:eastAsia="cs-CZ"/>
              </w:rPr>
              <w:t>Plánovaná doba realizace (roky). Kdy se očekává dokončení (</w:t>
            </w:r>
            <w:r w:rsidR="007A5188">
              <w:rPr>
                <w:rFonts w:ascii="Calibri" w:hAnsi="Calibri" w:cs="Calibri"/>
                <w:color w:val="auto"/>
                <w:lang w:eastAsia="cs-CZ"/>
              </w:rPr>
              <w:t>2025</w:t>
            </w:r>
            <w:r w:rsidRPr="00F91337">
              <w:rPr>
                <w:rFonts w:ascii="Calibri" w:hAnsi="Calibri" w:cs="Calibri"/>
                <w:color w:val="auto"/>
                <w:lang w:eastAsia="cs-CZ"/>
              </w:rPr>
              <w:t>).</w:t>
            </w:r>
          </w:p>
        </w:tc>
      </w:tr>
    </w:tbl>
    <w:p w:rsidR="00F91337" w:rsidRPr="00F91337" w:rsidRDefault="00F91337" w:rsidP="00F91337"/>
    <w:p w:rsidR="00F1576D" w:rsidRPr="00E16981" w:rsidRDefault="002D2B80" w:rsidP="008E3468">
      <w:pPr>
        <w:pStyle w:val="K-Nadpis2"/>
        <w:numPr>
          <w:ilvl w:val="0"/>
          <w:numId w:val="46"/>
        </w:numPr>
        <w:spacing w:after="120"/>
        <w:rPr>
          <w:sz w:val="23"/>
          <w:szCs w:val="23"/>
        </w:rPr>
      </w:pPr>
      <w:r w:rsidRPr="00E16981">
        <w:rPr>
          <w:sz w:val="23"/>
          <w:szCs w:val="23"/>
        </w:rPr>
        <w:t>Zelené a</w:t>
      </w:r>
      <w:r w:rsidR="00741E3B">
        <w:rPr>
          <w:sz w:val="23"/>
          <w:szCs w:val="23"/>
        </w:rPr>
        <w:t> </w:t>
      </w:r>
      <w:r w:rsidRPr="00E16981">
        <w:rPr>
          <w:sz w:val="23"/>
          <w:szCs w:val="23"/>
        </w:rPr>
        <w:t>digitální rozměry k</w:t>
      </w:r>
      <w:r w:rsidR="002C20CF" w:rsidRPr="00E16981">
        <w:rPr>
          <w:sz w:val="23"/>
          <w:szCs w:val="23"/>
        </w:rPr>
        <w:t>omponent</w:t>
      </w:r>
      <w:r w:rsidRPr="00E16981">
        <w:rPr>
          <w:sz w:val="23"/>
          <w:szCs w:val="23"/>
        </w:rPr>
        <w:t>y</w:t>
      </w:r>
      <w:r w:rsidR="002C20CF" w:rsidRPr="00E16981">
        <w:rPr>
          <w:sz w:val="23"/>
          <w:szCs w:val="23"/>
        </w:rPr>
        <w:t xml:space="preserve"> </w:t>
      </w:r>
    </w:p>
    <w:p w:rsidR="003A12B0" w:rsidRPr="005B7FDF" w:rsidRDefault="003A12B0" w:rsidP="00872FA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7FDF">
        <w:rPr>
          <w:rFonts w:ascii="Times New Roman" w:hAnsi="Times New Roman" w:cs="Times New Roman"/>
          <w:sz w:val="23"/>
          <w:szCs w:val="23"/>
        </w:rPr>
        <w:t>Aktualizovaný Národní program snižování emisí ČR (dále jen „NPSE“) obsahuje projekci emisí znečisťujících látek z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jednotlivých sektorů (energetika, průmysl, doprava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zemědělství) do konce roku 2030. Emisní projekce je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NPSE provedena za účelem zjištěni plnění národních závazků ke snížení emisí stanovených pro roky 2020, 2025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2030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souladu se směrnicí Evropského parlamentu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Rady (EU) 2016/2284 ze dne 14. prosince 2016 o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snížení národních emisí některých látek znečišťujících ovzduší. Projekce emisí znečisťujících látek vychází ze spotřeby jednotlivých druhů paliv dle návrhu Vnitrostátního plánu ČR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oblasti energetiky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 xml:space="preserve">klimatu.  </w:t>
      </w:r>
    </w:p>
    <w:p w:rsidR="003A12B0" w:rsidRPr="005B7FDF" w:rsidRDefault="003A12B0" w:rsidP="00872FA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7FDF">
        <w:rPr>
          <w:rFonts w:ascii="Times New Roman" w:hAnsi="Times New Roman" w:cs="Times New Roman"/>
          <w:sz w:val="23"/>
          <w:szCs w:val="23"/>
        </w:rPr>
        <w:t>Z provedené emisní projekce vyplývá, že Česká republika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 xml:space="preserve">roce 2030 nesplní národní závazky ve snížení emisí pro </w:t>
      </w:r>
      <w:proofErr w:type="spellStart"/>
      <w:r w:rsidRPr="005B7FDF">
        <w:rPr>
          <w:rFonts w:ascii="Times New Roman" w:hAnsi="Times New Roman" w:cs="Times New Roman"/>
          <w:sz w:val="23"/>
          <w:szCs w:val="23"/>
        </w:rPr>
        <w:t>NOx</w:t>
      </w:r>
      <w:proofErr w:type="spellEnd"/>
      <w:r w:rsidRPr="005B7FDF">
        <w:rPr>
          <w:rFonts w:ascii="Times New Roman" w:hAnsi="Times New Roman" w:cs="Times New Roman"/>
          <w:sz w:val="23"/>
          <w:szCs w:val="23"/>
        </w:rPr>
        <w:t>, VOC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NH</w:t>
      </w:r>
      <w:r w:rsidRPr="005B7FDF">
        <w:rPr>
          <w:rFonts w:ascii="Times New Roman" w:hAnsi="Times New Roman" w:cs="Times New Roman"/>
          <w:sz w:val="23"/>
          <w:szCs w:val="23"/>
          <w:vertAlign w:val="subscript"/>
        </w:rPr>
        <w:t>3</w:t>
      </w:r>
      <w:r w:rsidRPr="005B7FDF">
        <w:rPr>
          <w:rFonts w:ascii="Times New Roman" w:hAnsi="Times New Roman" w:cs="Times New Roman"/>
          <w:sz w:val="23"/>
          <w:szCs w:val="23"/>
        </w:rPr>
        <w:t>. Z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tohoto důvodu stanoví NPSE dodatečná opatření, která zajistí, že národní závazky budou splněny.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sektoru dopravy požaduje NPSE snížit k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 xml:space="preserve">roku 2030 emise </w:t>
      </w:r>
      <w:proofErr w:type="spellStart"/>
      <w:r w:rsidRPr="005B7FDF">
        <w:rPr>
          <w:rFonts w:ascii="Times New Roman" w:hAnsi="Times New Roman" w:cs="Times New Roman"/>
          <w:sz w:val="23"/>
          <w:szCs w:val="23"/>
        </w:rPr>
        <w:t>NOx</w:t>
      </w:r>
      <w:proofErr w:type="spellEnd"/>
      <w:r w:rsidRPr="005B7FDF">
        <w:rPr>
          <w:rFonts w:ascii="Times New Roman" w:hAnsi="Times New Roman" w:cs="Times New Roman"/>
          <w:sz w:val="23"/>
          <w:szCs w:val="23"/>
        </w:rPr>
        <w:t xml:space="preserve"> o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dodatečných 5kt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porovnání se scénářem NPSE WM. Opatření, která mají zajistit splnění tohoto cíle, mají být dle schváleného usnesení vlády č. 917/2019 k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NPSE obsažena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Analýze zpoplatnění vozidel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České republice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 xml:space="preserve">v Aktualizaci Národního akčního plánu čisté mobility. </w:t>
      </w:r>
    </w:p>
    <w:p w:rsidR="003A12B0" w:rsidRDefault="003A12B0" w:rsidP="00872FA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7FDF">
        <w:rPr>
          <w:rFonts w:ascii="Times New Roman" w:hAnsi="Times New Roman" w:cs="Times New Roman"/>
          <w:sz w:val="23"/>
          <w:szCs w:val="23"/>
        </w:rPr>
        <w:t>Níže uvedená tabulka shrnuje přínos Aktualizace Národního akčního plánu čisté mobility</w:t>
      </w:r>
      <w:r w:rsidR="004B5C41">
        <w:rPr>
          <w:rFonts w:ascii="Times New Roman" w:hAnsi="Times New Roman" w:cs="Times New Roman"/>
          <w:sz w:val="23"/>
          <w:szCs w:val="23"/>
        </w:rPr>
        <w:t xml:space="preserve">, </w:t>
      </w:r>
      <w:r w:rsidRPr="005B7FDF">
        <w:rPr>
          <w:rFonts w:ascii="Times New Roman" w:hAnsi="Times New Roman" w:cs="Times New Roman"/>
          <w:sz w:val="23"/>
          <w:szCs w:val="23"/>
        </w:rPr>
        <w:t xml:space="preserve">ke splnění požadovaného snížení emisí </w:t>
      </w:r>
      <w:proofErr w:type="spellStart"/>
      <w:r w:rsidRPr="005B7FDF">
        <w:rPr>
          <w:rFonts w:ascii="Times New Roman" w:hAnsi="Times New Roman" w:cs="Times New Roman"/>
          <w:sz w:val="23"/>
          <w:szCs w:val="23"/>
        </w:rPr>
        <w:t>NO</w:t>
      </w:r>
      <w:r w:rsidRPr="005B7FDF">
        <w:rPr>
          <w:rFonts w:ascii="Times New Roman" w:hAnsi="Times New Roman" w:cs="Times New Roman"/>
          <w:sz w:val="23"/>
          <w:szCs w:val="23"/>
          <w:vertAlign w:val="subscript"/>
        </w:rPr>
        <w:t>x</w:t>
      </w:r>
      <w:proofErr w:type="spellEnd"/>
      <w:r w:rsidR="004B5C41">
        <w:rPr>
          <w:rFonts w:ascii="Times New Roman" w:hAnsi="Times New Roman" w:cs="Times New Roman"/>
          <w:sz w:val="23"/>
          <w:szCs w:val="23"/>
        </w:rPr>
        <w:t xml:space="preserve">, </w:t>
      </w:r>
      <w:bookmarkStart w:id="11" w:name="_Hlk58413069"/>
      <w:r w:rsidR="007E00C6">
        <w:rPr>
          <w:rFonts w:ascii="Times New Roman" w:hAnsi="Times New Roman" w:cs="Times New Roman"/>
          <w:sz w:val="23"/>
          <w:szCs w:val="23"/>
        </w:rPr>
        <w:t>ze kterého vychází komponenta čistá mobilita.</w:t>
      </w:r>
      <w:r w:rsidRPr="005B7FDF">
        <w:rPr>
          <w:rFonts w:ascii="Times New Roman" w:hAnsi="Times New Roman" w:cs="Times New Roman"/>
          <w:sz w:val="23"/>
          <w:szCs w:val="23"/>
        </w:rPr>
        <w:t xml:space="preserve"> </w:t>
      </w:r>
      <w:bookmarkEnd w:id="11"/>
    </w:p>
    <w:p w:rsidR="003A12B0" w:rsidRPr="005B7FDF" w:rsidRDefault="003A12B0" w:rsidP="00A1242E">
      <w:pPr>
        <w:pStyle w:val="Titulek"/>
        <w:spacing w:after="120"/>
        <w:rPr>
          <w:rFonts w:ascii="Times New Roman" w:hAnsi="Times New Roman"/>
          <w:b w:val="0"/>
          <w:sz w:val="23"/>
          <w:szCs w:val="23"/>
        </w:rPr>
      </w:pPr>
      <w:bookmarkStart w:id="12" w:name="_Toc34298576"/>
      <w:r w:rsidRPr="005B7FDF">
        <w:rPr>
          <w:rFonts w:ascii="Times New Roman" w:hAnsi="Times New Roman"/>
          <w:sz w:val="23"/>
          <w:szCs w:val="23"/>
        </w:rPr>
        <w:t>Tabulka</w:t>
      </w:r>
      <w:r w:rsidR="007E00C6">
        <w:rPr>
          <w:rFonts w:ascii="Times New Roman" w:hAnsi="Times New Roman"/>
          <w:sz w:val="23"/>
          <w:szCs w:val="23"/>
        </w:rPr>
        <w:t xml:space="preserve">: </w:t>
      </w:r>
      <w:r w:rsidRPr="005B7FDF">
        <w:rPr>
          <w:rFonts w:ascii="Times New Roman" w:hAnsi="Times New Roman"/>
          <w:sz w:val="23"/>
          <w:szCs w:val="23"/>
        </w:rPr>
        <w:t>Přínos NAP ČM k</w:t>
      </w:r>
      <w:r w:rsidR="00741E3B">
        <w:rPr>
          <w:rFonts w:ascii="Times New Roman" w:hAnsi="Times New Roman"/>
          <w:sz w:val="23"/>
          <w:szCs w:val="23"/>
        </w:rPr>
        <w:t> </w:t>
      </w:r>
      <w:r w:rsidRPr="005B7FDF">
        <w:rPr>
          <w:rFonts w:ascii="Times New Roman" w:hAnsi="Times New Roman"/>
          <w:sz w:val="23"/>
          <w:szCs w:val="23"/>
        </w:rPr>
        <w:t xml:space="preserve">dodatečnému snížení emisí </w:t>
      </w:r>
      <w:proofErr w:type="spellStart"/>
      <w:r w:rsidRPr="005B7FDF">
        <w:rPr>
          <w:rFonts w:ascii="Times New Roman" w:hAnsi="Times New Roman"/>
          <w:sz w:val="23"/>
          <w:szCs w:val="23"/>
        </w:rPr>
        <w:t>NO</w:t>
      </w:r>
      <w:r w:rsidRPr="005B7FDF">
        <w:rPr>
          <w:rFonts w:ascii="Times New Roman" w:hAnsi="Times New Roman"/>
          <w:sz w:val="23"/>
          <w:szCs w:val="23"/>
          <w:vertAlign w:val="subscript"/>
        </w:rPr>
        <w:t>x</w:t>
      </w:r>
      <w:proofErr w:type="spellEnd"/>
      <w:r w:rsidRPr="005B7FDF">
        <w:rPr>
          <w:rFonts w:ascii="Times New Roman" w:hAnsi="Times New Roman"/>
          <w:sz w:val="23"/>
          <w:szCs w:val="23"/>
        </w:rPr>
        <w:t xml:space="preserve"> požadovaného NPSE v</w:t>
      </w:r>
      <w:r w:rsidR="00741E3B">
        <w:rPr>
          <w:rFonts w:ascii="Times New Roman" w:hAnsi="Times New Roman"/>
          <w:sz w:val="23"/>
          <w:szCs w:val="23"/>
        </w:rPr>
        <w:t> </w:t>
      </w:r>
      <w:r w:rsidRPr="005B7FDF">
        <w:rPr>
          <w:rFonts w:ascii="Times New Roman" w:hAnsi="Times New Roman"/>
          <w:sz w:val="23"/>
          <w:szCs w:val="23"/>
        </w:rPr>
        <w:t>roce 2030</w:t>
      </w:r>
      <w:bookmarkEnd w:id="12"/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24"/>
        <w:gridCol w:w="1540"/>
        <w:gridCol w:w="1360"/>
        <w:gridCol w:w="1540"/>
        <w:gridCol w:w="1480"/>
      </w:tblGrid>
      <w:tr w:rsidR="003A12B0" w:rsidRPr="005B7FDF" w:rsidTr="000D5FF3">
        <w:trPr>
          <w:trHeight w:val="30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Druh vozidla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Počet vozidel dle scénáře NPSE WM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Počet vozidel dle NAP ČM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Úspora emisí </w:t>
            </w:r>
            <w:proofErr w:type="spellStart"/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NO</w:t>
            </w: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bscript"/>
              </w:rPr>
              <w:t>x</w:t>
            </w:r>
            <w:proofErr w:type="spellEnd"/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  <w:lang w:val="de-DE"/>
              </w:rPr>
              <w:t>[</w:t>
            </w: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t/</w:t>
            </w:r>
            <w:proofErr w:type="gramStart"/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rok]*</w:t>
            </w:r>
            <w:proofErr w:type="gramEnd"/>
          </w:p>
        </w:tc>
      </w:tr>
      <w:tr w:rsidR="003A12B0" w:rsidRPr="005B7FDF" w:rsidTr="000D5FF3">
        <w:trPr>
          <w:trHeight w:val="6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Minimální počet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Maximální počet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při min. počtu vozidel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při max. počtu vozidel</w:t>
            </w:r>
          </w:p>
        </w:tc>
      </w:tr>
      <w:tr w:rsidR="003A12B0" w:rsidRPr="005B7FDF" w:rsidTr="000D5FF3">
        <w:trPr>
          <w:trHeight w:val="3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OA BEV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60 169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</w:t>
            </w:r>
          </w:p>
        </w:tc>
      </w:tr>
      <w:tr w:rsidR="003A12B0" w:rsidRPr="005B7FDF" w:rsidTr="000D5FF3">
        <w:trPr>
          <w:trHeight w:val="3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OA H</w:t>
            </w: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b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</w:t>
            </w:r>
          </w:p>
        </w:tc>
      </w:tr>
      <w:tr w:rsidR="003A12B0" w:rsidRPr="005B7FDF" w:rsidTr="000D5FF3">
        <w:trPr>
          <w:trHeight w:val="3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BUS BEV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</w:tr>
      <w:tr w:rsidR="003A12B0" w:rsidRPr="005B7FDF" w:rsidTr="000D5FF3">
        <w:trPr>
          <w:trHeight w:val="3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BUS H</w:t>
            </w: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b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</w:tr>
      <w:tr w:rsidR="003A12B0" w:rsidRPr="005B7FDF" w:rsidTr="000D5FF3">
        <w:trPr>
          <w:trHeight w:val="3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BUS CNG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</w:tr>
      <w:tr w:rsidR="003A12B0" w:rsidRPr="005B7FDF" w:rsidTr="000D5FF3">
        <w:trPr>
          <w:trHeight w:val="3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sz w:val="23"/>
                <w:szCs w:val="23"/>
              </w:rPr>
              <w:t>NA LNG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sz w:val="23"/>
                <w:szCs w:val="23"/>
              </w:rPr>
              <w:t>6 634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sz w:val="23"/>
                <w:szCs w:val="23"/>
              </w:rPr>
              <w:t>3 500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sz w:val="23"/>
                <w:szCs w:val="23"/>
              </w:rPr>
              <w:t>6 900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sz w:val="23"/>
                <w:szCs w:val="23"/>
              </w:rPr>
              <w:t>-38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A12B0" w:rsidRPr="005B7FDF" w:rsidTr="000D5FF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Úspora celkem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B0" w:rsidRPr="005B7FDF" w:rsidRDefault="003A12B0" w:rsidP="00A1242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B7FD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626</w:t>
            </w:r>
          </w:p>
        </w:tc>
      </w:tr>
    </w:tbl>
    <w:p w:rsidR="005B7FDF" w:rsidRDefault="005B7FDF" w:rsidP="00A1242E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</w:p>
    <w:p w:rsidR="003A12B0" w:rsidRPr="005B7FDF" w:rsidRDefault="003A12B0" w:rsidP="00266D99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7FDF">
        <w:rPr>
          <w:rFonts w:ascii="Times New Roman" w:hAnsi="Times New Roman" w:cs="Times New Roman"/>
          <w:sz w:val="23"/>
          <w:szCs w:val="23"/>
        </w:rPr>
        <w:t>*Úspora emisí je vypočítána na základě emisní projekce NPSE, která zohledňuje předpokládanou strukturu vozového parku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roce 2030 (počet vozidel dle druhu používaného paliva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plnění emisních norem EURO), počet najetých kilometrů dle reálných projezdů vozidel z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CIS STK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emisní faktory dle modelu COPERT. Předpokládá se, že OA BEV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OA H</w:t>
      </w:r>
      <w:r w:rsidRPr="005B7FDF">
        <w:rPr>
          <w:rFonts w:ascii="Times New Roman" w:hAnsi="Times New Roman" w:cs="Times New Roman"/>
          <w:sz w:val="23"/>
          <w:szCs w:val="23"/>
          <w:vertAlign w:val="subscript"/>
        </w:rPr>
        <w:t>2</w:t>
      </w:r>
      <w:r w:rsidRPr="005B7FDF">
        <w:rPr>
          <w:rFonts w:ascii="Times New Roman" w:hAnsi="Times New Roman" w:cs="Times New Roman"/>
          <w:sz w:val="23"/>
          <w:szCs w:val="23"/>
        </w:rPr>
        <w:t xml:space="preserve"> nahradí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90 % případech vozidla EURO 6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v 10 % vozidla EURO 5, přičemž zastoupení naftových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benzínových vozidel bude stejné. Emise z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osobních aut na CNG nejsou vyčísleny, protože se předpokládá, že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 xml:space="preserve">případě emisí </w:t>
      </w:r>
      <w:proofErr w:type="spellStart"/>
      <w:r w:rsidRPr="005B7FDF">
        <w:rPr>
          <w:rFonts w:ascii="Times New Roman" w:hAnsi="Times New Roman" w:cs="Times New Roman"/>
          <w:sz w:val="23"/>
          <w:szCs w:val="23"/>
        </w:rPr>
        <w:t>NO</w:t>
      </w:r>
      <w:r w:rsidRPr="005B7FDF">
        <w:rPr>
          <w:rFonts w:ascii="Times New Roman" w:hAnsi="Times New Roman" w:cs="Times New Roman"/>
          <w:sz w:val="23"/>
          <w:szCs w:val="23"/>
          <w:vertAlign w:val="subscript"/>
        </w:rPr>
        <w:t>x</w:t>
      </w:r>
      <w:proofErr w:type="spellEnd"/>
      <w:r w:rsidRPr="005B7FDF">
        <w:rPr>
          <w:rFonts w:ascii="Times New Roman" w:hAnsi="Times New Roman" w:cs="Times New Roman"/>
          <w:sz w:val="23"/>
          <w:szCs w:val="23"/>
        </w:rPr>
        <w:t xml:space="preserve"> jsou emise </w:t>
      </w:r>
      <w:r w:rsidRPr="005B7FDF">
        <w:rPr>
          <w:rFonts w:ascii="Times New Roman" w:hAnsi="Times New Roman" w:cs="Times New Roman"/>
          <w:sz w:val="23"/>
          <w:szCs w:val="23"/>
        </w:rPr>
        <w:lastRenderedPageBreak/>
        <w:t>CNG vozidel obdobné s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klasickými vozidly. Záporná úspora emisí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 xml:space="preserve">případě nákladních vozidel na LNG je způsobena vyšším předpokládaných počtem provozovaných vozidel dle NPSE. </w:t>
      </w:r>
    </w:p>
    <w:p w:rsidR="003A12B0" w:rsidRDefault="003A12B0" w:rsidP="00266D99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7FDF">
        <w:rPr>
          <w:rFonts w:ascii="Times New Roman" w:hAnsi="Times New Roman" w:cs="Times New Roman"/>
          <w:sz w:val="23"/>
          <w:szCs w:val="23"/>
        </w:rPr>
        <w:t>Z uvedené tabulky vyplývá, že při naplnění minimálního počtu vozidel s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 xml:space="preserve">alternativním pohonem dle Aktualizace NAP ČM bude dosaženo úspory emisí </w:t>
      </w:r>
      <w:proofErr w:type="spellStart"/>
      <w:r w:rsidRPr="005B7FDF">
        <w:rPr>
          <w:rFonts w:ascii="Times New Roman" w:hAnsi="Times New Roman" w:cs="Times New Roman"/>
          <w:sz w:val="23"/>
          <w:szCs w:val="23"/>
        </w:rPr>
        <w:t>NO</w:t>
      </w:r>
      <w:r w:rsidRPr="005B7FDF">
        <w:rPr>
          <w:rFonts w:ascii="Times New Roman" w:hAnsi="Times New Roman" w:cs="Times New Roman"/>
          <w:sz w:val="23"/>
          <w:szCs w:val="23"/>
          <w:vertAlign w:val="subscript"/>
        </w:rPr>
        <w:t>x</w:t>
      </w:r>
      <w:proofErr w:type="spellEnd"/>
      <w:r w:rsidRPr="005B7FDF">
        <w:rPr>
          <w:rFonts w:ascii="Times New Roman" w:hAnsi="Times New Roman" w:cs="Times New Roman"/>
          <w:sz w:val="23"/>
          <w:szCs w:val="23"/>
        </w:rPr>
        <w:t xml:space="preserve"> pouze 224 tun ročně.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 xml:space="preserve">případě naplnění maximálního předpokládaného počtu vozidel bude dosaženo úspory emisí </w:t>
      </w:r>
      <w:proofErr w:type="spellStart"/>
      <w:r w:rsidRPr="005B7FDF">
        <w:rPr>
          <w:rFonts w:ascii="Times New Roman" w:hAnsi="Times New Roman" w:cs="Times New Roman"/>
          <w:sz w:val="23"/>
          <w:szCs w:val="23"/>
        </w:rPr>
        <w:t>NO</w:t>
      </w:r>
      <w:r w:rsidRPr="005B7FDF">
        <w:rPr>
          <w:rFonts w:ascii="Times New Roman" w:hAnsi="Times New Roman" w:cs="Times New Roman"/>
          <w:sz w:val="23"/>
          <w:szCs w:val="23"/>
          <w:vertAlign w:val="subscript"/>
        </w:rPr>
        <w:t>x</w:t>
      </w:r>
      <w:proofErr w:type="spellEnd"/>
      <w:r w:rsidRPr="005B7FDF">
        <w:rPr>
          <w:rFonts w:ascii="Times New Roman" w:hAnsi="Times New Roman" w:cs="Times New Roman"/>
          <w:sz w:val="23"/>
          <w:szCs w:val="23"/>
        </w:rPr>
        <w:t xml:space="preserve"> cca 0,6 </w:t>
      </w:r>
      <w:proofErr w:type="spellStart"/>
      <w:r w:rsidRPr="005B7FDF">
        <w:rPr>
          <w:rFonts w:ascii="Times New Roman" w:hAnsi="Times New Roman" w:cs="Times New Roman"/>
          <w:sz w:val="23"/>
          <w:szCs w:val="23"/>
        </w:rPr>
        <w:t>kt</w:t>
      </w:r>
      <w:proofErr w:type="spellEnd"/>
      <w:r w:rsidRPr="005B7FDF">
        <w:rPr>
          <w:rFonts w:ascii="Times New Roman" w:hAnsi="Times New Roman" w:cs="Times New Roman"/>
          <w:sz w:val="23"/>
          <w:szCs w:val="23"/>
        </w:rPr>
        <w:t xml:space="preserve">. Samotný NAP ČM tak nezajistí požadované snížení emisí </w:t>
      </w:r>
      <w:proofErr w:type="spellStart"/>
      <w:r w:rsidRPr="005B7FDF">
        <w:rPr>
          <w:rFonts w:ascii="Times New Roman" w:hAnsi="Times New Roman" w:cs="Times New Roman"/>
          <w:sz w:val="23"/>
          <w:szCs w:val="23"/>
        </w:rPr>
        <w:t>NOx</w:t>
      </w:r>
      <w:proofErr w:type="spellEnd"/>
      <w:r w:rsidRPr="005B7FDF">
        <w:rPr>
          <w:rFonts w:ascii="Times New Roman" w:hAnsi="Times New Roman" w:cs="Times New Roman"/>
          <w:sz w:val="23"/>
          <w:szCs w:val="23"/>
        </w:rPr>
        <w:t xml:space="preserve"> o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 xml:space="preserve">5 </w:t>
      </w:r>
      <w:proofErr w:type="spellStart"/>
      <w:r w:rsidRPr="005B7FDF">
        <w:rPr>
          <w:rFonts w:ascii="Times New Roman" w:hAnsi="Times New Roman" w:cs="Times New Roman"/>
          <w:sz w:val="23"/>
          <w:szCs w:val="23"/>
        </w:rPr>
        <w:t>kt</w:t>
      </w:r>
      <w:proofErr w:type="spellEnd"/>
      <w:r w:rsidRPr="005B7FDF">
        <w:rPr>
          <w:rFonts w:ascii="Times New Roman" w:hAnsi="Times New Roman" w:cs="Times New Roman"/>
          <w:sz w:val="23"/>
          <w:szCs w:val="23"/>
        </w:rPr>
        <w:t>. Vzhledem k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tomu, že ČR je tranzitní zemí, může ve skutečnosti hlavní cíl NAP CM, tj. zavedení infrastruktury pro alternativní paliva, snížit tyto emise ve větším měřítku, protože zahraniční dopravci se podílí více jak 50 % na přepravních výkonech u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nás. Vzhledem k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nastaveným sazbám mýtného, které přispívají k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navyšování počtu vozidel plnící nejnovější emisní normy EURO, lze očekávat výrazné zastoupení vozidel využívající LNG a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výhledově vodík zejména u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 xml:space="preserve">kamionové dopravy. To by mělo přispět ke snižování emisí </w:t>
      </w:r>
      <w:proofErr w:type="spellStart"/>
      <w:r w:rsidRPr="005B7FDF">
        <w:rPr>
          <w:rFonts w:ascii="Times New Roman" w:hAnsi="Times New Roman" w:cs="Times New Roman"/>
          <w:sz w:val="23"/>
          <w:szCs w:val="23"/>
        </w:rPr>
        <w:t>NOx</w:t>
      </w:r>
      <w:proofErr w:type="spellEnd"/>
      <w:r w:rsidRPr="005B7FDF">
        <w:rPr>
          <w:rFonts w:ascii="Times New Roman" w:hAnsi="Times New Roman" w:cs="Times New Roman"/>
          <w:sz w:val="23"/>
          <w:szCs w:val="23"/>
        </w:rPr>
        <w:t xml:space="preserve"> u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nás. Pro rok 2030 je odhadováno pro EU, že bude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provozu až 280 tis. kamionů využívajících LNG. U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vodíkových kamionů je odhad až 45 tis. těchto vozidel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provozu v</w:t>
      </w:r>
      <w:r w:rsidR="00741E3B">
        <w:rPr>
          <w:rFonts w:ascii="Times New Roman" w:hAnsi="Times New Roman" w:cs="Times New Roman"/>
          <w:sz w:val="23"/>
          <w:szCs w:val="23"/>
        </w:rPr>
        <w:t> </w:t>
      </w:r>
      <w:r w:rsidRPr="005B7FDF">
        <w:rPr>
          <w:rFonts w:ascii="Times New Roman" w:hAnsi="Times New Roman" w:cs="Times New Roman"/>
          <w:sz w:val="23"/>
          <w:szCs w:val="23"/>
        </w:rPr>
        <w:t>roce 2030.</w:t>
      </w:r>
    </w:p>
    <w:p w:rsidR="001F32B2" w:rsidRPr="00E43F0A" w:rsidRDefault="001F32B2" w:rsidP="00266D9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E43F0A">
        <w:rPr>
          <w:rFonts w:ascii="Times New Roman" w:hAnsi="Times New Roman" w:cs="Times New Roman"/>
          <w:iCs/>
          <w:sz w:val="23"/>
          <w:szCs w:val="23"/>
        </w:rPr>
        <w:t>Vládou ČR schválený Vnitrostátní plán ČR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oblasti energetiky a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klimatu (MPO ČR, listopad 2019) určuje pro oblast zvyšování energetické účinnosti závazný cíl snižovat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období let 2021 až 2030 konečnou spotřebu energie, a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to zaváděním nových úspor tempem 0,8 %/rok, tedy 8,4 PJ/rok (při</w:t>
      </w:r>
      <w:r w:rsidR="009F7E3A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předpokládané úrovni konečné spotřeby energie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ČR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roce 2020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úrovni 1 050 PJ/rok). To znamená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přepočtu pro obor dopravy (při předpokládané úrovni konečné spotřeby energie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dopravě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ČR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roce 2020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 xml:space="preserve">úrovni 305 PJ/rok – 85 </w:t>
      </w:r>
      <w:proofErr w:type="spellStart"/>
      <w:r w:rsidRPr="00E43F0A">
        <w:rPr>
          <w:rFonts w:ascii="Times New Roman" w:hAnsi="Times New Roman" w:cs="Times New Roman"/>
          <w:iCs/>
          <w:sz w:val="23"/>
          <w:szCs w:val="23"/>
        </w:rPr>
        <w:t>TWh</w:t>
      </w:r>
      <w:proofErr w:type="spellEnd"/>
      <w:r w:rsidRPr="00E43F0A">
        <w:rPr>
          <w:rFonts w:ascii="Times New Roman" w:hAnsi="Times New Roman" w:cs="Times New Roman"/>
          <w:iCs/>
          <w:sz w:val="23"/>
          <w:szCs w:val="23"/>
        </w:rPr>
        <w:t>/rok) zvyšovat úspory energie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dopravě tempem 2,44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 xml:space="preserve">PJ/rok (0,68 </w:t>
      </w:r>
      <w:proofErr w:type="spellStart"/>
      <w:r w:rsidRPr="00E43F0A">
        <w:rPr>
          <w:rFonts w:ascii="Times New Roman" w:hAnsi="Times New Roman" w:cs="Times New Roman"/>
          <w:iCs/>
          <w:sz w:val="23"/>
          <w:szCs w:val="23"/>
        </w:rPr>
        <w:t>TWh</w:t>
      </w:r>
      <w:proofErr w:type="spellEnd"/>
      <w:r w:rsidRPr="00E43F0A">
        <w:rPr>
          <w:rFonts w:ascii="Times New Roman" w:hAnsi="Times New Roman" w:cs="Times New Roman"/>
          <w:iCs/>
          <w:sz w:val="23"/>
          <w:szCs w:val="23"/>
        </w:rPr>
        <w:t xml:space="preserve">/rok). </w:t>
      </w:r>
    </w:p>
    <w:p w:rsidR="001F32B2" w:rsidRPr="00E43F0A" w:rsidRDefault="001F32B2" w:rsidP="00266D9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E43F0A">
        <w:rPr>
          <w:rFonts w:ascii="Times New Roman" w:hAnsi="Times New Roman" w:cs="Times New Roman"/>
          <w:iCs/>
          <w:sz w:val="23"/>
          <w:szCs w:val="23"/>
        </w:rPr>
        <w:t>V oblasti snižování produkce oxidu uhličitého určuje Vnitrostátní plán ČR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oblasti energetiky a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klimatu cíl snížit mezi roky 2020 a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2030 emise CO</w:t>
      </w:r>
      <w:r w:rsidRPr="00E43F0A">
        <w:rPr>
          <w:rFonts w:ascii="Times New Roman" w:hAnsi="Times New Roman" w:cs="Times New Roman"/>
          <w:iCs/>
          <w:sz w:val="23"/>
          <w:szCs w:val="23"/>
          <w:vertAlign w:val="subscript"/>
        </w:rPr>
        <w:t>2</w:t>
      </w:r>
      <w:r w:rsidRPr="00E43F0A">
        <w:rPr>
          <w:rFonts w:ascii="Times New Roman" w:hAnsi="Times New Roman" w:cs="Times New Roman"/>
          <w:iCs/>
          <w:sz w:val="23"/>
          <w:szCs w:val="23"/>
        </w:rPr>
        <w:t xml:space="preserve"> produkované spalováním fosilních paliv ze 116 </w:t>
      </w:r>
      <w:proofErr w:type="spellStart"/>
      <w:r w:rsidRPr="00E43F0A">
        <w:rPr>
          <w:rFonts w:ascii="Times New Roman" w:hAnsi="Times New Roman" w:cs="Times New Roman"/>
          <w:iCs/>
          <w:sz w:val="23"/>
          <w:szCs w:val="23"/>
        </w:rPr>
        <w:t>Mt</w:t>
      </w:r>
      <w:proofErr w:type="spellEnd"/>
      <w:r w:rsidRPr="00E43F0A">
        <w:rPr>
          <w:rFonts w:ascii="Times New Roman" w:hAnsi="Times New Roman" w:cs="Times New Roman"/>
          <w:iCs/>
          <w:sz w:val="23"/>
          <w:szCs w:val="23"/>
        </w:rPr>
        <w:t xml:space="preserve">/rok na 104 </w:t>
      </w:r>
      <w:proofErr w:type="spellStart"/>
      <w:r w:rsidRPr="00E43F0A">
        <w:rPr>
          <w:rFonts w:ascii="Times New Roman" w:hAnsi="Times New Roman" w:cs="Times New Roman"/>
          <w:iCs/>
          <w:sz w:val="23"/>
          <w:szCs w:val="23"/>
        </w:rPr>
        <w:t>Mt</w:t>
      </w:r>
      <w:proofErr w:type="spellEnd"/>
      <w:r w:rsidRPr="00E43F0A">
        <w:rPr>
          <w:rFonts w:ascii="Times New Roman" w:hAnsi="Times New Roman" w:cs="Times New Roman"/>
          <w:iCs/>
          <w:sz w:val="23"/>
          <w:szCs w:val="23"/>
        </w:rPr>
        <w:t>/rok, tedy zhruba o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10 %. To znamená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přepočtu pro obor dopravy (při předpokládané úrovni produkce oxidu uhličitého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dopravě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ČR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roce 2020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 xml:space="preserve">úrovni 21,3 </w:t>
      </w:r>
      <w:proofErr w:type="spellStart"/>
      <w:r w:rsidRPr="00E43F0A">
        <w:rPr>
          <w:rFonts w:ascii="Times New Roman" w:hAnsi="Times New Roman" w:cs="Times New Roman"/>
          <w:iCs/>
          <w:sz w:val="23"/>
          <w:szCs w:val="23"/>
        </w:rPr>
        <w:t>Mt</w:t>
      </w:r>
      <w:proofErr w:type="spellEnd"/>
      <w:r w:rsidRPr="00E43F0A">
        <w:rPr>
          <w:rFonts w:ascii="Times New Roman" w:hAnsi="Times New Roman" w:cs="Times New Roman"/>
          <w:iCs/>
          <w:sz w:val="23"/>
          <w:szCs w:val="23"/>
        </w:rPr>
        <w:t>/rok) zvyšovat úspory emisí oxidu uhličitého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 xml:space="preserve">dopravě tempem 0,2 </w:t>
      </w:r>
      <w:proofErr w:type="spellStart"/>
      <w:r w:rsidRPr="00E43F0A">
        <w:rPr>
          <w:rFonts w:ascii="Times New Roman" w:hAnsi="Times New Roman" w:cs="Times New Roman"/>
          <w:iCs/>
          <w:sz w:val="23"/>
          <w:szCs w:val="23"/>
        </w:rPr>
        <w:t>Mt</w:t>
      </w:r>
      <w:proofErr w:type="spellEnd"/>
      <w:r w:rsidRPr="00E43F0A">
        <w:rPr>
          <w:rFonts w:ascii="Times New Roman" w:hAnsi="Times New Roman" w:cs="Times New Roman"/>
          <w:iCs/>
          <w:sz w:val="23"/>
          <w:szCs w:val="23"/>
        </w:rPr>
        <w:t>/rok.</w:t>
      </w:r>
    </w:p>
    <w:p w:rsidR="001F32B2" w:rsidRPr="00E43F0A" w:rsidRDefault="001F32B2" w:rsidP="00266D9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E43F0A">
        <w:rPr>
          <w:rFonts w:ascii="Times New Roman" w:hAnsi="Times New Roman" w:cs="Times New Roman"/>
          <w:iCs/>
          <w:sz w:val="23"/>
          <w:szCs w:val="23"/>
        </w:rPr>
        <w:t xml:space="preserve">V tabulce výše uvedená </w:t>
      </w:r>
      <w:proofErr w:type="spellStart"/>
      <w:r w:rsidRPr="00E43F0A">
        <w:rPr>
          <w:rFonts w:ascii="Times New Roman" w:hAnsi="Times New Roman" w:cs="Times New Roman"/>
          <w:iCs/>
          <w:sz w:val="23"/>
          <w:szCs w:val="23"/>
        </w:rPr>
        <w:t>intramodální</w:t>
      </w:r>
      <w:proofErr w:type="spellEnd"/>
      <w:r w:rsidRPr="00E43F0A">
        <w:rPr>
          <w:rFonts w:ascii="Times New Roman" w:hAnsi="Times New Roman" w:cs="Times New Roman"/>
          <w:iCs/>
          <w:sz w:val="23"/>
          <w:szCs w:val="23"/>
        </w:rPr>
        <w:t xml:space="preserve"> úsporná opatření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silniční dopravě přinesou (v uváděném rozpětí počtu vozidel):</w:t>
      </w:r>
    </w:p>
    <w:p w:rsidR="001F32B2" w:rsidRPr="00E43F0A" w:rsidRDefault="001F32B2" w:rsidP="00266D99">
      <w:pPr>
        <w:pStyle w:val="Odstavecseseznamem"/>
        <w:numPr>
          <w:ilvl w:val="0"/>
          <w:numId w:val="34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E43F0A">
        <w:rPr>
          <w:rFonts w:ascii="Times New Roman" w:hAnsi="Times New Roman" w:cs="Times New Roman"/>
          <w:iCs/>
          <w:sz w:val="23"/>
          <w:szCs w:val="23"/>
        </w:rPr>
        <w:t>úspory konečné spotřeby energie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 xml:space="preserve">dopravě tempem 0,24 PJ/rok (0,07 </w:t>
      </w:r>
      <w:proofErr w:type="spellStart"/>
      <w:r w:rsidRPr="00E43F0A">
        <w:rPr>
          <w:rFonts w:ascii="Times New Roman" w:hAnsi="Times New Roman" w:cs="Times New Roman"/>
          <w:iCs/>
          <w:sz w:val="23"/>
          <w:szCs w:val="23"/>
        </w:rPr>
        <w:t>TWh</w:t>
      </w:r>
      <w:proofErr w:type="spellEnd"/>
      <w:r w:rsidRPr="00E43F0A">
        <w:rPr>
          <w:rFonts w:ascii="Times New Roman" w:hAnsi="Times New Roman" w:cs="Times New Roman"/>
          <w:iCs/>
          <w:sz w:val="23"/>
          <w:szCs w:val="23"/>
        </w:rPr>
        <w:t xml:space="preserve">/rok) až 0,50 PJ/rok (0,14 </w:t>
      </w:r>
      <w:proofErr w:type="spellStart"/>
      <w:r w:rsidRPr="00E43F0A">
        <w:rPr>
          <w:rFonts w:ascii="Times New Roman" w:hAnsi="Times New Roman" w:cs="Times New Roman"/>
          <w:iCs/>
          <w:sz w:val="23"/>
          <w:szCs w:val="23"/>
        </w:rPr>
        <w:t>TWh</w:t>
      </w:r>
      <w:proofErr w:type="spellEnd"/>
      <w:r w:rsidRPr="00E43F0A">
        <w:rPr>
          <w:rFonts w:ascii="Times New Roman" w:hAnsi="Times New Roman" w:cs="Times New Roman"/>
          <w:iCs/>
          <w:sz w:val="23"/>
          <w:szCs w:val="23"/>
        </w:rPr>
        <w:t>/rok),</w:t>
      </w:r>
    </w:p>
    <w:p w:rsidR="001F32B2" w:rsidRPr="00E43F0A" w:rsidRDefault="001F32B2" w:rsidP="00266D99">
      <w:pPr>
        <w:pStyle w:val="Odstavecseseznamem"/>
        <w:numPr>
          <w:ilvl w:val="0"/>
          <w:numId w:val="34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E43F0A">
        <w:rPr>
          <w:rFonts w:ascii="Times New Roman" w:hAnsi="Times New Roman" w:cs="Times New Roman"/>
          <w:iCs/>
          <w:sz w:val="23"/>
          <w:szCs w:val="23"/>
        </w:rPr>
        <w:t>úspory produkce oxidu uhličitého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 xml:space="preserve">dopravě tempem 0,02 </w:t>
      </w:r>
      <w:proofErr w:type="spellStart"/>
      <w:r w:rsidRPr="00E43F0A">
        <w:rPr>
          <w:rFonts w:ascii="Times New Roman" w:hAnsi="Times New Roman" w:cs="Times New Roman"/>
          <w:iCs/>
          <w:sz w:val="23"/>
          <w:szCs w:val="23"/>
        </w:rPr>
        <w:t>Mt</w:t>
      </w:r>
      <w:proofErr w:type="spellEnd"/>
      <w:r w:rsidRPr="00E43F0A">
        <w:rPr>
          <w:rFonts w:ascii="Times New Roman" w:hAnsi="Times New Roman" w:cs="Times New Roman"/>
          <w:iCs/>
          <w:sz w:val="23"/>
          <w:szCs w:val="23"/>
        </w:rPr>
        <w:t xml:space="preserve">/rok až 0,04 </w:t>
      </w:r>
      <w:proofErr w:type="spellStart"/>
      <w:r w:rsidRPr="00E43F0A">
        <w:rPr>
          <w:rFonts w:ascii="Times New Roman" w:hAnsi="Times New Roman" w:cs="Times New Roman"/>
          <w:iCs/>
          <w:sz w:val="23"/>
          <w:szCs w:val="23"/>
        </w:rPr>
        <w:t>Mt</w:t>
      </w:r>
      <w:proofErr w:type="spellEnd"/>
      <w:r w:rsidRPr="00E43F0A">
        <w:rPr>
          <w:rFonts w:ascii="Times New Roman" w:hAnsi="Times New Roman" w:cs="Times New Roman"/>
          <w:iCs/>
          <w:sz w:val="23"/>
          <w:szCs w:val="23"/>
        </w:rPr>
        <w:t xml:space="preserve">/rok. </w:t>
      </w:r>
    </w:p>
    <w:p w:rsidR="001F32B2" w:rsidRPr="00E43F0A" w:rsidRDefault="001F32B2" w:rsidP="00266D9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F32B2" w:rsidRPr="00E43F0A" w:rsidRDefault="001F32B2" w:rsidP="00266D9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E43F0A">
        <w:rPr>
          <w:rFonts w:ascii="Times New Roman" w:hAnsi="Times New Roman" w:cs="Times New Roman"/>
          <w:iCs/>
          <w:sz w:val="23"/>
          <w:szCs w:val="23"/>
        </w:rPr>
        <w:t>Cíle uvedené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tabulce Aktualizace Národního akčního plánu čisté mobility naplňují cíle uvedené ve Vnitrostátním plánu ČR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oblasti energetiky a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klimatu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rozsahu 10 až 20 %. A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to jak v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oblasti snižování spotřeby energie, tak i</w:t>
      </w:r>
      <w:r w:rsidR="00741E3B">
        <w:rPr>
          <w:rFonts w:ascii="Times New Roman" w:hAnsi="Times New Roman" w:cs="Times New Roman"/>
          <w:iCs/>
          <w:sz w:val="23"/>
          <w:szCs w:val="23"/>
        </w:rPr>
        <w:t> </w:t>
      </w:r>
      <w:r w:rsidRPr="00E43F0A">
        <w:rPr>
          <w:rFonts w:ascii="Times New Roman" w:hAnsi="Times New Roman" w:cs="Times New Roman"/>
          <w:iCs/>
          <w:sz w:val="23"/>
          <w:szCs w:val="23"/>
        </w:rPr>
        <w:t>v oblasti snižování emisí oxidu uhličitého.</w:t>
      </w:r>
    </w:p>
    <w:p w:rsidR="00F1576D" w:rsidRDefault="009408DB" w:rsidP="00266D99">
      <w:pPr>
        <w:pStyle w:val="00Body"/>
        <w:spacing w:after="120" w:line="240" w:lineRule="auto"/>
        <w:jc w:val="both"/>
        <w:rPr>
          <w:sz w:val="23"/>
          <w:szCs w:val="23"/>
        </w:rPr>
      </w:pPr>
      <w:r w:rsidRPr="009408DB">
        <w:rPr>
          <w:rFonts w:ascii="Times New Roman" w:hAnsi="Times New Roman"/>
          <w:color w:val="000000" w:themeColor="text1"/>
          <w:sz w:val="23"/>
          <w:szCs w:val="23"/>
          <w:lang w:val="cs-CZ"/>
        </w:rPr>
        <w:t>Touto komponentou napomůžeme k</w:t>
      </w:r>
      <w:r w:rsidR="00741E3B">
        <w:rPr>
          <w:rFonts w:ascii="Times New Roman" w:hAnsi="Times New Roman"/>
          <w:color w:val="000000" w:themeColor="text1"/>
          <w:sz w:val="23"/>
          <w:szCs w:val="23"/>
          <w:lang w:val="cs-CZ"/>
        </w:rPr>
        <w:t> </w:t>
      </w:r>
      <w:r w:rsidRPr="009408DB">
        <w:rPr>
          <w:rFonts w:ascii="Times New Roman" w:hAnsi="Times New Roman"/>
          <w:color w:val="000000" w:themeColor="text1"/>
          <w:sz w:val="23"/>
          <w:szCs w:val="23"/>
          <w:lang w:val="cs-CZ"/>
        </w:rPr>
        <w:t>dekarbonizaci dopravy a</w:t>
      </w:r>
      <w:r w:rsidR="00741E3B">
        <w:rPr>
          <w:rFonts w:ascii="Times New Roman" w:hAnsi="Times New Roman"/>
          <w:color w:val="000000" w:themeColor="text1"/>
          <w:sz w:val="23"/>
          <w:szCs w:val="23"/>
          <w:lang w:val="cs-CZ"/>
        </w:rPr>
        <w:t> </w:t>
      </w:r>
      <w:r w:rsidRPr="009408DB">
        <w:rPr>
          <w:rFonts w:ascii="Times New Roman" w:hAnsi="Times New Roman"/>
          <w:color w:val="000000" w:themeColor="text1"/>
          <w:sz w:val="23"/>
          <w:szCs w:val="23"/>
          <w:lang w:val="cs-CZ"/>
        </w:rPr>
        <w:t>transformaci automobilového průmyslu směrem k</w:t>
      </w:r>
      <w:r w:rsidR="00741E3B">
        <w:rPr>
          <w:rFonts w:ascii="Times New Roman" w:hAnsi="Times New Roman"/>
          <w:color w:val="000000" w:themeColor="text1"/>
          <w:sz w:val="23"/>
          <w:szCs w:val="23"/>
          <w:lang w:val="cs-CZ"/>
        </w:rPr>
        <w:t> </w:t>
      </w:r>
      <w:r w:rsidRPr="009408DB">
        <w:rPr>
          <w:rFonts w:ascii="Times New Roman" w:hAnsi="Times New Roman"/>
          <w:color w:val="000000" w:themeColor="text1"/>
          <w:sz w:val="23"/>
          <w:szCs w:val="23"/>
          <w:lang w:val="cs-CZ"/>
        </w:rPr>
        <w:t>zelené ekonomice. Zároveň přispějeme k</w:t>
      </w:r>
      <w:r w:rsidR="00741E3B">
        <w:rPr>
          <w:rFonts w:ascii="Times New Roman" w:hAnsi="Times New Roman"/>
          <w:color w:val="000000" w:themeColor="text1"/>
          <w:sz w:val="23"/>
          <w:szCs w:val="23"/>
          <w:lang w:val="cs-CZ"/>
        </w:rPr>
        <w:t> </w:t>
      </w:r>
      <w:r w:rsidRPr="009408DB">
        <w:rPr>
          <w:rFonts w:ascii="Times New Roman" w:hAnsi="Times New Roman"/>
          <w:color w:val="000000" w:themeColor="text1"/>
          <w:sz w:val="23"/>
          <w:szCs w:val="23"/>
          <w:lang w:val="cs-CZ"/>
        </w:rPr>
        <w:t>plnění závazku ČR vyplývajícího ze Směrnice EP a</w:t>
      </w:r>
      <w:r w:rsidR="00741E3B">
        <w:rPr>
          <w:rFonts w:ascii="Times New Roman" w:hAnsi="Times New Roman"/>
          <w:color w:val="000000" w:themeColor="text1"/>
          <w:sz w:val="23"/>
          <w:szCs w:val="23"/>
          <w:lang w:val="cs-CZ"/>
        </w:rPr>
        <w:t> </w:t>
      </w:r>
      <w:r w:rsidRPr="009408DB">
        <w:rPr>
          <w:rFonts w:ascii="Times New Roman" w:hAnsi="Times New Roman"/>
          <w:color w:val="000000" w:themeColor="text1"/>
          <w:sz w:val="23"/>
          <w:szCs w:val="23"/>
          <w:lang w:val="cs-CZ"/>
        </w:rPr>
        <w:t>Rady 2018/2001, čl. 25, která zavádí pro každý členský stát povinný cíl do roku 2030 dosažení 14% podílu energie v</w:t>
      </w:r>
      <w:r w:rsidR="00741E3B">
        <w:rPr>
          <w:rFonts w:ascii="Times New Roman" w:hAnsi="Times New Roman"/>
          <w:color w:val="000000" w:themeColor="text1"/>
          <w:sz w:val="23"/>
          <w:szCs w:val="23"/>
          <w:lang w:val="cs-CZ"/>
        </w:rPr>
        <w:t> </w:t>
      </w:r>
      <w:r w:rsidRPr="009408DB">
        <w:rPr>
          <w:rFonts w:ascii="Times New Roman" w:hAnsi="Times New Roman"/>
          <w:color w:val="000000" w:themeColor="text1"/>
          <w:sz w:val="23"/>
          <w:szCs w:val="23"/>
          <w:lang w:val="cs-CZ"/>
        </w:rPr>
        <w:t>dopravě z</w:t>
      </w:r>
      <w:r w:rsidR="00741E3B">
        <w:rPr>
          <w:rFonts w:ascii="Times New Roman" w:hAnsi="Times New Roman"/>
          <w:color w:val="000000" w:themeColor="text1"/>
          <w:sz w:val="23"/>
          <w:szCs w:val="23"/>
          <w:lang w:val="cs-CZ"/>
        </w:rPr>
        <w:t> </w:t>
      </w:r>
      <w:r w:rsidRPr="009408DB">
        <w:rPr>
          <w:rFonts w:ascii="Times New Roman" w:hAnsi="Times New Roman"/>
          <w:color w:val="000000" w:themeColor="text1"/>
          <w:sz w:val="23"/>
          <w:szCs w:val="23"/>
          <w:lang w:val="cs-CZ"/>
        </w:rPr>
        <w:t>obnovitelných zdrojů a</w:t>
      </w:r>
      <w:r w:rsidR="00741E3B">
        <w:rPr>
          <w:rFonts w:ascii="Times New Roman" w:hAnsi="Times New Roman"/>
          <w:color w:val="000000" w:themeColor="text1"/>
          <w:sz w:val="23"/>
          <w:szCs w:val="23"/>
          <w:lang w:val="cs-CZ"/>
        </w:rPr>
        <w:t> </w:t>
      </w:r>
      <w:r w:rsidRPr="009408DB">
        <w:rPr>
          <w:rFonts w:ascii="Times New Roman" w:hAnsi="Times New Roman"/>
          <w:color w:val="000000" w:themeColor="text1"/>
          <w:sz w:val="23"/>
          <w:szCs w:val="23"/>
          <w:lang w:val="cs-CZ"/>
        </w:rPr>
        <w:t>plnění Směrnice Evropského parlamentu a</w:t>
      </w:r>
      <w:r w:rsidR="00741E3B">
        <w:rPr>
          <w:rFonts w:ascii="Times New Roman" w:hAnsi="Times New Roman"/>
          <w:color w:val="000000" w:themeColor="text1"/>
          <w:sz w:val="23"/>
          <w:szCs w:val="23"/>
          <w:lang w:val="cs-CZ"/>
        </w:rPr>
        <w:t> </w:t>
      </w:r>
      <w:r w:rsidRPr="009408DB">
        <w:rPr>
          <w:rFonts w:ascii="Times New Roman" w:hAnsi="Times New Roman"/>
          <w:color w:val="000000" w:themeColor="text1"/>
          <w:sz w:val="23"/>
          <w:szCs w:val="23"/>
          <w:lang w:val="cs-CZ"/>
        </w:rPr>
        <w:t>Rady 2014/94/EU o</w:t>
      </w:r>
      <w:r w:rsidR="00741E3B">
        <w:rPr>
          <w:rFonts w:ascii="Times New Roman" w:hAnsi="Times New Roman"/>
          <w:color w:val="000000" w:themeColor="text1"/>
          <w:sz w:val="23"/>
          <w:szCs w:val="23"/>
          <w:lang w:val="cs-CZ"/>
        </w:rPr>
        <w:t> </w:t>
      </w:r>
      <w:r w:rsidRPr="009408DB">
        <w:rPr>
          <w:rFonts w:ascii="Times New Roman" w:hAnsi="Times New Roman"/>
          <w:color w:val="000000" w:themeColor="text1"/>
          <w:sz w:val="23"/>
          <w:szCs w:val="23"/>
          <w:lang w:val="cs-CZ"/>
        </w:rPr>
        <w:t>zavádění infrastruktury pro alternativní paliva.</w:t>
      </w:r>
      <w:r w:rsidR="00F1576D" w:rsidRPr="00E16981">
        <w:rPr>
          <w:sz w:val="23"/>
          <w:szCs w:val="23"/>
        </w:rPr>
        <w:tab/>
      </w:r>
      <w:bookmarkStart w:id="13" w:name="_GoBack"/>
      <w:bookmarkEnd w:id="13"/>
    </w:p>
    <w:sectPr w:rsidR="00F1576D" w:rsidSect="00CC5E4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365" w:rsidRDefault="00377365" w:rsidP="00677FE0">
      <w:pPr>
        <w:spacing w:after="0" w:line="240" w:lineRule="auto"/>
      </w:pPr>
      <w:r>
        <w:separator/>
      </w:r>
    </w:p>
  </w:endnote>
  <w:endnote w:type="continuationSeparator" w:id="0">
    <w:p w:rsidR="00377365" w:rsidRDefault="00377365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162479"/>
      <w:docPartObj>
        <w:docPartGallery w:val="Page Numbers (Bottom of Page)"/>
        <w:docPartUnique/>
      </w:docPartObj>
    </w:sdtPr>
    <w:sdtEndPr/>
    <w:sdtContent>
      <w:p w:rsidR="00377365" w:rsidRDefault="003773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77365" w:rsidRDefault="00377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365" w:rsidRDefault="00377365" w:rsidP="00677FE0">
      <w:pPr>
        <w:spacing w:after="0" w:line="240" w:lineRule="auto"/>
      </w:pPr>
      <w:r>
        <w:separator/>
      </w:r>
    </w:p>
  </w:footnote>
  <w:footnote w:type="continuationSeparator" w:id="0">
    <w:p w:rsidR="00377365" w:rsidRDefault="00377365" w:rsidP="00677FE0">
      <w:pPr>
        <w:spacing w:after="0" w:line="240" w:lineRule="auto"/>
      </w:pPr>
      <w:r>
        <w:continuationSeparator/>
      </w:r>
    </w:p>
  </w:footnote>
  <w:footnote w:id="1">
    <w:p w:rsidR="00377365" w:rsidRPr="00A87B13" w:rsidRDefault="00377365">
      <w:pPr>
        <w:pStyle w:val="Textpoznpodarou"/>
        <w:rPr>
          <w:rStyle w:val="K-TextPoznChar"/>
        </w:rPr>
      </w:pPr>
      <w:r w:rsidRPr="00A87B13">
        <w:rPr>
          <w:rStyle w:val="Znakapoznpodarou"/>
          <w:rFonts w:ascii="Times New Roman" w:hAnsi="Times New Roman" w:cs="Times New Roman"/>
        </w:rPr>
        <w:footnoteRef/>
      </w:r>
      <w:r w:rsidRPr="00A87B13">
        <w:rPr>
          <w:rFonts w:ascii="Times New Roman" w:hAnsi="Times New Roman" w:cs="Times New Roman"/>
        </w:rPr>
        <w:t xml:space="preserve"> </w:t>
      </w:r>
      <w:r w:rsidRPr="00A87B13">
        <w:rPr>
          <w:rStyle w:val="K-TextPoznChar"/>
        </w:rPr>
        <w:t>Včetně klasifikace COFOG (výdaje vládního sektoru podle funkce).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A1B"/>
    <w:multiLevelType w:val="hybridMultilevel"/>
    <w:tmpl w:val="B4969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3632"/>
    <w:multiLevelType w:val="hybridMultilevel"/>
    <w:tmpl w:val="E7A2B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E6E07"/>
    <w:multiLevelType w:val="hybridMultilevel"/>
    <w:tmpl w:val="AE741B22"/>
    <w:lvl w:ilvl="0" w:tplc="50EE2E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4" w15:restartNumberingAfterBreak="0">
    <w:nsid w:val="09DE39A0"/>
    <w:multiLevelType w:val="hybridMultilevel"/>
    <w:tmpl w:val="367230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C0D49"/>
    <w:multiLevelType w:val="hybridMultilevel"/>
    <w:tmpl w:val="AE7A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07213"/>
    <w:multiLevelType w:val="hybridMultilevel"/>
    <w:tmpl w:val="4EF0A5EE"/>
    <w:lvl w:ilvl="0" w:tplc="13AACB9A">
      <w:start w:val="1"/>
      <w:numFmt w:val="lowerLetter"/>
      <w:pStyle w:val="Odrkyabc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316F8"/>
    <w:multiLevelType w:val="multilevel"/>
    <w:tmpl w:val="3320A8B2"/>
    <w:numStyleLink w:val="VariantaB-odrky"/>
  </w:abstractNum>
  <w:abstractNum w:abstractNumId="8" w15:restartNumberingAfterBreak="0">
    <w:nsid w:val="13056355"/>
    <w:multiLevelType w:val="hybridMultilevel"/>
    <w:tmpl w:val="21484492"/>
    <w:lvl w:ilvl="0" w:tplc="DE32CC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0" w15:restartNumberingAfterBreak="0">
    <w:nsid w:val="191872DA"/>
    <w:multiLevelType w:val="multilevel"/>
    <w:tmpl w:val="E8A48D7C"/>
    <w:numStyleLink w:val="VariantaA-sla"/>
  </w:abstractNum>
  <w:abstractNum w:abstractNumId="11" w15:restartNumberingAfterBreak="0">
    <w:nsid w:val="19E35ABB"/>
    <w:multiLevelType w:val="hybridMultilevel"/>
    <w:tmpl w:val="F5B6F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C3563"/>
    <w:multiLevelType w:val="hybridMultilevel"/>
    <w:tmpl w:val="C0FE5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F5E1B"/>
    <w:multiLevelType w:val="hybridMultilevel"/>
    <w:tmpl w:val="E7C2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A4367"/>
    <w:multiLevelType w:val="hybridMultilevel"/>
    <w:tmpl w:val="42ECE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71527"/>
    <w:multiLevelType w:val="hybridMultilevel"/>
    <w:tmpl w:val="DCBED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5EA2"/>
    <w:multiLevelType w:val="multilevel"/>
    <w:tmpl w:val="E8BAE50A"/>
    <w:numStyleLink w:val="VariantaA-odrky"/>
  </w:abstractNum>
  <w:abstractNum w:abstractNumId="17" w15:restartNumberingAfterBreak="0">
    <w:nsid w:val="2EBC2FCA"/>
    <w:multiLevelType w:val="hybridMultilevel"/>
    <w:tmpl w:val="4120D2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14069"/>
    <w:multiLevelType w:val="hybridMultilevel"/>
    <w:tmpl w:val="698A4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B67B0"/>
    <w:multiLevelType w:val="hybridMultilevel"/>
    <w:tmpl w:val="4404A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744EA"/>
    <w:multiLevelType w:val="hybridMultilevel"/>
    <w:tmpl w:val="051EA1E4"/>
    <w:lvl w:ilvl="0" w:tplc="0405000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64" w:hanging="360"/>
      </w:pPr>
      <w:rPr>
        <w:rFonts w:ascii="Wingdings" w:hAnsi="Wingdings" w:hint="default"/>
      </w:rPr>
    </w:lvl>
  </w:abstractNum>
  <w:abstractNum w:abstractNumId="21" w15:restartNumberingAfterBreak="0">
    <w:nsid w:val="375317C6"/>
    <w:multiLevelType w:val="hybridMultilevel"/>
    <w:tmpl w:val="326EF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C4A24"/>
    <w:multiLevelType w:val="hybridMultilevel"/>
    <w:tmpl w:val="2AAC8510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D617B43"/>
    <w:multiLevelType w:val="hybridMultilevel"/>
    <w:tmpl w:val="072A5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D5676"/>
    <w:multiLevelType w:val="hybridMultilevel"/>
    <w:tmpl w:val="87624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F485E"/>
    <w:multiLevelType w:val="hybridMultilevel"/>
    <w:tmpl w:val="6AFA73E6"/>
    <w:lvl w:ilvl="0" w:tplc="50EE2E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F26F75"/>
    <w:multiLevelType w:val="hybridMultilevel"/>
    <w:tmpl w:val="B044AB16"/>
    <w:lvl w:ilvl="0" w:tplc="D6ACFD54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93037"/>
    <w:multiLevelType w:val="hybridMultilevel"/>
    <w:tmpl w:val="E8AE0F1A"/>
    <w:lvl w:ilvl="0" w:tplc="50EE2E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1536A"/>
    <w:multiLevelType w:val="hybridMultilevel"/>
    <w:tmpl w:val="9B9AF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001B2"/>
    <w:multiLevelType w:val="hybridMultilevel"/>
    <w:tmpl w:val="59385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26625"/>
    <w:multiLevelType w:val="hybridMultilevel"/>
    <w:tmpl w:val="C56C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F34E6"/>
    <w:multiLevelType w:val="hybridMultilevel"/>
    <w:tmpl w:val="C680A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8EC1F52"/>
    <w:multiLevelType w:val="hybridMultilevel"/>
    <w:tmpl w:val="8FE4B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BDA009B"/>
    <w:multiLevelType w:val="hybridMultilevel"/>
    <w:tmpl w:val="2640F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822A2"/>
    <w:multiLevelType w:val="hybridMultilevel"/>
    <w:tmpl w:val="9DA41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3642A"/>
    <w:multiLevelType w:val="hybridMultilevel"/>
    <w:tmpl w:val="B8366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048FE"/>
    <w:multiLevelType w:val="hybridMultilevel"/>
    <w:tmpl w:val="FB78B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21A06"/>
    <w:multiLevelType w:val="hybridMultilevel"/>
    <w:tmpl w:val="1F8C9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940A7"/>
    <w:multiLevelType w:val="hybridMultilevel"/>
    <w:tmpl w:val="15B63B50"/>
    <w:lvl w:ilvl="0" w:tplc="50EE2E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A7802"/>
    <w:multiLevelType w:val="hybridMultilevel"/>
    <w:tmpl w:val="E5DE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C31D9"/>
    <w:multiLevelType w:val="hybridMultilevel"/>
    <w:tmpl w:val="32485A8C"/>
    <w:lvl w:ilvl="0" w:tplc="50EE2E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E11EA"/>
    <w:multiLevelType w:val="hybridMultilevel"/>
    <w:tmpl w:val="BB367B88"/>
    <w:lvl w:ilvl="0" w:tplc="DE32CC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26"/>
  </w:num>
  <w:num w:numId="4">
    <w:abstractNumId w:val="3"/>
  </w:num>
  <w:num w:numId="5">
    <w:abstractNumId w:val="35"/>
  </w:num>
  <w:num w:numId="6">
    <w:abstractNumId w:val="16"/>
  </w:num>
  <w:num w:numId="7">
    <w:abstractNumId w:val="10"/>
  </w:num>
  <w:num w:numId="8">
    <w:abstractNumId w:val="7"/>
  </w:num>
  <w:num w:numId="9">
    <w:abstractNumId w:val="29"/>
  </w:num>
  <w:num w:numId="10">
    <w:abstractNumId w:val="19"/>
  </w:num>
  <w:num w:numId="11">
    <w:abstractNumId w:val="13"/>
  </w:num>
  <w:num w:numId="12">
    <w:abstractNumId w:val="38"/>
  </w:num>
  <w:num w:numId="13">
    <w:abstractNumId w:val="31"/>
  </w:num>
  <w:num w:numId="14">
    <w:abstractNumId w:val="39"/>
  </w:num>
  <w:num w:numId="15">
    <w:abstractNumId w:val="40"/>
  </w:num>
  <w:num w:numId="16">
    <w:abstractNumId w:val="30"/>
  </w:num>
  <w:num w:numId="17">
    <w:abstractNumId w:val="5"/>
  </w:num>
  <w:num w:numId="18">
    <w:abstractNumId w:val="11"/>
  </w:num>
  <w:num w:numId="19">
    <w:abstractNumId w:val="17"/>
  </w:num>
  <w:num w:numId="20">
    <w:abstractNumId w:val="32"/>
  </w:num>
  <w:num w:numId="21">
    <w:abstractNumId w:val="14"/>
  </w:num>
  <w:num w:numId="22">
    <w:abstractNumId w:val="18"/>
  </w:num>
  <w:num w:numId="23">
    <w:abstractNumId w:val="22"/>
  </w:num>
  <w:num w:numId="24">
    <w:abstractNumId w:val="3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42"/>
  </w:num>
  <w:num w:numId="28">
    <w:abstractNumId w:val="23"/>
  </w:num>
  <w:num w:numId="29">
    <w:abstractNumId w:val="37"/>
  </w:num>
  <w:num w:numId="30">
    <w:abstractNumId w:val="12"/>
  </w:num>
  <w:num w:numId="31">
    <w:abstractNumId w:val="27"/>
  </w:num>
  <w:num w:numId="32">
    <w:abstractNumId w:val="4"/>
  </w:num>
  <w:num w:numId="33">
    <w:abstractNumId w:val="34"/>
  </w:num>
  <w:num w:numId="34">
    <w:abstractNumId w:val="20"/>
  </w:num>
  <w:num w:numId="35">
    <w:abstractNumId w:val="0"/>
  </w:num>
  <w:num w:numId="36">
    <w:abstractNumId w:val="1"/>
  </w:num>
  <w:num w:numId="37">
    <w:abstractNumId w:val="25"/>
  </w:num>
  <w:num w:numId="38">
    <w:abstractNumId w:val="2"/>
  </w:num>
  <w:num w:numId="39">
    <w:abstractNumId w:val="41"/>
  </w:num>
  <w:num w:numId="40">
    <w:abstractNumId w:val="28"/>
  </w:num>
  <w:num w:numId="41">
    <w:abstractNumId w:val="43"/>
  </w:num>
  <w:num w:numId="42">
    <w:abstractNumId w:val="21"/>
  </w:num>
  <w:num w:numId="43">
    <w:abstractNumId w:val="15"/>
  </w:num>
  <w:num w:numId="44">
    <w:abstractNumId w:val="24"/>
  </w:num>
  <w:num w:numId="45">
    <w:abstractNumId w:val="44"/>
  </w:num>
  <w:num w:numId="4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CF"/>
    <w:rsid w:val="00004BA4"/>
    <w:rsid w:val="00015306"/>
    <w:rsid w:val="0002674B"/>
    <w:rsid w:val="00030685"/>
    <w:rsid w:val="000340F3"/>
    <w:rsid w:val="0004162E"/>
    <w:rsid w:val="0004786B"/>
    <w:rsid w:val="00050C4C"/>
    <w:rsid w:val="00063405"/>
    <w:rsid w:val="00070134"/>
    <w:rsid w:val="000809B9"/>
    <w:rsid w:val="00081843"/>
    <w:rsid w:val="00083DF4"/>
    <w:rsid w:val="00084FC1"/>
    <w:rsid w:val="00090B40"/>
    <w:rsid w:val="00095A0A"/>
    <w:rsid w:val="00095EBD"/>
    <w:rsid w:val="000B1B3D"/>
    <w:rsid w:val="000B75FA"/>
    <w:rsid w:val="000C0598"/>
    <w:rsid w:val="000C4CAF"/>
    <w:rsid w:val="000D1B33"/>
    <w:rsid w:val="000D5FF3"/>
    <w:rsid w:val="000D652B"/>
    <w:rsid w:val="000E2207"/>
    <w:rsid w:val="00110F85"/>
    <w:rsid w:val="00121485"/>
    <w:rsid w:val="0012500F"/>
    <w:rsid w:val="001268B0"/>
    <w:rsid w:val="0013655A"/>
    <w:rsid w:val="0015052B"/>
    <w:rsid w:val="00154B73"/>
    <w:rsid w:val="00165F40"/>
    <w:rsid w:val="0017296A"/>
    <w:rsid w:val="001745AA"/>
    <w:rsid w:val="00174DAD"/>
    <w:rsid w:val="0018051B"/>
    <w:rsid w:val="00182AF6"/>
    <w:rsid w:val="00185CE0"/>
    <w:rsid w:val="001B1E4A"/>
    <w:rsid w:val="001B3E8E"/>
    <w:rsid w:val="001B58AA"/>
    <w:rsid w:val="001C4DFD"/>
    <w:rsid w:val="001D27C0"/>
    <w:rsid w:val="001E2A6F"/>
    <w:rsid w:val="001E74C3"/>
    <w:rsid w:val="001F32B2"/>
    <w:rsid w:val="001F6937"/>
    <w:rsid w:val="00207FC3"/>
    <w:rsid w:val="00215D05"/>
    <w:rsid w:val="00220DE3"/>
    <w:rsid w:val="0023011C"/>
    <w:rsid w:val="002424D3"/>
    <w:rsid w:val="0025290D"/>
    <w:rsid w:val="00257664"/>
    <w:rsid w:val="00260372"/>
    <w:rsid w:val="00262DAF"/>
    <w:rsid w:val="00266D99"/>
    <w:rsid w:val="00272896"/>
    <w:rsid w:val="00285AED"/>
    <w:rsid w:val="00287483"/>
    <w:rsid w:val="002957D8"/>
    <w:rsid w:val="002A524F"/>
    <w:rsid w:val="002C20CF"/>
    <w:rsid w:val="002C3478"/>
    <w:rsid w:val="002C4FCC"/>
    <w:rsid w:val="002D2B80"/>
    <w:rsid w:val="002E19BA"/>
    <w:rsid w:val="002E2442"/>
    <w:rsid w:val="002F0E8C"/>
    <w:rsid w:val="002F1D49"/>
    <w:rsid w:val="00304970"/>
    <w:rsid w:val="00310FA0"/>
    <w:rsid w:val="00320481"/>
    <w:rsid w:val="003250CB"/>
    <w:rsid w:val="00333A9E"/>
    <w:rsid w:val="00351CAF"/>
    <w:rsid w:val="00363201"/>
    <w:rsid w:val="00363990"/>
    <w:rsid w:val="00377365"/>
    <w:rsid w:val="0039063C"/>
    <w:rsid w:val="00394CB9"/>
    <w:rsid w:val="00396173"/>
    <w:rsid w:val="003A12B0"/>
    <w:rsid w:val="003A46A8"/>
    <w:rsid w:val="003A51AA"/>
    <w:rsid w:val="003A6DFC"/>
    <w:rsid w:val="003B0BC8"/>
    <w:rsid w:val="003B0E92"/>
    <w:rsid w:val="003B565A"/>
    <w:rsid w:val="003D00A1"/>
    <w:rsid w:val="003D3067"/>
    <w:rsid w:val="003E717D"/>
    <w:rsid w:val="003F4151"/>
    <w:rsid w:val="004037E0"/>
    <w:rsid w:val="00406F22"/>
    <w:rsid w:val="0041427F"/>
    <w:rsid w:val="00415985"/>
    <w:rsid w:val="00436A3E"/>
    <w:rsid w:val="004509E5"/>
    <w:rsid w:val="00455EDA"/>
    <w:rsid w:val="00484616"/>
    <w:rsid w:val="00486FB9"/>
    <w:rsid w:val="00493245"/>
    <w:rsid w:val="00494B20"/>
    <w:rsid w:val="004A1340"/>
    <w:rsid w:val="004B43DB"/>
    <w:rsid w:val="004B591D"/>
    <w:rsid w:val="004B5C41"/>
    <w:rsid w:val="004C212A"/>
    <w:rsid w:val="004C62F8"/>
    <w:rsid w:val="004D6663"/>
    <w:rsid w:val="004E6019"/>
    <w:rsid w:val="00500232"/>
    <w:rsid w:val="005015C4"/>
    <w:rsid w:val="00504668"/>
    <w:rsid w:val="00504DF6"/>
    <w:rsid w:val="00506CE5"/>
    <w:rsid w:val="005119E2"/>
    <w:rsid w:val="00511ECB"/>
    <w:rsid w:val="005215ED"/>
    <w:rsid w:val="00521823"/>
    <w:rsid w:val="00535C31"/>
    <w:rsid w:val="00536992"/>
    <w:rsid w:val="00537529"/>
    <w:rsid w:val="0054472B"/>
    <w:rsid w:val="005455E1"/>
    <w:rsid w:val="005502BD"/>
    <w:rsid w:val="00556787"/>
    <w:rsid w:val="0055690D"/>
    <w:rsid w:val="00582276"/>
    <w:rsid w:val="00586036"/>
    <w:rsid w:val="005B0632"/>
    <w:rsid w:val="005B277B"/>
    <w:rsid w:val="005B2EAA"/>
    <w:rsid w:val="005B3F5C"/>
    <w:rsid w:val="005B7FDF"/>
    <w:rsid w:val="005C0EED"/>
    <w:rsid w:val="005C2560"/>
    <w:rsid w:val="005C4A4F"/>
    <w:rsid w:val="005C4AD7"/>
    <w:rsid w:val="005D1A33"/>
    <w:rsid w:val="005D615B"/>
    <w:rsid w:val="005E15AB"/>
    <w:rsid w:val="005F48D9"/>
    <w:rsid w:val="005F49FF"/>
    <w:rsid w:val="005F6DC5"/>
    <w:rsid w:val="005F7585"/>
    <w:rsid w:val="00603DA9"/>
    <w:rsid w:val="00604AC3"/>
    <w:rsid w:val="00605759"/>
    <w:rsid w:val="00625FC9"/>
    <w:rsid w:val="00636E0D"/>
    <w:rsid w:val="00641110"/>
    <w:rsid w:val="00650C6C"/>
    <w:rsid w:val="00652FE6"/>
    <w:rsid w:val="0065469A"/>
    <w:rsid w:val="00654BC3"/>
    <w:rsid w:val="00656B31"/>
    <w:rsid w:val="00660826"/>
    <w:rsid w:val="00661D22"/>
    <w:rsid w:val="00667898"/>
    <w:rsid w:val="00677FE0"/>
    <w:rsid w:val="00693EBA"/>
    <w:rsid w:val="006953C3"/>
    <w:rsid w:val="006A1274"/>
    <w:rsid w:val="006B326A"/>
    <w:rsid w:val="006B6764"/>
    <w:rsid w:val="006C30EB"/>
    <w:rsid w:val="006C5411"/>
    <w:rsid w:val="006D04EF"/>
    <w:rsid w:val="006D10DE"/>
    <w:rsid w:val="006E0EF7"/>
    <w:rsid w:val="006E2FB0"/>
    <w:rsid w:val="006F1BEA"/>
    <w:rsid w:val="007102D2"/>
    <w:rsid w:val="00712D72"/>
    <w:rsid w:val="00713948"/>
    <w:rsid w:val="0072532F"/>
    <w:rsid w:val="0072734C"/>
    <w:rsid w:val="00741CFD"/>
    <w:rsid w:val="00741E3B"/>
    <w:rsid w:val="007464C7"/>
    <w:rsid w:val="00753A27"/>
    <w:rsid w:val="0079342A"/>
    <w:rsid w:val="007A2737"/>
    <w:rsid w:val="007A5188"/>
    <w:rsid w:val="007B24DF"/>
    <w:rsid w:val="007B41B8"/>
    <w:rsid w:val="007B4949"/>
    <w:rsid w:val="007C0788"/>
    <w:rsid w:val="007C6A25"/>
    <w:rsid w:val="007E00C6"/>
    <w:rsid w:val="007E55C0"/>
    <w:rsid w:val="007F0BC6"/>
    <w:rsid w:val="00804931"/>
    <w:rsid w:val="00831374"/>
    <w:rsid w:val="00852465"/>
    <w:rsid w:val="00854034"/>
    <w:rsid w:val="00857580"/>
    <w:rsid w:val="00865238"/>
    <w:rsid w:val="00866685"/>
    <w:rsid w:val="008667BF"/>
    <w:rsid w:val="008677A5"/>
    <w:rsid w:val="00871E23"/>
    <w:rsid w:val="00872FA4"/>
    <w:rsid w:val="00895645"/>
    <w:rsid w:val="008A3CDA"/>
    <w:rsid w:val="008A7851"/>
    <w:rsid w:val="008B1BF4"/>
    <w:rsid w:val="008B40DF"/>
    <w:rsid w:val="008C05AD"/>
    <w:rsid w:val="008C235C"/>
    <w:rsid w:val="008C3782"/>
    <w:rsid w:val="008D4A32"/>
    <w:rsid w:val="008D52A7"/>
    <w:rsid w:val="008D593A"/>
    <w:rsid w:val="008E3468"/>
    <w:rsid w:val="008E69EC"/>
    <w:rsid w:val="008E7760"/>
    <w:rsid w:val="008F2EDF"/>
    <w:rsid w:val="008F4DAB"/>
    <w:rsid w:val="00904992"/>
    <w:rsid w:val="0091015F"/>
    <w:rsid w:val="00916CC6"/>
    <w:rsid w:val="0091766D"/>
    <w:rsid w:val="00922001"/>
    <w:rsid w:val="00922C17"/>
    <w:rsid w:val="009325EA"/>
    <w:rsid w:val="009408DB"/>
    <w:rsid w:val="00942DDD"/>
    <w:rsid w:val="00950ADA"/>
    <w:rsid w:val="009516A8"/>
    <w:rsid w:val="0096299A"/>
    <w:rsid w:val="009631ED"/>
    <w:rsid w:val="0096324D"/>
    <w:rsid w:val="00966DD7"/>
    <w:rsid w:val="00971B4F"/>
    <w:rsid w:val="00974A80"/>
    <w:rsid w:val="0097705C"/>
    <w:rsid w:val="00984EFC"/>
    <w:rsid w:val="00985E5A"/>
    <w:rsid w:val="00996DF6"/>
    <w:rsid w:val="009B503A"/>
    <w:rsid w:val="009B67FC"/>
    <w:rsid w:val="009C04D3"/>
    <w:rsid w:val="009C4852"/>
    <w:rsid w:val="009C5529"/>
    <w:rsid w:val="009C7974"/>
    <w:rsid w:val="009E42FD"/>
    <w:rsid w:val="009F393D"/>
    <w:rsid w:val="009F7E3A"/>
    <w:rsid w:val="009F7F46"/>
    <w:rsid w:val="00A000BF"/>
    <w:rsid w:val="00A0587E"/>
    <w:rsid w:val="00A1242E"/>
    <w:rsid w:val="00A179DF"/>
    <w:rsid w:val="00A24C1F"/>
    <w:rsid w:val="00A275BC"/>
    <w:rsid w:val="00A356B5"/>
    <w:rsid w:val="00A464B4"/>
    <w:rsid w:val="00A63D6B"/>
    <w:rsid w:val="00A64EEF"/>
    <w:rsid w:val="00A6645C"/>
    <w:rsid w:val="00A77CF4"/>
    <w:rsid w:val="00A81726"/>
    <w:rsid w:val="00A844B9"/>
    <w:rsid w:val="00A84B52"/>
    <w:rsid w:val="00A84F7F"/>
    <w:rsid w:val="00A8660F"/>
    <w:rsid w:val="00A87B13"/>
    <w:rsid w:val="00A95C48"/>
    <w:rsid w:val="00AA7056"/>
    <w:rsid w:val="00AB31C6"/>
    <w:rsid w:val="00AB523B"/>
    <w:rsid w:val="00AD63A5"/>
    <w:rsid w:val="00AD7E40"/>
    <w:rsid w:val="00AF2980"/>
    <w:rsid w:val="00AF3BAB"/>
    <w:rsid w:val="00B10466"/>
    <w:rsid w:val="00B1114A"/>
    <w:rsid w:val="00B1477A"/>
    <w:rsid w:val="00B1729A"/>
    <w:rsid w:val="00B20993"/>
    <w:rsid w:val="00B31350"/>
    <w:rsid w:val="00B33950"/>
    <w:rsid w:val="00B42E96"/>
    <w:rsid w:val="00B50EE6"/>
    <w:rsid w:val="00B52185"/>
    <w:rsid w:val="00B65B44"/>
    <w:rsid w:val="00B72E51"/>
    <w:rsid w:val="00B7463C"/>
    <w:rsid w:val="00B94A2A"/>
    <w:rsid w:val="00B9753A"/>
    <w:rsid w:val="00BB18CC"/>
    <w:rsid w:val="00BB479C"/>
    <w:rsid w:val="00BC3060"/>
    <w:rsid w:val="00BC4720"/>
    <w:rsid w:val="00BC66C0"/>
    <w:rsid w:val="00BD0B80"/>
    <w:rsid w:val="00BD4402"/>
    <w:rsid w:val="00BD75A2"/>
    <w:rsid w:val="00C0471B"/>
    <w:rsid w:val="00C0781D"/>
    <w:rsid w:val="00C1067B"/>
    <w:rsid w:val="00C11681"/>
    <w:rsid w:val="00C12FA4"/>
    <w:rsid w:val="00C2017A"/>
    <w:rsid w:val="00C2026B"/>
    <w:rsid w:val="00C20470"/>
    <w:rsid w:val="00C21E49"/>
    <w:rsid w:val="00C25B2F"/>
    <w:rsid w:val="00C34B2F"/>
    <w:rsid w:val="00C40AA7"/>
    <w:rsid w:val="00C4641B"/>
    <w:rsid w:val="00C46EB1"/>
    <w:rsid w:val="00C6690E"/>
    <w:rsid w:val="00C703C5"/>
    <w:rsid w:val="00C74E93"/>
    <w:rsid w:val="00C805F2"/>
    <w:rsid w:val="00C87389"/>
    <w:rsid w:val="00C925FB"/>
    <w:rsid w:val="00C96099"/>
    <w:rsid w:val="00C96EFE"/>
    <w:rsid w:val="00CB7EB2"/>
    <w:rsid w:val="00CC42B1"/>
    <w:rsid w:val="00CC5E40"/>
    <w:rsid w:val="00CC6FD8"/>
    <w:rsid w:val="00CD35E2"/>
    <w:rsid w:val="00CE0581"/>
    <w:rsid w:val="00CF104D"/>
    <w:rsid w:val="00CF21D8"/>
    <w:rsid w:val="00CF3324"/>
    <w:rsid w:val="00D02748"/>
    <w:rsid w:val="00D113D9"/>
    <w:rsid w:val="00D1569F"/>
    <w:rsid w:val="00D20B1E"/>
    <w:rsid w:val="00D22462"/>
    <w:rsid w:val="00D230AC"/>
    <w:rsid w:val="00D31C27"/>
    <w:rsid w:val="00D32489"/>
    <w:rsid w:val="00D3349E"/>
    <w:rsid w:val="00D43F00"/>
    <w:rsid w:val="00D71EF7"/>
    <w:rsid w:val="00D73CB8"/>
    <w:rsid w:val="00D76F54"/>
    <w:rsid w:val="00D859E1"/>
    <w:rsid w:val="00D909C0"/>
    <w:rsid w:val="00D95BB5"/>
    <w:rsid w:val="00DA201A"/>
    <w:rsid w:val="00DA7591"/>
    <w:rsid w:val="00DB2850"/>
    <w:rsid w:val="00DB2B22"/>
    <w:rsid w:val="00DB6F34"/>
    <w:rsid w:val="00DB7531"/>
    <w:rsid w:val="00DC49F4"/>
    <w:rsid w:val="00DC4A4A"/>
    <w:rsid w:val="00DC646D"/>
    <w:rsid w:val="00DE0ED4"/>
    <w:rsid w:val="00E0499D"/>
    <w:rsid w:val="00E1046C"/>
    <w:rsid w:val="00E16981"/>
    <w:rsid w:val="00E237E4"/>
    <w:rsid w:val="00E27FD7"/>
    <w:rsid w:val="00E32798"/>
    <w:rsid w:val="00E33CC8"/>
    <w:rsid w:val="00E36F74"/>
    <w:rsid w:val="00E43F0A"/>
    <w:rsid w:val="00E51C91"/>
    <w:rsid w:val="00E55090"/>
    <w:rsid w:val="00E55FC4"/>
    <w:rsid w:val="00E56C7A"/>
    <w:rsid w:val="00E56F24"/>
    <w:rsid w:val="00E667C1"/>
    <w:rsid w:val="00E67EEC"/>
    <w:rsid w:val="00E7147F"/>
    <w:rsid w:val="00E85E86"/>
    <w:rsid w:val="00E91729"/>
    <w:rsid w:val="00EC3F88"/>
    <w:rsid w:val="00EC57A1"/>
    <w:rsid w:val="00ED337B"/>
    <w:rsid w:val="00ED36D8"/>
    <w:rsid w:val="00ED612A"/>
    <w:rsid w:val="00EE271E"/>
    <w:rsid w:val="00EE684E"/>
    <w:rsid w:val="00EE6BD7"/>
    <w:rsid w:val="00EF374D"/>
    <w:rsid w:val="00EF487E"/>
    <w:rsid w:val="00F01755"/>
    <w:rsid w:val="00F0298B"/>
    <w:rsid w:val="00F039B8"/>
    <w:rsid w:val="00F04CC6"/>
    <w:rsid w:val="00F054D8"/>
    <w:rsid w:val="00F0689D"/>
    <w:rsid w:val="00F1576D"/>
    <w:rsid w:val="00F177FD"/>
    <w:rsid w:val="00F22C31"/>
    <w:rsid w:val="00F22C75"/>
    <w:rsid w:val="00F30ADD"/>
    <w:rsid w:val="00F3526D"/>
    <w:rsid w:val="00F36A11"/>
    <w:rsid w:val="00F5407D"/>
    <w:rsid w:val="00F7017B"/>
    <w:rsid w:val="00F8491A"/>
    <w:rsid w:val="00F91337"/>
    <w:rsid w:val="00F97632"/>
    <w:rsid w:val="00F97A9F"/>
    <w:rsid w:val="00FA7110"/>
    <w:rsid w:val="00FB01B5"/>
    <w:rsid w:val="00FB07D8"/>
    <w:rsid w:val="00FB0A95"/>
    <w:rsid w:val="00FB2FFA"/>
    <w:rsid w:val="00FC0513"/>
    <w:rsid w:val="00FC1EAD"/>
    <w:rsid w:val="00FC39F6"/>
    <w:rsid w:val="00FC6325"/>
    <w:rsid w:val="00FD1774"/>
    <w:rsid w:val="00FD4275"/>
    <w:rsid w:val="00F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CE5CF7E-876D-45A3-ADD2-AE09E8A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87B13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 1,seznam písmena,(1) odstavec"/>
    <w:basedOn w:val="Normln"/>
    <w:link w:val="OdstavecseseznamemChar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link w:val="DefaultChar"/>
    <w:rsid w:val="002C2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aliases w:val="Footnote Text Char3,Footnote Text Char1 Char1,Footnote Text Char2 Char Char,Footnote Text Char1 Char1 Char Char,Footnote Text Char2 Char Char Char Char,Footnote Text Char1 Char1 Char Char Char Char Char,-E Fußnotentext,Fußnotentextf"/>
    <w:basedOn w:val="Normln"/>
    <w:link w:val="TextpoznpodarouChar"/>
    <w:uiPriority w:val="99"/>
    <w:unhideWhenUsed/>
    <w:qFormat/>
    <w:rsid w:val="00CE05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3 Char,Footnote Text Char1 Char1 Char,Footnote Text Char2 Char Char Char,Footnote Text Char1 Char1 Char Char Char,Footnote Text Char2 Char Char Char Char Char,-E Fußnotentext Char,Fußnotentextf Char"/>
    <w:basedOn w:val="Standardnpsmoodstavce"/>
    <w:link w:val="Textpoznpodarou"/>
    <w:uiPriority w:val="99"/>
    <w:qFormat/>
    <w:rsid w:val="00CE0581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,SUPERS"/>
    <w:basedOn w:val="Standardnpsmoodstavce"/>
    <w:uiPriority w:val="99"/>
    <w:unhideWhenUsed/>
    <w:rsid w:val="00CE058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325EA"/>
    <w:rPr>
      <w:color w:val="605E5C"/>
      <w:shd w:val="clear" w:color="auto" w:fill="E1DFDD"/>
    </w:rPr>
  </w:style>
  <w:style w:type="paragraph" w:customStyle="1" w:styleId="K-Nadpis1">
    <w:name w:val="K-Nadpis1"/>
    <w:basedOn w:val="Nadpis1"/>
    <w:link w:val="K-Nadpis1Char"/>
    <w:qFormat/>
    <w:rsid w:val="00154B73"/>
    <w:rPr>
      <w:rFonts w:ascii="Times New Roman" w:hAnsi="Times New Roman" w:cs="Times New Roman"/>
      <w:sz w:val="32"/>
    </w:rPr>
  </w:style>
  <w:style w:type="paragraph" w:customStyle="1" w:styleId="K-Nadpis2">
    <w:name w:val="K-Nadpis2"/>
    <w:basedOn w:val="Nadpis2"/>
    <w:link w:val="K-Nadpis2Char"/>
    <w:qFormat/>
    <w:rsid w:val="00154B73"/>
    <w:rPr>
      <w:rFonts w:ascii="Times New Roman" w:hAnsi="Times New Roman" w:cs="Times New Roman"/>
      <w:sz w:val="28"/>
      <w:szCs w:val="28"/>
    </w:rPr>
  </w:style>
  <w:style w:type="character" w:customStyle="1" w:styleId="K-Nadpis1Char">
    <w:name w:val="K-Nadpis1 Char"/>
    <w:basedOn w:val="Nadpis1Char"/>
    <w:link w:val="K-Nadpis1"/>
    <w:rsid w:val="00154B73"/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paragraph" w:customStyle="1" w:styleId="K-Nadpis3">
    <w:name w:val="K-Nadpis3"/>
    <w:basedOn w:val="Default"/>
    <w:link w:val="K-Nadpis3Char"/>
    <w:qFormat/>
    <w:rsid w:val="00154B73"/>
    <w:pPr>
      <w:spacing w:after="120"/>
      <w:jc w:val="both"/>
    </w:pPr>
    <w:rPr>
      <w:b/>
      <w:szCs w:val="23"/>
    </w:rPr>
  </w:style>
  <w:style w:type="character" w:customStyle="1" w:styleId="K-Nadpis2Char">
    <w:name w:val="K-Nadpis2 Char"/>
    <w:basedOn w:val="Nadpis2Char"/>
    <w:link w:val="K-Nadpis2"/>
    <w:rsid w:val="00154B73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customStyle="1" w:styleId="K-Text">
    <w:name w:val="K-Text"/>
    <w:basedOn w:val="Normln"/>
    <w:link w:val="K-TextChar"/>
    <w:qFormat/>
    <w:rsid w:val="006F1BEA"/>
    <w:pPr>
      <w:spacing w:after="120"/>
      <w:jc w:val="both"/>
    </w:pPr>
    <w:rPr>
      <w:rFonts w:ascii="Times New Roman" w:hAnsi="Times New Roman" w:cs="Times New Roman"/>
      <w:iCs/>
      <w:color w:val="auto"/>
      <w:sz w:val="23"/>
      <w:szCs w:val="23"/>
    </w:rPr>
  </w:style>
  <w:style w:type="character" w:customStyle="1" w:styleId="DefaultChar">
    <w:name w:val="Default Char"/>
    <w:basedOn w:val="Standardnpsmoodstavce"/>
    <w:link w:val="Default"/>
    <w:rsid w:val="00154B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K-Nadpis3Char">
    <w:name w:val="K-Nadpis3 Char"/>
    <w:basedOn w:val="DefaultChar"/>
    <w:link w:val="K-Nadpis3"/>
    <w:rsid w:val="00154B73"/>
    <w:rPr>
      <w:rFonts w:ascii="Times New Roman" w:hAnsi="Times New Roman" w:cs="Times New Roman"/>
      <w:b/>
      <w:color w:val="000000"/>
      <w:sz w:val="24"/>
      <w:szCs w:val="23"/>
    </w:rPr>
  </w:style>
  <w:style w:type="paragraph" w:customStyle="1" w:styleId="K-TextInfo">
    <w:name w:val="K-Text_Info"/>
    <w:basedOn w:val="Default"/>
    <w:link w:val="K-TextInfoChar"/>
    <w:qFormat/>
    <w:rsid w:val="00ED337B"/>
    <w:pPr>
      <w:spacing w:after="120"/>
      <w:jc w:val="both"/>
    </w:pPr>
    <w:rPr>
      <w:i/>
      <w:iCs/>
      <w:color w:val="2196FF" w:themeColor="text2" w:themeTint="99"/>
      <w:sz w:val="23"/>
      <w:szCs w:val="23"/>
    </w:rPr>
  </w:style>
  <w:style w:type="character" w:customStyle="1" w:styleId="K-TextChar">
    <w:name w:val="K-Text Char"/>
    <w:basedOn w:val="Standardnpsmoodstavce"/>
    <w:link w:val="K-Text"/>
    <w:rsid w:val="006F1BEA"/>
    <w:rPr>
      <w:rFonts w:ascii="Times New Roman" w:hAnsi="Times New Roman" w:cs="Times New Roman"/>
      <w:iCs/>
      <w:sz w:val="23"/>
      <w:szCs w:val="23"/>
    </w:rPr>
  </w:style>
  <w:style w:type="paragraph" w:customStyle="1" w:styleId="K-Tabulka">
    <w:name w:val="K-Tabulka"/>
    <w:basedOn w:val="Default"/>
    <w:link w:val="K-TabulkaChar"/>
    <w:qFormat/>
    <w:rsid w:val="00ED337B"/>
    <w:pPr>
      <w:spacing w:after="120"/>
      <w:jc w:val="both"/>
    </w:pPr>
    <w:rPr>
      <w:b/>
      <w:bCs/>
      <w:color w:val="auto"/>
      <w:sz w:val="23"/>
      <w:szCs w:val="23"/>
    </w:rPr>
  </w:style>
  <w:style w:type="character" w:customStyle="1" w:styleId="K-TextInfoChar">
    <w:name w:val="K-Text_Info Char"/>
    <w:basedOn w:val="DefaultChar"/>
    <w:link w:val="K-TextInfo"/>
    <w:rsid w:val="00ED337B"/>
    <w:rPr>
      <w:rFonts w:ascii="Times New Roman" w:hAnsi="Times New Roman" w:cs="Times New Roman"/>
      <w:i/>
      <w:iCs/>
      <w:color w:val="2196FF" w:themeColor="text2" w:themeTint="99"/>
      <w:sz w:val="23"/>
      <w:szCs w:val="23"/>
    </w:rPr>
  </w:style>
  <w:style w:type="paragraph" w:customStyle="1" w:styleId="K-TextPozn">
    <w:name w:val="K-Text_Pozn"/>
    <w:basedOn w:val="Textpoznpodarou"/>
    <w:link w:val="K-TextPoznChar"/>
    <w:qFormat/>
    <w:rsid w:val="00A87B13"/>
    <w:rPr>
      <w:rFonts w:ascii="Times New Roman" w:hAnsi="Times New Roman" w:cs="Times New Roman"/>
    </w:rPr>
  </w:style>
  <w:style w:type="character" w:customStyle="1" w:styleId="K-TabulkaChar">
    <w:name w:val="K-Tabulka Char"/>
    <w:basedOn w:val="DefaultChar"/>
    <w:link w:val="K-Tabulka"/>
    <w:rsid w:val="00ED337B"/>
    <w:rPr>
      <w:rFonts w:ascii="Times New Roman" w:hAnsi="Times New Roman" w:cs="Times New Roman"/>
      <w:b/>
      <w:bCs/>
      <w:color w:val="000000"/>
      <w:sz w:val="23"/>
      <w:szCs w:val="23"/>
    </w:rPr>
  </w:style>
  <w:style w:type="character" w:customStyle="1" w:styleId="K-TextPoznChar">
    <w:name w:val="K-Text_Pozn Char"/>
    <w:basedOn w:val="TextpoznpodarouChar"/>
    <w:link w:val="K-TextPozn"/>
    <w:rsid w:val="00A87B13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11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1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14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14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14A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85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link w:val="TitulekChar"/>
    <w:qFormat/>
    <w:rsid w:val="003B0BC8"/>
    <w:pPr>
      <w:spacing w:before="240" w:after="240" w:line="240" w:lineRule="auto"/>
    </w:pPr>
    <w:rPr>
      <w:rFonts w:ascii="Arial" w:eastAsia="Times New Roman" w:hAnsi="Arial" w:cs="Times New Roman"/>
      <w:b/>
      <w:bCs/>
      <w:color w:val="auto"/>
      <w:szCs w:val="20"/>
      <w:lang w:eastAsia="cs-CZ"/>
    </w:rPr>
  </w:style>
  <w:style w:type="character" w:customStyle="1" w:styleId="TitulekChar">
    <w:name w:val="Titulek Char"/>
    <w:link w:val="Titulek"/>
    <w:locked/>
    <w:rsid w:val="003B0BC8"/>
    <w:rPr>
      <w:rFonts w:ascii="Arial" w:eastAsia="Times New Roman" w:hAnsi="Arial" w:cs="Times New Roman"/>
      <w:b/>
      <w:bCs/>
      <w:szCs w:val="20"/>
      <w:lang w:eastAsia="cs-CZ"/>
    </w:rPr>
  </w:style>
  <w:style w:type="paragraph" w:customStyle="1" w:styleId="Odrkyabc">
    <w:name w:val="Odrážky abc"/>
    <w:basedOn w:val="Normln"/>
    <w:uiPriority w:val="99"/>
    <w:rsid w:val="003B0BC8"/>
    <w:pPr>
      <w:numPr>
        <w:numId w:val="25"/>
      </w:numPr>
      <w:spacing w:before="120" w:after="120" w:line="240" w:lineRule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customStyle="1" w:styleId="apple-style-span">
    <w:name w:val="apple-style-span"/>
    <w:basedOn w:val="Standardnpsmoodstavce"/>
    <w:rsid w:val="003B0BC8"/>
  </w:style>
  <w:style w:type="paragraph" w:customStyle="1" w:styleId="00Body">
    <w:name w:val="00 Body"/>
    <w:basedOn w:val="Normln"/>
    <w:link w:val="00BodyChar"/>
    <w:qFormat/>
    <w:rsid w:val="00436A3E"/>
    <w:pPr>
      <w:spacing w:before="180" w:after="180" w:line="264" w:lineRule="auto"/>
    </w:pPr>
    <w:rPr>
      <w:rFonts w:ascii="Arial (Body)" w:eastAsia="Times New Roman" w:hAnsi="Arial (Body)" w:cs="Times New Roman"/>
      <w:color w:val="auto"/>
      <w:szCs w:val="20"/>
      <w:lang w:val="en-US"/>
    </w:rPr>
  </w:style>
  <w:style w:type="character" w:customStyle="1" w:styleId="00BodyChar">
    <w:name w:val="00 Body Char"/>
    <w:basedOn w:val="Standardnpsmoodstavce"/>
    <w:link w:val="00Body"/>
    <w:rsid w:val="00436A3E"/>
    <w:rPr>
      <w:rFonts w:ascii="Arial (Body)" w:eastAsia="Times New Roman" w:hAnsi="Arial (Body)" w:cs="Times New Roman"/>
      <w:szCs w:val="20"/>
      <w:lang w:val="en-US"/>
    </w:rPr>
  </w:style>
  <w:style w:type="table" w:customStyle="1" w:styleId="Mkatabulky1">
    <w:name w:val="Mřížka tabulky1"/>
    <w:basedOn w:val="Normlntabulka"/>
    <w:next w:val="Mkatabulky"/>
    <w:uiPriority w:val="39"/>
    <w:rsid w:val="00F1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69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ln"/>
    <w:link w:val="Bullet1Char"/>
    <w:uiPriority w:val="99"/>
    <w:qFormat/>
    <w:rsid w:val="00984EFC"/>
    <w:pPr>
      <w:numPr>
        <w:numId w:val="31"/>
      </w:numPr>
      <w:spacing w:before="120" w:after="120" w:line="240" w:lineRule="auto"/>
    </w:pPr>
    <w:rPr>
      <w:rFonts w:ascii="Arial" w:eastAsia="Times New Roman" w:hAnsi="Arial" w:cs="Times New Roman"/>
      <w:color w:val="auto"/>
      <w:szCs w:val="24"/>
      <w:lang w:eastAsia="cs-CZ"/>
    </w:rPr>
  </w:style>
  <w:style w:type="paragraph" w:customStyle="1" w:styleId="Odrka1">
    <w:name w:val="Odrážka 1"/>
    <w:basedOn w:val="Bullet1"/>
    <w:link w:val="Odrka1Char"/>
    <w:qFormat/>
    <w:rsid w:val="00984EFC"/>
  </w:style>
  <w:style w:type="character" w:customStyle="1" w:styleId="Odrka1Char">
    <w:name w:val="Odrážka 1 Char"/>
    <w:basedOn w:val="Standardnpsmoodstavce"/>
    <w:link w:val="Odrka1"/>
    <w:rsid w:val="00984EFC"/>
    <w:rPr>
      <w:rFonts w:ascii="Arial" w:eastAsia="Times New Roman" w:hAnsi="Arial" w:cs="Times New Roman"/>
      <w:szCs w:val="24"/>
      <w:lang w:eastAsia="cs-CZ"/>
    </w:rPr>
  </w:style>
  <w:style w:type="character" w:customStyle="1" w:styleId="Bullet1Char">
    <w:name w:val="Bullet 1 Char"/>
    <w:basedOn w:val="Standardnpsmoodstavce"/>
    <w:link w:val="Bullet1"/>
    <w:uiPriority w:val="99"/>
    <w:rsid w:val="00984EFC"/>
    <w:rPr>
      <w:rFonts w:ascii="Arial" w:eastAsia="Times New Roman" w:hAnsi="Arial" w:cs="Times New Roman"/>
      <w:szCs w:val="24"/>
      <w:lang w:eastAsia="cs-CZ"/>
    </w:rPr>
  </w:style>
  <w:style w:type="character" w:customStyle="1" w:styleId="OdstavecseseznamemChar">
    <w:name w:val="Odstavec se seznamem Char"/>
    <w:aliases w:val="Odrážky 1 Char,seznam písmena Char,(1) odstavec Char"/>
    <w:basedOn w:val="Standardnpsmoodstavce"/>
    <w:link w:val="Odstavecseseznamem"/>
    <w:uiPriority w:val="34"/>
    <w:qFormat/>
    <w:rsid w:val="001F32B2"/>
    <w:rPr>
      <w:color w:val="000000" w:themeColor="text1"/>
    </w:rPr>
  </w:style>
  <w:style w:type="character" w:customStyle="1" w:styleId="normaltextrun">
    <w:name w:val="normaltextrun"/>
    <w:basedOn w:val="Standardnpsmoodstavce"/>
    <w:rsid w:val="00F01755"/>
  </w:style>
  <w:style w:type="character" w:customStyle="1" w:styleId="eop">
    <w:name w:val="eop"/>
    <w:basedOn w:val="Standardnpsmoodstavce"/>
    <w:rsid w:val="00F0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668E3FACC0A4D909754AED2896FA5" ma:contentTypeVersion="4" ma:contentTypeDescription="Vytvoří nový dokument" ma:contentTypeScope="" ma:versionID="fcbcc0d7da2afc7dfd1f8eb0d8167e9f">
  <xsd:schema xmlns:xsd="http://www.w3.org/2001/XMLSchema" xmlns:xs="http://www.w3.org/2001/XMLSchema" xmlns:p="http://schemas.microsoft.com/office/2006/metadata/properties" xmlns:ns2="c901dcab-5c60-4e8e-adc9-0c7b361f0e15" targetNamespace="http://schemas.microsoft.com/office/2006/metadata/properties" ma:root="true" ma:fieldsID="389c65f3a199d6c2ceef1705ce39bdd1" ns2:_="">
    <xsd:import namespace="c901dcab-5c60-4e8e-adc9-0c7b361f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dcab-5c60-4e8e-adc9-0c7b361f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758E-458E-400C-A4E9-7E535E591B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01dcab-5c60-4e8e-adc9-0c7b361f0e15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F5E84-47A9-4C74-9832-7DADC55C9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8C370-B4C4-4077-A8D7-1D49DA33B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dcab-5c60-4e8e-adc9-0c7b361f0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AD323-47E9-45B7-89C4-67833FA3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9CACD4E6.dotm</Template>
  <TotalTime>0</TotalTime>
  <Pages>13</Pages>
  <Words>4972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Adam</dc:creator>
  <cp:keywords/>
  <dc:description/>
  <cp:lastModifiedBy>Hronza Martin</cp:lastModifiedBy>
  <cp:revision>3</cp:revision>
  <cp:lastPrinted>2020-12-16T15:55:00Z</cp:lastPrinted>
  <dcterms:created xsi:type="dcterms:W3CDTF">2021-01-05T08:42:00Z</dcterms:created>
  <dcterms:modified xsi:type="dcterms:W3CDTF">2021-01-28T12:22:00Z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0x0101008E0668E3FACC0A4D909754AED2896FA5</vt:lpwstr>
  </property>
</Properties>
</file>