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E7EC5" w14:textId="7C26D4A0" w:rsidR="002C20CF" w:rsidRPr="00ED337B" w:rsidRDefault="00985A31" w:rsidP="00154B73">
      <w:pPr>
        <w:pStyle w:val="K-Nadpis1"/>
      </w:pPr>
      <w:r>
        <w:t>2</w:t>
      </w:r>
      <w:r w:rsidR="00154B73" w:rsidRPr="00ED337B">
        <w:t>.</w:t>
      </w:r>
      <w:r>
        <w:t>3</w:t>
      </w:r>
      <w:r w:rsidR="00154B73" w:rsidRPr="00ED337B">
        <w:t xml:space="preserve"> </w:t>
      </w:r>
      <w:r w:rsidR="00F3299A">
        <w:t>P</w:t>
      </w:r>
      <w:r w:rsidRPr="00985A31">
        <w:t>řechod na čistší zdroje energie</w:t>
      </w:r>
      <w:r w:rsidR="00154B73" w:rsidRPr="00ED337B">
        <w:t xml:space="preserve"> (</w:t>
      </w:r>
      <w:r>
        <w:t>MPO</w:t>
      </w:r>
      <w:r w:rsidR="00154B73" w:rsidRPr="00ED337B">
        <w:t>)</w:t>
      </w:r>
      <w:r w:rsidR="002C20CF" w:rsidRPr="00ED337B">
        <w:t xml:space="preserve"> </w:t>
      </w:r>
    </w:p>
    <w:p w14:paraId="00F5B6F2" w14:textId="570D07A4" w:rsidR="002C20CF" w:rsidRPr="00ED337B" w:rsidRDefault="002C20CF" w:rsidP="002C4FCC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ED337B">
        <w:rPr>
          <w:rStyle w:val="K-Nadpis2Char"/>
          <w:b/>
        </w:rPr>
        <w:t xml:space="preserve">1. </w:t>
      </w:r>
      <w:r w:rsidR="00EF374D" w:rsidRPr="00ED337B">
        <w:rPr>
          <w:rStyle w:val="K-Nadpis2Char"/>
          <w:b/>
        </w:rPr>
        <w:t>Popis</w:t>
      </w:r>
      <w:r w:rsidRPr="00ED337B">
        <w:rPr>
          <w:rStyle w:val="K-Nadpis2Char"/>
          <w:b/>
        </w:rPr>
        <w:t xml:space="preserve"> </w:t>
      </w:r>
      <w:r w:rsidR="00EF374D" w:rsidRPr="00ED337B">
        <w:rPr>
          <w:rStyle w:val="K-Nadpis2Char"/>
          <w:b/>
        </w:rPr>
        <w:t>komponenty</w:t>
      </w:r>
    </w:p>
    <w:p w14:paraId="3288F2A0" w14:textId="21C5EE90" w:rsidR="002C20CF" w:rsidRPr="00A87B13" w:rsidRDefault="00EF374D" w:rsidP="00CE058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b/>
          <w:bCs/>
          <w:sz w:val="23"/>
          <w:szCs w:val="23"/>
        </w:rPr>
      </w:pPr>
      <w:r w:rsidRPr="00A87B13">
        <w:rPr>
          <w:rStyle w:val="K-TabulkaChar"/>
        </w:rPr>
        <w:t xml:space="preserve">Souhrnný box </w:t>
      </w:r>
      <w:r w:rsidR="0091766D" w:rsidRPr="00A87B13">
        <w:rPr>
          <w:rStyle w:val="K-TabulkaChar"/>
        </w:rPr>
        <w:t xml:space="preserve">pro </w:t>
      </w:r>
      <w:r w:rsidR="00154B73" w:rsidRPr="00A87B13">
        <w:rPr>
          <w:rStyle w:val="K-TabulkaChar"/>
        </w:rPr>
        <w:t xml:space="preserve">komponentu </w:t>
      </w:r>
      <w:r w:rsidR="007F4D9C">
        <w:rPr>
          <w:rStyle w:val="K-TabulkaChar"/>
        </w:rPr>
        <w:t>2</w:t>
      </w:r>
      <w:r w:rsidR="00154B73" w:rsidRPr="00A87B13">
        <w:rPr>
          <w:rStyle w:val="K-TabulkaChar"/>
        </w:rPr>
        <w:t>.</w:t>
      </w:r>
      <w:r w:rsidR="007F4D9C">
        <w:rPr>
          <w:rStyle w:val="K-TabulkaChar"/>
        </w:rPr>
        <w:t>3</w:t>
      </w:r>
      <w:r w:rsidR="00154B73" w:rsidRPr="00A87B13">
        <w:rPr>
          <w:rStyle w:val="K-TabulkaChar"/>
        </w:rPr>
        <w:t xml:space="preserve"> </w:t>
      </w:r>
      <w:r w:rsidR="007F4D9C" w:rsidRPr="007F4D9C">
        <w:rPr>
          <w:rStyle w:val="K-TabulkaChar"/>
        </w:rPr>
        <w:t>Transformace průmyslu a přechod na čistší zdroje energie</w:t>
      </w:r>
      <w:r w:rsidR="002C20CF" w:rsidRPr="00A87B13">
        <w:rPr>
          <w:rStyle w:val="K-TabulkaChar"/>
        </w:rPr>
        <w:t xml:space="preserve"> </w:t>
      </w:r>
    </w:p>
    <w:p w14:paraId="0B295620" w14:textId="415DC73B" w:rsidR="008F5987" w:rsidRDefault="00EF374D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InfoChar"/>
        </w:rPr>
      </w:pPr>
      <w:r w:rsidRPr="002E19BA">
        <w:rPr>
          <w:rStyle w:val="K-TextChar"/>
          <w:b/>
        </w:rPr>
        <w:t>Oblast politiky/obor zájmu:</w:t>
      </w:r>
      <w:r w:rsidR="0015052B">
        <w:rPr>
          <w:rStyle w:val="K-TextChar"/>
          <w:b/>
        </w:rPr>
        <w:t xml:space="preserve"> </w:t>
      </w:r>
    </w:p>
    <w:p w14:paraId="4AD0A2FD" w14:textId="7B411757" w:rsidR="00EF374D" w:rsidRPr="002E19BA" w:rsidRDefault="00880A08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880A08">
        <w:rPr>
          <w:rStyle w:val="K-TextChar"/>
        </w:rPr>
        <w:t>energetická politika, klimatická politika, energetická účinnost</w:t>
      </w:r>
      <w:r>
        <w:rPr>
          <w:rStyle w:val="K-TextChar"/>
        </w:rPr>
        <w:t xml:space="preserve"> a podpora obnovitelných zdrojů energie</w:t>
      </w:r>
    </w:p>
    <w:p w14:paraId="1B41C635" w14:textId="45B0EFC2" w:rsidR="00835900" w:rsidRDefault="00EF374D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095EBD">
        <w:rPr>
          <w:rStyle w:val="K-TextChar"/>
          <w:b/>
        </w:rPr>
        <w:t>Cíl:</w:t>
      </w:r>
      <w:r w:rsidR="00095EBD" w:rsidRPr="00095EBD">
        <w:rPr>
          <w:rStyle w:val="K-TextChar"/>
          <w:b/>
        </w:rPr>
        <w:t xml:space="preserve"> </w:t>
      </w:r>
    </w:p>
    <w:p w14:paraId="7790D6F1" w14:textId="0C224F1D" w:rsidR="00C6666F" w:rsidRDefault="00626FBC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color w:val="auto"/>
          <w:sz w:val="23"/>
          <w:szCs w:val="23"/>
        </w:rPr>
      </w:pPr>
      <w:r w:rsidRPr="00AB741A">
        <w:rPr>
          <w:color w:val="auto"/>
          <w:sz w:val="23"/>
          <w:szCs w:val="23"/>
        </w:rPr>
        <w:t xml:space="preserve">Hlavní ambicí komponenty je </w:t>
      </w:r>
      <w:r w:rsidR="00CC7C5F">
        <w:rPr>
          <w:color w:val="auto"/>
          <w:sz w:val="23"/>
          <w:szCs w:val="23"/>
        </w:rPr>
        <w:t>další rozvoj obnovitelných zdrojů energie a související náhrada fosilních zdrojů energie s cílem snížení emisní náročnosti hospodářství ČR a snížení emisí znečišťujících látek a dále modernizace rozvodů tepelné energie, konkrétně zejména náhrady parních rozvodů tepla za teplovodní/horkovodní rozvody tepla vedoucí k úsporám primárních energetických zdrojů.</w:t>
      </w:r>
    </w:p>
    <w:p w14:paraId="2B3D262C" w14:textId="2FEAD0B3" w:rsidR="00EF374D" w:rsidRPr="00095EBD" w:rsidRDefault="00EF374D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  <w:b/>
        </w:rPr>
      </w:pPr>
      <w:r w:rsidRPr="00095EBD">
        <w:rPr>
          <w:rStyle w:val="K-TextChar"/>
          <w:b/>
        </w:rPr>
        <w:t>Reformy a/nebo investice</w:t>
      </w:r>
      <w:r w:rsidRPr="00095EBD">
        <w:rPr>
          <w:rStyle w:val="K-TextChar"/>
          <w:b/>
          <w:vertAlign w:val="superscript"/>
        </w:rPr>
        <w:footnoteReference w:id="1"/>
      </w:r>
      <w:r w:rsidRPr="00095EBD">
        <w:rPr>
          <w:rStyle w:val="K-TextChar"/>
          <w:b/>
        </w:rPr>
        <w:t>:</w:t>
      </w:r>
      <w:r w:rsidR="00095EBD" w:rsidRPr="00095EBD">
        <w:rPr>
          <w:rStyle w:val="K-TextChar"/>
          <w:b/>
        </w:rPr>
        <w:t xml:space="preserve"> </w:t>
      </w:r>
    </w:p>
    <w:p w14:paraId="0144C250" w14:textId="52B1F6D1" w:rsidR="00815B4F" w:rsidRDefault="00815B4F" w:rsidP="008F598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>
        <w:rPr>
          <w:rStyle w:val="K-TextChar"/>
        </w:rPr>
        <w:t xml:space="preserve">Komponenta obsahuje dvě základní skupiny investic (tyto investice zapadají do širšího rámce reforem, který je popsána níže). Jedná se o: </w:t>
      </w:r>
    </w:p>
    <w:p w14:paraId="5E814316" w14:textId="4DED5DC5" w:rsidR="008F5987" w:rsidRPr="008F5987" w:rsidRDefault="00815B4F" w:rsidP="00815B4F">
      <w:pPr>
        <w:pStyle w:val="Defaul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>
        <w:rPr>
          <w:rStyle w:val="K-TextChar"/>
        </w:rPr>
        <w:t>M</w:t>
      </w:r>
      <w:r w:rsidR="00AB741A">
        <w:rPr>
          <w:rStyle w:val="K-TextChar"/>
        </w:rPr>
        <w:t>odernizace</w:t>
      </w:r>
      <w:r w:rsidR="008F5987" w:rsidRPr="008F5987">
        <w:rPr>
          <w:rStyle w:val="K-TextChar"/>
        </w:rPr>
        <w:t xml:space="preserve"> distribuce tepla</w:t>
      </w:r>
    </w:p>
    <w:p w14:paraId="197D39A3" w14:textId="77777777" w:rsidR="006D354D" w:rsidRDefault="008F5987" w:rsidP="00741D13">
      <w:pPr>
        <w:pStyle w:val="Default"/>
        <w:numPr>
          <w:ilvl w:val="0"/>
          <w:numId w:val="2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8F5987">
        <w:rPr>
          <w:rStyle w:val="K-TextChar"/>
        </w:rPr>
        <w:t>Výstavba nových OZE</w:t>
      </w:r>
    </w:p>
    <w:p w14:paraId="78071641" w14:textId="2F48255D" w:rsidR="006D354D" w:rsidRPr="002E19BA" w:rsidRDefault="006D354D" w:rsidP="006D354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>
        <w:rPr>
          <w:rStyle w:val="K-TextChar"/>
        </w:rPr>
        <w:t>Modernizace distribuce tepla by měla odpovídat „</w:t>
      </w:r>
      <w:proofErr w:type="spellStart"/>
      <w:r>
        <w:rPr>
          <w:rStyle w:val="K-TextChar"/>
        </w:rPr>
        <w:t>flagshipu</w:t>
      </w:r>
      <w:proofErr w:type="spellEnd"/>
      <w:r>
        <w:rPr>
          <w:rStyle w:val="K-TextChar"/>
        </w:rPr>
        <w:t>“ „</w:t>
      </w:r>
      <w:proofErr w:type="spellStart"/>
      <w:r>
        <w:rPr>
          <w:rStyle w:val="K-TextChar"/>
        </w:rPr>
        <w:t>modernise</w:t>
      </w:r>
      <w:proofErr w:type="spellEnd"/>
      <w:r>
        <w:rPr>
          <w:rStyle w:val="K-TextChar"/>
        </w:rPr>
        <w:t>“ a výstavba nových OZE by měla odpovídat „</w:t>
      </w:r>
      <w:proofErr w:type="spellStart"/>
      <w:r>
        <w:rPr>
          <w:rStyle w:val="K-TextChar"/>
        </w:rPr>
        <w:t>flagshipu</w:t>
      </w:r>
      <w:proofErr w:type="spellEnd"/>
      <w:r>
        <w:rPr>
          <w:rStyle w:val="K-TextChar"/>
        </w:rPr>
        <w:t>“ „</w:t>
      </w:r>
      <w:proofErr w:type="spellStart"/>
      <w:r>
        <w:rPr>
          <w:rStyle w:val="K-TextChar"/>
        </w:rPr>
        <w:t>power</w:t>
      </w:r>
      <w:proofErr w:type="spellEnd"/>
      <w:r>
        <w:rPr>
          <w:rStyle w:val="K-TextChar"/>
        </w:rPr>
        <w:t>-up“.</w:t>
      </w:r>
    </w:p>
    <w:p w14:paraId="6423CF6C" w14:textId="5E553A18" w:rsidR="002E19BA" w:rsidRPr="002E19BA" w:rsidRDefault="00EF374D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2E19BA">
        <w:rPr>
          <w:rStyle w:val="K-TextChar"/>
          <w:b/>
        </w:rPr>
        <w:t>Odhadované náklad</w:t>
      </w:r>
      <w:r w:rsidR="00A87B13" w:rsidRPr="002E19BA">
        <w:rPr>
          <w:rStyle w:val="K-TextChar"/>
          <w:b/>
        </w:rPr>
        <w:t>y</w:t>
      </w:r>
      <w:r w:rsidRPr="002E19BA">
        <w:rPr>
          <w:rStyle w:val="K-TextChar"/>
          <w:b/>
        </w:rPr>
        <w:t>:</w:t>
      </w:r>
      <w:r w:rsidR="002C20CF" w:rsidRPr="002E19BA">
        <w:rPr>
          <w:rStyle w:val="K-TextChar"/>
          <w:b/>
        </w:rPr>
        <w:t xml:space="preserve"> </w:t>
      </w:r>
    </w:p>
    <w:p w14:paraId="4CD95D6B" w14:textId="050351EF" w:rsidR="002E19BA" w:rsidRPr="008F5987" w:rsidRDefault="002E19BA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8F5987">
        <w:rPr>
          <w:rStyle w:val="K-TextChar"/>
        </w:rPr>
        <w:t>Celkové alokované prostředky v</w:t>
      </w:r>
      <w:r w:rsidR="00517258">
        <w:rPr>
          <w:rStyle w:val="K-TextChar"/>
        </w:rPr>
        <w:t xml:space="preserve"> rámci</w:t>
      </w:r>
      <w:r w:rsidRPr="008F5987">
        <w:rPr>
          <w:rStyle w:val="K-TextChar"/>
        </w:rPr>
        <w:t xml:space="preserve"> NPO činí </w:t>
      </w:r>
      <w:r w:rsidR="008F5987">
        <w:rPr>
          <w:rStyle w:val="K-TextChar"/>
        </w:rPr>
        <w:t>7,660</w:t>
      </w:r>
      <w:r w:rsidRPr="008F5987">
        <w:rPr>
          <w:rStyle w:val="K-TextChar"/>
        </w:rPr>
        <w:t xml:space="preserve"> mld. Kč</w:t>
      </w:r>
      <w:r w:rsidR="00C748B7">
        <w:rPr>
          <w:rStyle w:val="K-TextChar"/>
        </w:rPr>
        <w:t>, z toho 4,000 mld. Kč by měl</w:t>
      </w:r>
      <w:r w:rsidR="00517258">
        <w:rPr>
          <w:rStyle w:val="K-TextChar"/>
        </w:rPr>
        <w:t>o</w:t>
      </w:r>
      <w:r w:rsidR="00C748B7">
        <w:rPr>
          <w:rStyle w:val="K-TextChar"/>
        </w:rPr>
        <w:t xml:space="preserve"> být alokovány na investice spojené s</w:t>
      </w:r>
      <w:r w:rsidR="003320C3">
        <w:rPr>
          <w:rStyle w:val="K-TextChar"/>
        </w:rPr>
        <w:t> modernizací distribuce tepla</w:t>
      </w:r>
      <w:r w:rsidR="00517258">
        <w:rPr>
          <w:rStyle w:val="K-TextChar"/>
        </w:rPr>
        <w:t xml:space="preserve"> </w:t>
      </w:r>
      <w:r w:rsidR="00C748B7">
        <w:rPr>
          <w:rStyle w:val="K-TextChar"/>
        </w:rPr>
        <w:t>a 3,660 mld. Kč na investice spojené s</w:t>
      </w:r>
      <w:r w:rsidR="00517258">
        <w:rPr>
          <w:rStyle w:val="K-TextChar"/>
        </w:rPr>
        <w:t> </w:t>
      </w:r>
      <w:r w:rsidR="00C748B7">
        <w:rPr>
          <w:rStyle w:val="K-TextChar"/>
        </w:rPr>
        <w:t>v</w:t>
      </w:r>
      <w:r w:rsidR="00C748B7" w:rsidRPr="00C748B7">
        <w:rPr>
          <w:rStyle w:val="K-TextChar"/>
        </w:rPr>
        <w:t>ýstavb</w:t>
      </w:r>
      <w:r w:rsidR="00C748B7">
        <w:rPr>
          <w:rStyle w:val="K-TextChar"/>
        </w:rPr>
        <w:t>ou</w:t>
      </w:r>
      <w:r w:rsidR="00C748B7" w:rsidRPr="00C748B7">
        <w:rPr>
          <w:rStyle w:val="K-TextChar"/>
        </w:rPr>
        <w:t xml:space="preserve"> nových OZE</w:t>
      </w:r>
      <w:r w:rsidR="00815B4F">
        <w:rPr>
          <w:rStyle w:val="K-TextChar"/>
        </w:rPr>
        <w:t>.</w:t>
      </w:r>
    </w:p>
    <w:p w14:paraId="49E19D06" w14:textId="60C82849" w:rsidR="002E19BA" w:rsidRPr="008F5987" w:rsidRDefault="002E19BA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8F5987">
        <w:rPr>
          <w:rStyle w:val="K-TextChar"/>
        </w:rPr>
        <w:t xml:space="preserve">Celkové investiční výdaje na komponentu lze odhadnout na úrovni </w:t>
      </w:r>
      <w:r w:rsidR="008F5987">
        <w:rPr>
          <w:rStyle w:val="K-TextChar"/>
        </w:rPr>
        <w:t>(</w:t>
      </w:r>
      <w:proofErr w:type="spellStart"/>
      <w:r w:rsidR="008F5987" w:rsidRPr="008F5987">
        <w:rPr>
          <w:rStyle w:val="K-TextChar"/>
          <w:highlight w:val="yellow"/>
        </w:rPr>
        <w:t>xxx</w:t>
      </w:r>
      <w:proofErr w:type="spellEnd"/>
      <w:r w:rsidR="008F5987">
        <w:rPr>
          <w:rStyle w:val="K-TextChar"/>
        </w:rPr>
        <w:t>)</w:t>
      </w:r>
      <w:r w:rsidRPr="008F5987">
        <w:rPr>
          <w:rStyle w:val="K-TextChar"/>
        </w:rPr>
        <w:t xml:space="preserve"> mld. Kč.</w:t>
      </w:r>
    </w:p>
    <w:p w14:paraId="6F51D022" w14:textId="02081A56" w:rsidR="002E19BA" w:rsidRPr="008F5987" w:rsidRDefault="002E19BA" w:rsidP="006F1BE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Style w:val="K-TextChar"/>
        </w:rPr>
      </w:pPr>
      <w:r w:rsidRPr="008F5987">
        <w:rPr>
          <w:rStyle w:val="K-TextChar"/>
        </w:rPr>
        <w:t xml:space="preserve">Veškeré projekty uvedené projekty budou </w:t>
      </w:r>
      <w:proofErr w:type="spellStart"/>
      <w:r w:rsidRPr="008F5987">
        <w:rPr>
          <w:rStyle w:val="K-TextChar"/>
        </w:rPr>
        <w:t>zasmluvněny</w:t>
      </w:r>
      <w:proofErr w:type="spellEnd"/>
      <w:r w:rsidRPr="008F5987">
        <w:rPr>
          <w:rStyle w:val="K-TextChar"/>
        </w:rPr>
        <w:t xml:space="preserve"> nejpozději ve </w:t>
      </w:r>
      <w:r w:rsidR="008F5987">
        <w:rPr>
          <w:rStyle w:val="K-TextChar"/>
        </w:rPr>
        <w:t>(</w:t>
      </w:r>
      <w:proofErr w:type="spellStart"/>
      <w:r w:rsidR="008F5987" w:rsidRPr="008F5987">
        <w:rPr>
          <w:rStyle w:val="K-TextChar"/>
          <w:highlight w:val="yellow"/>
        </w:rPr>
        <w:t>xxx</w:t>
      </w:r>
      <w:proofErr w:type="spellEnd"/>
      <w:r w:rsidR="008F5987">
        <w:rPr>
          <w:rStyle w:val="K-TextChar"/>
        </w:rPr>
        <w:t>)</w:t>
      </w:r>
      <w:r w:rsidRPr="008F5987">
        <w:rPr>
          <w:rStyle w:val="K-TextChar"/>
        </w:rPr>
        <w:t>.</w:t>
      </w:r>
    </w:p>
    <w:p w14:paraId="124215C3" w14:textId="67A6E2AB" w:rsidR="0015052B" w:rsidRDefault="0015052B" w:rsidP="0015052B">
      <w:pPr>
        <w:pStyle w:val="K-Nadpis3"/>
      </w:pPr>
      <w:r w:rsidRPr="000C0598">
        <w:t xml:space="preserve">a) </w:t>
      </w:r>
      <w:r w:rsidR="00095EBD">
        <w:t>Detail</w:t>
      </w:r>
      <w:r>
        <w:t xml:space="preserve"> komponenty</w:t>
      </w:r>
    </w:p>
    <w:p w14:paraId="0C49842E" w14:textId="733337C8" w:rsidR="0015052B" w:rsidRDefault="0015052B" w:rsidP="0015052B">
      <w:pPr>
        <w:pStyle w:val="K-TextInfo"/>
      </w:pPr>
      <w:r w:rsidRPr="00ED337B">
        <w:t>&lt;Prosíme</w:t>
      </w:r>
      <w:r>
        <w:t xml:space="preserve"> o podrobný popis komponenty.</w:t>
      </w:r>
      <w:r w:rsidRPr="00ED337B">
        <w:t>&gt;</w:t>
      </w:r>
    </w:p>
    <w:p w14:paraId="4F8549EC" w14:textId="71722D37" w:rsidR="008F5987" w:rsidRDefault="0015052B" w:rsidP="009D4582">
      <w:pPr>
        <w:pStyle w:val="K-Text"/>
        <w:rPr>
          <w:highlight w:val="cyan"/>
        </w:rPr>
      </w:pPr>
      <w:r w:rsidRPr="008F5987">
        <w:t>Komponenta bude naplněna rea</w:t>
      </w:r>
      <w:r w:rsidRPr="00AB741A">
        <w:t xml:space="preserve">lizací investičních projektů. </w:t>
      </w:r>
      <w:r w:rsidR="008F5987" w:rsidRPr="00AB741A">
        <w:t>Hlavním cílem komponenty je</w:t>
      </w:r>
      <w:r w:rsidR="00CC7C5F">
        <w:t xml:space="preserve"> další rozvoj obnovitelných zdrojů energie a modernizace rozvodů tepelná energie. Oba tyto hlavní cíle jsou zasazeny do širšího rámce strategie </w:t>
      </w:r>
      <w:r w:rsidR="009D4582">
        <w:t xml:space="preserve">transformace energetického sektoru, které jsou popsány detailněji níže. </w:t>
      </w:r>
      <w:r w:rsidR="008F5987" w:rsidRPr="00AB741A">
        <w:t>Projekty budou d</w:t>
      </w:r>
      <w:r w:rsidR="008F5987">
        <w:t>ominantně realizovány skrze soukromé subjekty.</w:t>
      </w:r>
      <w:r w:rsidR="00196474">
        <w:t xml:space="preserve"> Implementace bude zajištěna </w:t>
      </w:r>
      <w:r w:rsidR="009D4582">
        <w:t>skrze Ministerstvo průmyslu a obchodu, které nyní administruje O</w:t>
      </w:r>
      <w:r w:rsidR="009D4582" w:rsidRPr="009D4582">
        <w:t>perační program podnikání a inovace pro konkurenceschopnost</w:t>
      </w:r>
      <w:r w:rsidR="009D4582">
        <w:t xml:space="preserve"> (OPPIK) v novém programové období bude administrovat </w:t>
      </w:r>
      <w:r w:rsidR="009D4582" w:rsidRPr="009D4582">
        <w:t xml:space="preserve">Operační program </w:t>
      </w:r>
      <w:r w:rsidR="009D4582">
        <w:t xml:space="preserve">technologie </w:t>
      </w:r>
      <w:r w:rsidR="009D4582" w:rsidRPr="009D4582">
        <w:t>pro konkurenceschopnost</w:t>
      </w:r>
      <w:r w:rsidR="009D4582">
        <w:t xml:space="preserve"> (OPTAK)</w:t>
      </w:r>
      <w:r w:rsidR="009D4582" w:rsidRPr="009D4582">
        <w:t>.</w:t>
      </w:r>
      <w:r w:rsidR="009D4582">
        <w:t xml:space="preserve"> V rámci programu OPPIK byly již obdobné projekty financovány, takže zde existuje dostatečné institucionální a odborné zázemí. </w:t>
      </w:r>
      <w:r w:rsidR="00F174B1" w:rsidRPr="00F174B1">
        <w:rPr>
          <w:highlight w:val="yellow"/>
        </w:rPr>
        <w:t>V rámci přípravy Národního plánu obnovy byl již také již proveden určitý indikativní/nezávazný sběr projektů, ze kterého je možné si udělat obrázek o struktuře projektů a potenciálních žadatelích.</w:t>
      </w:r>
      <w:r w:rsidR="00F174B1">
        <w:t xml:space="preserve"> </w:t>
      </w:r>
      <w:r w:rsidRPr="008F5987">
        <w:t xml:space="preserve">Komponenta </w:t>
      </w:r>
      <w:r w:rsidR="008F5987" w:rsidRPr="008F5987">
        <w:t xml:space="preserve">je </w:t>
      </w:r>
      <w:r w:rsidRPr="008F5987">
        <w:t xml:space="preserve">úzce </w:t>
      </w:r>
      <w:r w:rsidR="008F5987" w:rsidRPr="008F5987">
        <w:t>propojena s </w:t>
      </w:r>
      <w:r w:rsidRPr="008F5987">
        <w:t>komponen</w:t>
      </w:r>
      <w:r w:rsidR="008F5987" w:rsidRPr="008F5987">
        <w:t>tou 2.2 Snižování spotřeby energie.</w:t>
      </w:r>
      <w:r w:rsidR="00F174B1">
        <w:t xml:space="preserve"> </w:t>
      </w:r>
    </w:p>
    <w:p w14:paraId="1E505E7D" w14:textId="3A090759" w:rsidR="002C20CF" w:rsidRPr="00ED337B" w:rsidRDefault="002C20CF" w:rsidP="002C4FCC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ED337B">
        <w:rPr>
          <w:rFonts w:ascii="Times New Roman" w:hAnsi="Times New Roman" w:cs="Times New Roman"/>
          <w:sz w:val="28"/>
          <w:szCs w:val="28"/>
        </w:rPr>
        <w:t xml:space="preserve">2. </w:t>
      </w:r>
      <w:r w:rsidR="00EF374D" w:rsidRPr="00ED337B">
        <w:rPr>
          <w:rStyle w:val="K-Nadpis2Char"/>
          <w:b/>
        </w:rPr>
        <w:t>Hlavní výzvy a cíle</w:t>
      </w:r>
    </w:p>
    <w:p w14:paraId="4357DEF3" w14:textId="2576BBBD" w:rsidR="002C20CF" w:rsidRPr="00ED337B" w:rsidRDefault="002C20CF" w:rsidP="00CE0581">
      <w:pPr>
        <w:pStyle w:val="Default"/>
        <w:spacing w:after="120"/>
        <w:jc w:val="both"/>
        <w:rPr>
          <w:b/>
        </w:rPr>
      </w:pPr>
      <w:r w:rsidRPr="00ED337B">
        <w:rPr>
          <w:rStyle w:val="K-Nadpis3Char"/>
        </w:rPr>
        <w:t xml:space="preserve">a) </w:t>
      </w:r>
      <w:r w:rsidR="00EF374D" w:rsidRPr="00ED337B">
        <w:rPr>
          <w:rStyle w:val="K-Nadpis3Char"/>
        </w:rPr>
        <w:t>Hlavní výzvy</w:t>
      </w:r>
    </w:p>
    <w:p w14:paraId="5D96D619" w14:textId="7ACB0F68" w:rsidR="00853D84" w:rsidRDefault="00853D84" w:rsidP="00853D84">
      <w:pPr>
        <w:pStyle w:val="K-Text"/>
      </w:pPr>
      <w:r w:rsidRPr="00880A08">
        <w:lastRenderedPageBreak/>
        <w:t xml:space="preserve">Energetika ČR je stále založena ve velké míře na spalování fosilních paliv, s čímž souvisí vysoký podíl na celkových emisích skleníkových plynů. V roce 2018 bylo spalování paliv v sektoru energetiky spojeno s přibližně 51 mil. tun emisní skleníkových plynů v porovnání s celkovými 133 mil. tun. (zdroj NIR). </w:t>
      </w:r>
      <w:r>
        <w:t>Hlavní</w:t>
      </w:r>
      <w:r w:rsidR="004379D1">
        <w:t xml:space="preserve"> výzvou</w:t>
      </w:r>
      <w:r>
        <w:t xml:space="preserve"> je tedy dílčí t</w:t>
      </w:r>
      <w:r w:rsidRPr="00880A08">
        <w:t>ransformace energetiky ve smyslu přechodu na bezemisní zdroje je důležitým nástrojem pro snížení emisní skleníkových plynů, ale také dalších polutantů. Zajištění dekarbonizace elektřiny a tepla je také důležitou podmínkou pro dekarbonizac</w:t>
      </w:r>
      <w:r>
        <w:t>i</w:t>
      </w:r>
      <w:r w:rsidRPr="00880A08">
        <w:t xml:space="preserve"> dalších odvětví.</w:t>
      </w:r>
    </w:p>
    <w:p w14:paraId="1EEEE9C7" w14:textId="4D5283B9" w:rsidR="00512795" w:rsidRDefault="00512795" w:rsidP="00853D84">
      <w:pPr>
        <w:pStyle w:val="K-Text"/>
        <w:rPr>
          <w:b/>
        </w:rPr>
      </w:pPr>
      <w:r w:rsidRPr="00512795">
        <w:rPr>
          <w:b/>
        </w:rPr>
        <w:t>Modernizace distribuce tepla</w:t>
      </w:r>
    </w:p>
    <w:p w14:paraId="7194326F" w14:textId="1877EED5" w:rsidR="00512795" w:rsidRPr="00512795" w:rsidRDefault="00512795" w:rsidP="019E66D3">
      <w:pPr>
        <w:pStyle w:val="K-Text"/>
        <w:rPr>
          <w:rFonts w:eastAsia="Times New Roman"/>
        </w:rPr>
      </w:pPr>
      <w:r w:rsidRPr="019E66D3">
        <w:rPr>
          <w:rFonts w:eastAsia="Times New Roman"/>
        </w:rPr>
        <w:t xml:space="preserve">ČR disponuje relativně rozsáhlou sítí rozvodů tepelné energie v celkové délce cca 7,5 tis. km. Část rozvodů tepla je však stále tvořena neefektivních parních rozvodů s relativně vysokými ztrátami tepla (viz </w:t>
      </w:r>
      <w:r>
        <w:fldChar w:fldCharType="begin"/>
      </w:r>
      <w:r>
        <w:instrText xml:space="preserve"> REF _Ref59115241 \h  \* MERGEFORMAT </w:instrText>
      </w:r>
      <w:r>
        <w:fldChar w:fldCharType="separate"/>
      </w:r>
      <w:r w:rsidRPr="019E66D3">
        <w:rPr>
          <w:sz w:val="22"/>
          <w:szCs w:val="22"/>
        </w:rPr>
        <w:t xml:space="preserve">Tabulka č. </w:t>
      </w:r>
      <w:r w:rsidRPr="019E66D3">
        <w:rPr>
          <w:noProof/>
          <w:sz w:val="22"/>
          <w:szCs w:val="22"/>
        </w:rPr>
        <w:t>1</w:t>
      </w:r>
      <w:r>
        <w:fldChar w:fldCharType="end"/>
      </w:r>
      <w:r w:rsidRPr="019E66D3">
        <w:rPr>
          <w:rFonts w:eastAsia="Times New Roman"/>
        </w:rPr>
        <w:t>). Ze historického vývoje licencí na rozvod tepelné energie vyplývá postupný pokles délky parních a teplovodních rozvodů, který indikuje postupnou modernizaci teplárenských soustav a postupný nárůst délky horkovodních rozvodů. Náhrada parních rozvodů moderními horkovodními</w:t>
      </w:r>
      <w:r w:rsidR="00B46778" w:rsidRPr="019E66D3">
        <w:rPr>
          <w:rFonts w:eastAsia="Times New Roman"/>
        </w:rPr>
        <w:t>, respektive teplovodními,</w:t>
      </w:r>
      <w:r w:rsidRPr="019E66D3">
        <w:rPr>
          <w:rFonts w:eastAsia="Times New Roman"/>
        </w:rPr>
        <w:t xml:space="preserve"> rozvody z předizolovaného potrubí je spojena s nezanedbatelnými úsporami primárních energetických </w:t>
      </w:r>
      <w:r w:rsidR="00B46778" w:rsidRPr="019E66D3">
        <w:rPr>
          <w:rFonts w:eastAsia="Times New Roman"/>
        </w:rPr>
        <w:t>zdrojů,</w:t>
      </w:r>
      <w:r w:rsidRPr="019E66D3">
        <w:rPr>
          <w:rFonts w:eastAsia="Times New Roman"/>
        </w:rPr>
        <w:t xml:space="preserve"> a tedy nepřímo s poklesem emisí skleníkových plynů, respektive dalších znečišťujících látek (v</w:t>
      </w:r>
      <w:r w:rsidR="00B46778" w:rsidRPr="019E66D3">
        <w:rPr>
          <w:rFonts w:eastAsia="Times New Roman"/>
        </w:rPr>
        <w:t> </w:t>
      </w:r>
      <w:r w:rsidRPr="019E66D3">
        <w:rPr>
          <w:rFonts w:eastAsia="Times New Roman"/>
        </w:rPr>
        <w:t xml:space="preserve">návaznosti na druhu spalovaného paliva ve zdroji v dané </w:t>
      </w:r>
      <w:r w:rsidR="00B46778" w:rsidRPr="019E66D3">
        <w:rPr>
          <w:rFonts w:eastAsia="Times New Roman"/>
        </w:rPr>
        <w:t>soustavě</w:t>
      </w:r>
      <w:r w:rsidRPr="019E66D3">
        <w:rPr>
          <w:rFonts w:eastAsia="Times New Roman"/>
        </w:rPr>
        <w:t>).</w:t>
      </w:r>
      <w:r w:rsidR="00B46778" w:rsidRPr="019E66D3">
        <w:rPr>
          <w:rFonts w:eastAsia="Times New Roman"/>
        </w:rPr>
        <w:t xml:space="preserve"> Jak je tedy patrné z uvedených údajů, tak stále zbývá modernizovat přibližně 1 400 km parních rozvodů. Za hlavní výzvu je tedy možné označit modernizaci rozvodů teplené energie, a to v co nejkratším možném čase, tak aby případně nové zdroje nahrazující uhelné zdroje mohly být již optimálně dimenzovány na modernizované rozvody tepla. </w:t>
      </w:r>
      <w:r w:rsidR="00F174B1" w:rsidRPr="019E66D3">
        <w:rPr>
          <w:rFonts w:eastAsia="Times New Roman"/>
        </w:rPr>
        <w:t>V tomto je tedy možné vnímat určité selhání trhu, respektive modernizace rozvodů tepla by asi mohla probíhat na tržní bázi, ale byla by zcela jistě dlouhodobější, i vzhledem k investičnímu cyklu a existovalo by zde poměrně významné riziko, že by modernizace zdroje, respektive náhrada zdroje spalujícího uhlí předběhla modernizaci rozvodu tepla, což by vedlo k potenciálně neefektivnímu naddimenzování daného zdroje. Hlavním cílem je tedy urychlení modernizace rozvodů tepla, tak aby tato modernizace zapadala do celkové strategie dekarbonizace teplárenství.</w:t>
      </w:r>
    </w:p>
    <w:p w14:paraId="63AF2F65" w14:textId="5AAA7E95" w:rsidR="00512795" w:rsidRPr="00474168" w:rsidRDefault="00512795" w:rsidP="00512795">
      <w:pPr>
        <w:pStyle w:val="Titulek"/>
        <w:keepNext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_Ref59115241"/>
      <w:bookmarkStart w:id="1" w:name="_Toc45550942"/>
      <w:bookmarkStart w:id="2" w:name="_Ref59182647"/>
      <w:r w:rsidRPr="00474168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Tabulka č. </w:t>
      </w:r>
      <w:r w:rsidRPr="00474168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fldChar w:fldCharType="begin"/>
      </w:r>
      <w:r w:rsidRPr="00474168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instrText xml:space="preserve"> SEQ Tabulka_č. \* ARABIC </w:instrText>
      </w:r>
      <w:r w:rsidRPr="00474168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fldChar w:fldCharType="separate"/>
      </w:r>
      <w:r>
        <w:rPr>
          <w:rFonts w:ascii="Times New Roman" w:hAnsi="Times New Roman" w:cs="Times New Roman"/>
          <w:b/>
          <w:i w:val="0"/>
          <w:noProof/>
          <w:color w:val="auto"/>
          <w:sz w:val="22"/>
          <w:szCs w:val="22"/>
        </w:rPr>
        <w:t>1</w:t>
      </w:r>
      <w:r w:rsidRPr="00474168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fldChar w:fldCharType="end"/>
      </w:r>
      <w:bookmarkEnd w:id="0"/>
      <w:r w:rsidRPr="00474168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:</w:t>
      </w:r>
      <w:r w:rsidRPr="00474168">
        <w:rPr>
          <w:rFonts w:ascii="Times New Roman" w:hAnsi="Times New Roman" w:cs="Times New Roman"/>
          <w:color w:val="auto"/>
          <w:sz w:val="22"/>
          <w:szCs w:val="22"/>
        </w:rPr>
        <w:t xml:space="preserve"> Vývoj délky rozvo</w:t>
      </w:r>
      <w:r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474168">
        <w:rPr>
          <w:rFonts w:ascii="Times New Roman" w:hAnsi="Times New Roman" w:cs="Times New Roman"/>
          <w:color w:val="auto"/>
          <w:sz w:val="22"/>
          <w:szCs w:val="22"/>
        </w:rPr>
        <w:t>ů tepla (dle licencí na výrobu tepla) v období 2014-2018 (v km)</w:t>
      </w:r>
      <w:bookmarkEnd w:id="1"/>
      <w:bookmarkEnd w:id="2"/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03"/>
        <w:gridCol w:w="1601"/>
        <w:gridCol w:w="1601"/>
        <w:gridCol w:w="1601"/>
        <w:gridCol w:w="1601"/>
        <w:gridCol w:w="1601"/>
      </w:tblGrid>
      <w:tr w:rsidR="00512795" w14:paraId="709D900F" w14:textId="77777777" w:rsidTr="004379D1">
        <w:tc>
          <w:tcPr>
            <w:tcW w:w="16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5EE5965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3E86E27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12795">
              <w:rPr>
                <w:rFonts w:ascii="Times New Roman" w:hAnsi="Times New Roman" w:cs="Times New Roman"/>
                <w:b/>
              </w:rPr>
              <w:t>2014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6D6AEAC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12795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4F7FAE4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12795">
              <w:rPr>
                <w:rFonts w:ascii="Times New Roman" w:hAnsi="Times New Roman" w:cs="Times New Roman"/>
                <w:b/>
              </w:rPr>
              <w:t>2016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860C0C9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12795">
              <w:rPr>
                <w:rFonts w:ascii="Times New Roman" w:hAnsi="Times New Roman" w:cs="Times New Roman"/>
                <w:b/>
              </w:rPr>
              <w:t>2017</w:t>
            </w:r>
          </w:p>
        </w:tc>
        <w:tc>
          <w:tcPr>
            <w:tcW w:w="16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2D0D58F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  <w:b/>
              </w:rPr>
            </w:pPr>
            <w:r w:rsidRPr="00512795">
              <w:rPr>
                <w:rFonts w:ascii="Times New Roman" w:hAnsi="Times New Roman" w:cs="Times New Roman"/>
                <w:b/>
              </w:rPr>
              <w:t>2018</w:t>
            </w:r>
          </w:p>
        </w:tc>
      </w:tr>
      <w:tr w:rsidR="00512795" w14:paraId="3AC0735A" w14:textId="77777777" w:rsidTr="004379D1">
        <w:tc>
          <w:tcPr>
            <w:tcW w:w="1603" w:type="dxa"/>
            <w:tcBorders>
              <w:top w:val="single" w:sz="12" w:space="0" w:color="auto"/>
            </w:tcBorders>
          </w:tcPr>
          <w:p w14:paraId="67AC89BB" w14:textId="77777777" w:rsidR="00512795" w:rsidRPr="00512795" w:rsidRDefault="00512795" w:rsidP="004379D1">
            <w:pPr>
              <w:spacing w:before="60" w:after="60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Parní</w:t>
            </w:r>
          </w:p>
        </w:tc>
        <w:tc>
          <w:tcPr>
            <w:tcW w:w="1601" w:type="dxa"/>
            <w:tcBorders>
              <w:top w:val="single" w:sz="12" w:space="0" w:color="auto"/>
            </w:tcBorders>
          </w:tcPr>
          <w:p w14:paraId="612CB58E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1 470,6</w:t>
            </w:r>
          </w:p>
        </w:tc>
        <w:tc>
          <w:tcPr>
            <w:tcW w:w="1601" w:type="dxa"/>
            <w:tcBorders>
              <w:top w:val="single" w:sz="12" w:space="0" w:color="auto"/>
            </w:tcBorders>
          </w:tcPr>
          <w:p w14:paraId="0B3DF4A3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1 452,2</w:t>
            </w:r>
          </w:p>
        </w:tc>
        <w:tc>
          <w:tcPr>
            <w:tcW w:w="1601" w:type="dxa"/>
            <w:tcBorders>
              <w:top w:val="single" w:sz="12" w:space="0" w:color="auto"/>
            </w:tcBorders>
          </w:tcPr>
          <w:p w14:paraId="62DEC1D7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1 425,7</w:t>
            </w:r>
          </w:p>
        </w:tc>
        <w:tc>
          <w:tcPr>
            <w:tcW w:w="1601" w:type="dxa"/>
            <w:tcBorders>
              <w:top w:val="single" w:sz="12" w:space="0" w:color="auto"/>
            </w:tcBorders>
          </w:tcPr>
          <w:p w14:paraId="16BF50E4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1 419,3</w:t>
            </w:r>
          </w:p>
        </w:tc>
        <w:tc>
          <w:tcPr>
            <w:tcW w:w="1601" w:type="dxa"/>
            <w:tcBorders>
              <w:top w:val="single" w:sz="12" w:space="0" w:color="auto"/>
            </w:tcBorders>
          </w:tcPr>
          <w:p w14:paraId="448EF100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1 385,9</w:t>
            </w:r>
          </w:p>
        </w:tc>
      </w:tr>
      <w:tr w:rsidR="00512795" w14:paraId="5D2EC433" w14:textId="77777777" w:rsidTr="004379D1">
        <w:tc>
          <w:tcPr>
            <w:tcW w:w="1603" w:type="dxa"/>
          </w:tcPr>
          <w:p w14:paraId="0416222F" w14:textId="77777777" w:rsidR="00512795" w:rsidRPr="00512795" w:rsidRDefault="00512795" w:rsidP="004379D1">
            <w:pPr>
              <w:spacing w:before="60" w:after="60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Teplovodní</w:t>
            </w:r>
          </w:p>
        </w:tc>
        <w:tc>
          <w:tcPr>
            <w:tcW w:w="1601" w:type="dxa"/>
          </w:tcPr>
          <w:p w14:paraId="602A1A6C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3 509,1</w:t>
            </w:r>
          </w:p>
        </w:tc>
        <w:tc>
          <w:tcPr>
            <w:tcW w:w="1601" w:type="dxa"/>
          </w:tcPr>
          <w:p w14:paraId="4A4487A9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3 439,8</w:t>
            </w:r>
          </w:p>
        </w:tc>
        <w:tc>
          <w:tcPr>
            <w:tcW w:w="1601" w:type="dxa"/>
          </w:tcPr>
          <w:p w14:paraId="421543D9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3 449,1</w:t>
            </w:r>
          </w:p>
        </w:tc>
        <w:tc>
          <w:tcPr>
            <w:tcW w:w="1601" w:type="dxa"/>
          </w:tcPr>
          <w:p w14:paraId="44D8B36C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3 442,4</w:t>
            </w:r>
          </w:p>
        </w:tc>
        <w:tc>
          <w:tcPr>
            <w:tcW w:w="1601" w:type="dxa"/>
          </w:tcPr>
          <w:p w14:paraId="48681D09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3 460,4</w:t>
            </w:r>
          </w:p>
        </w:tc>
      </w:tr>
      <w:tr w:rsidR="00512795" w14:paraId="1F74F337" w14:textId="77777777" w:rsidTr="004379D1">
        <w:tc>
          <w:tcPr>
            <w:tcW w:w="1603" w:type="dxa"/>
          </w:tcPr>
          <w:p w14:paraId="6629C1E0" w14:textId="77777777" w:rsidR="00512795" w:rsidRPr="00512795" w:rsidRDefault="00512795" w:rsidP="004379D1">
            <w:pPr>
              <w:spacing w:before="60" w:after="60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Horkovodní</w:t>
            </w:r>
          </w:p>
        </w:tc>
        <w:tc>
          <w:tcPr>
            <w:tcW w:w="1601" w:type="dxa"/>
          </w:tcPr>
          <w:p w14:paraId="6AFF970C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2 732,8</w:t>
            </w:r>
          </w:p>
        </w:tc>
        <w:tc>
          <w:tcPr>
            <w:tcW w:w="1601" w:type="dxa"/>
          </w:tcPr>
          <w:p w14:paraId="6A529E0B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2 602,5</w:t>
            </w:r>
          </w:p>
        </w:tc>
        <w:tc>
          <w:tcPr>
            <w:tcW w:w="1601" w:type="dxa"/>
          </w:tcPr>
          <w:p w14:paraId="7E860168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2 633,2</w:t>
            </w:r>
          </w:p>
        </w:tc>
        <w:tc>
          <w:tcPr>
            <w:tcW w:w="1601" w:type="dxa"/>
          </w:tcPr>
          <w:p w14:paraId="75F0E4D2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2 641,8</w:t>
            </w:r>
          </w:p>
        </w:tc>
        <w:tc>
          <w:tcPr>
            <w:tcW w:w="1601" w:type="dxa"/>
          </w:tcPr>
          <w:p w14:paraId="358737D0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2 648,2</w:t>
            </w:r>
          </w:p>
        </w:tc>
      </w:tr>
      <w:tr w:rsidR="00512795" w14:paraId="21621C64" w14:textId="77777777" w:rsidTr="004379D1">
        <w:tc>
          <w:tcPr>
            <w:tcW w:w="1603" w:type="dxa"/>
          </w:tcPr>
          <w:p w14:paraId="64A357D9" w14:textId="77777777" w:rsidR="00512795" w:rsidRPr="00512795" w:rsidRDefault="00512795" w:rsidP="004379D1">
            <w:pPr>
              <w:spacing w:before="60" w:after="60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Celkem</w:t>
            </w:r>
          </w:p>
        </w:tc>
        <w:tc>
          <w:tcPr>
            <w:tcW w:w="1601" w:type="dxa"/>
          </w:tcPr>
          <w:p w14:paraId="696E1BFC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7 172,5</w:t>
            </w:r>
          </w:p>
        </w:tc>
        <w:tc>
          <w:tcPr>
            <w:tcW w:w="1601" w:type="dxa"/>
          </w:tcPr>
          <w:p w14:paraId="403491ED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7 494,5</w:t>
            </w:r>
          </w:p>
        </w:tc>
        <w:tc>
          <w:tcPr>
            <w:tcW w:w="1601" w:type="dxa"/>
          </w:tcPr>
          <w:p w14:paraId="3BCF02D8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7 508,0</w:t>
            </w:r>
          </w:p>
        </w:tc>
        <w:tc>
          <w:tcPr>
            <w:tcW w:w="1601" w:type="dxa"/>
          </w:tcPr>
          <w:p w14:paraId="0FACF8D4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7 503,6</w:t>
            </w:r>
          </w:p>
        </w:tc>
        <w:tc>
          <w:tcPr>
            <w:tcW w:w="1601" w:type="dxa"/>
          </w:tcPr>
          <w:p w14:paraId="79D2A71E" w14:textId="77777777" w:rsidR="00512795" w:rsidRPr="00512795" w:rsidRDefault="00512795" w:rsidP="004379D1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12795">
              <w:rPr>
                <w:rFonts w:ascii="Times New Roman" w:hAnsi="Times New Roman" w:cs="Times New Roman"/>
              </w:rPr>
              <w:t>7 494,5</w:t>
            </w:r>
          </w:p>
        </w:tc>
      </w:tr>
    </w:tbl>
    <w:p w14:paraId="4C4AE885" w14:textId="77777777" w:rsidR="00512795" w:rsidRPr="00512795" w:rsidRDefault="00512795" w:rsidP="00512795">
      <w:pPr>
        <w:spacing w:before="200" w:after="200"/>
        <w:jc w:val="right"/>
        <w:rPr>
          <w:rFonts w:ascii="Times New Roman" w:hAnsi="Times New Roman" w:cs="Times New Roman"/>
          <w:i/>
          <w:sz w:val="23"/>
          <w:szCs w:val="23"/>
        </w:rPr>
      </w:pPr>
      <w:r w:rsidRPr="00512795">
        <w:rPr>
          <w:rFonts w:ascii="Times New Roman" w:hAnsi="Times New Roman" w:cs="Times New Roman"/>
          <w:i/>
          <w:sz w:val="23"/>
          <w:szCs w:val="23"/>
        </w:rPr>
        <w:t>Zdroj: Aktuální situace v teplárenství ČR (TS ČR) na základě statistiky licencí (ERÚ)</w:t>
      </w:r>
    </w:p>
    <w:p w14:paraId="1596DA93" w14:textId="0613121A" w:rsidR="00512795" w:rsidRDefault="00CC7C5F" w:rsidP="0081234F">
      <w:pPr>
        <w:pStyle w:val="K-Text"/>
        <w:spacing w:line="276" w:lineRule="auto"/>
        <w:rPr>
          <w:b/>
        </w:rPr>
      </w:pPr>
      <w:r w:rsidRPr="00CC7C5F">
        <w:rPr>
          <w:rStyle w:val="K-TextChar"/>
          <w:b/>
        </w:rPr>
        <w:t>Výstavba nových OZE</w:t>
      </w:r>
    </w:p>
    <w:p w14:paraId="194DC879" w14:textId="197FE68A" w:rsidR="00B463E1" w:rsidRDefault="004379D1" w:rsidP="0081234F">
      <w:pPr>
        <w:pStyle w:val="K-Text"/>
        <w:spacing w:line="276" w:lineRule="auto"/>
      </w:pPr>
      <w:r w:rsidRPr="004379D1">
        <w:t xml:space="preserve">Ve střednědobém období </w:t>
      </w:r>
      <w:r>
        <w:t>bude docházet k relativně významnému útlumu konvenčních energetických zdrojů, k tomuto útlumu již částečně dochází. Tento útlum je spojen s postupným „dosluhováním“ zejména uhelných elektráren, které byly spuštěny v 70.-80. letech 20. století, a to i v kontextu zpřísňujících se požadavků na emise znečišťujících látek, ale i ekonomického tlaku skrze emisní povolenky. Bližší informace lze mimo jiné nalézt v hodnocení zdrojové přiměřenosti, které zpracovává provozovatel přenosové soustavy ČR.</w:t>
      </w:r>
      <w:r>
        <w:rPr>
          <w:rStyle w:val="Znakapoznpodarou"/>
        </w:rPr>
        <w:footnoteReference w:id="2"/>
      </w:r>
      <w:r w:rsidR="0081234F">
        <w:t xml:space="preserve"> V tomto smyslu je nutné zajistit dostatečnou náhradu zdrojů, tak </w:t>
      </w:r>
      <w:r w:rsidR="0081234F">
        <w:lastRenderedPageBreak/>
        <w:t>aby byla zachována alespoň dílčí soběstačnost ČR a zejména bezpečnost provozu elektrizační soustavy ČR.</w:t>
      </w:r>
    </w:p>
    <w:p w14:paraId="3F821059" w14:textId="33FD2B46" w:rsidR="004379D1" w:rsidRPr="004379D1" w:rsidRDefault="004379D1" w:rsidP="0081234F">
      <w:pPr>
        <w:pStyle w:val="K-Text"/>
        <w:spacing w:line="276" w:lineRule="auto"/>
      </w:pPr>
      <w:r>
        <w:t xml:space="preserve">Na konci roku 2020 také došlo ke shodě na úrovni Uhelné komise ČR na doporučení roku útlumu využití uhlí v roce 2038. Pokud vláda ČR toto doporučení schválí bude </w:t>
      </w:r>
      <w:r w:rsidR="0081234F">
        <w:t xml:space="preserve">zajištění dostatečnosti zdrojů ještě urgentnější výzvou. Hlavní cíle a související politiky a opatření v oblasti rozvoje OZE do roku 2030 jsou uvedeny ve Vnitrostátním plánu ČR v oblasti energetiky a klimatu. Za hlavní výzvu je tedy možné označit zajištění dostatečného rozvoje obnovitelných zdrojů energie, tak aby byla alespoň dílčím způsobem vykompenzován výpadek stávajících konvenčních zdrojů a zároveň splněny závazky v oblasti snižování emisní skleníkových látek. </w:t>
      </w:r>
    </w:p>
    <w:p w14:paraId="75616F84" w14:textId="77777777" w:rsidR="002C20CF" w:rsidRPr="00ED337B" w:rsidRDefault="002C20CF" w:rsidP="00154B73">
      <w:pPr>
        <w:pStyle w:val="K-Nadpis3"/>
      </w:pPr>
      <w:r w:rsidRPr="00ED337B">
        <w:t xml:space="preserve">b) </w:t>
      </w:r>
      <w:r w:rsidR="00EF374D" w:rsidRPr="00ED337B">
        <w:t>Cíle</w:t>
      </w:r>
      <w:r w:rsidRPr="00ED337B">
        <w:t xml:space="preserve"> </w:t>
      </w:r>
    </w:p>
    <w:p w14:paraId="7A526D51" w14:textId="1C9A1B09" w:rsidR="00B463E1" w:rsidRDefault="00B463E1" w:rsidP="00880A08">
      <w:pPr>
        <w:pStyle w:val="00Body"/>
        <w:jc w:val="both"/>
        <w:rPr>
          <w:rFonts w:ascii="Times New Roman" w:hAnsi="Times New Roman"/>
          <w:noProof/>
          <w:sz w:val="23"/>
          <w:szCs w:val="23"/>
          <w:lang w:val="cs-CZ"/>
        </w:rPr>
      </w:pPr>
      <w:r w:rsidRPr="00B463E1">
        <w:rPr>
          <w:rFonts w:ascii="Times New Roman" w:hAnsi="Times New Roman"/>
          <w:noProof/>
          <w:sz w:val="23"/>
          <w:szCs w:val="23"/>
          <w:lang w:val="cs-CZ"/>
        </w:rPr>
        <w:t xml:space="preserve">Hlavní </w:t>
      </w:r>
      <w:r>
        <w:rPr>
          <w:rFonts w:ascii="Times New Roman" w:hAnsi="Times New Roman"/>
          <w:noProof/>
          <w:sz w:val="23"/>
          <w:szCs w:val="23"/>
          <w:lang w:val="cs-CZ"/>
        </w:rPr>
        <w:t>cílem</w:t>
      </w:r>
      <w:r w:rsidRPr="00B463E1">
        <w:rPr>
          <w:rFonts w:ascii="Times New Roman" w:hAnsi="Times New Roman"/>
          <w:noProof/>
          <w:sz w:val="23"/>
          <w:szCs w:val="23"/>
          <w:lang w:val="cs-CZ"/>
        </w:rPr>
        <w:t xml:space="preserve"> komponenty je transformace a energetického sektoru. To znamená záměnu zdrojů na fosilní paliva na nízko-emisní, respektive bezemisní zdroje. Tato komponenta je plně v souladu s energeticko-klimatickou politikou EU, která zakotvuje cíl snížení emisí skleníkových plynů o 40</w:t>
      </w:r>
      <w:r>
        <w:rPr>
          <w:rFonts w:ascii="Times New Roman" w:hAnsi="Times New Roman"/>
          <w:noProof/>
          <w:sz w:val="23"/>
          <w:szCs w:val="23"/>
          <w:lang w:val="cs-CZ"/>
        </w:rPr>
        <w:t> </w:t>
      </w:r>
      <w:r w:rsidRPr="00B463E1">
        <w:rPr>
          <w:rFonts w:ascii="Times New Roman" w:hAnsi="Times New Roman"/>
          <w:noProof/>
          <w:sz w:val="23"/>
          <w:szCs w:val="23"/>
          <w:lang w:val="cs-CZ"/>
        </w:rPr>
        <w:t>% do roku 2030 v</w:t>
      </w:r>
      <w:r>
        <w:rPr>
          <w:rFonts w:ascii="Times New Roman" w:hAnsi="Times New Roman"/>
          <w:noProof/>
          <w:sz w:val="23"/>
          <w:szCs w:val="23"/>
          <w:lang w:val="cs-CZ"/>
        </w:rPr>
        <w:t> </w:t>
      </w:r>
      <w:r w:rsidRPr="00B463E1">
        <w:rPr>
          <w:rFonts w:ascii="Times New Roman" w:hAnsi="Times New Roman"/>
          <w:noProof/>
          <w:sz w:val="23"/>
          <w:szCs w:val="23"/>
          <w:lang w:val="cs-CZ"/>
        </w:rPr>
        <w:t>porovnání s rokem 2005, zvýšení podílu OZE na 32</w:t>
      </w:r>
      <w:r>
        <w:rPr>
          <w:rFonts w:ascii="Times New Roman" w:hAnsi="Times New Roman"/>
          <w:noProof/>
          <w:sz w:val="23"/>
          <w:szCs w:val="23"/>
          <w:lang w:val="cs-CZ"/>
        </w:rPr>
        <w:t> </w:t>
      </w:r>
      <w:r w:rsidRPr="00B463E1">
        <w:rPr>
          <w:rFonts w:ascii="Times New Roman" w:hAnsi="Times New Roman"/>
          <w:noProof/>
          <w:sz w:val="23"/>
          <w:szCs w:val="23"/>
          <w:lang w:val="cs-CZ"/>
        </w:rPr>
        <w:t>% a zvýšení energetické účinnosti na 32,5</w:t>
      </w:r>
      <w:r>
        <w:rPr>
          <w:rFonts w:ascii="Times New Roman" w:hAnsi="Times New Roman"/>
          <w:noProof/>
          <w:sz w:val="23"/>
          <w:szCs w:val="23"/>
          <w:lang w:val="cs-CZ"/>
        </w:rPr>
        <w:t> </w:t>
      </w:r>
      <w:r w:rsidRPr="00B463E1">
        <w:rPr>
          <w:rFonts w:ascii="Times New Roman" w:hAnsi="Times New Roman"/>
          <w:noProof/>
          <w:sz w:val="23"/>
          <w:szCs w:val="23"/>
          <w:lang w:val="cs-CZ"/>
        </w:rPr>
        <w:t>%. Hlavní ambicí komponenty v kvantitativním vyjádření je zvýšit podíl obnovitelných zdrojů na konečné spotřebě do roku 2030 na 22</w:t>
      </w:r>
      <w:r>
        <w:rPr>
          <w:rFonts w:ascii="Times New Roman" w:hAnsi="Times New Roman"/>
          <w:noProof/>
          <w:sz w:val="23"/>
          <w:szCs w:val="23"/>
          <w:lang w:val="cs-CZ"/>
        </w:rPr>
        <w:t> </w:t>
      </w:r>
      <w:r w:rsidRPr="00B463E1">
        <w:rPr>
          <w:rFonts w:ascii="Times New Roman" w:hAnsi="Times New Roman"/>
          <w:noProof/>
          <w:sz w:val="23"/>
          <w:szCs w:val="23"/>
          <w:lang w:val="cs-CZ"/>
        </w:rPr>
        <w:t>% (16,9</w:t>
      </w:r>
      <w:r>
        <w:rPr>
          <w:rFonts w:ascii="Times New Roman" w:hAnsi="Times New Roman"/>
          <w:noProof/>
          <w:sz w:val="23"/>
          <w:szCs w:val="23"/>
          <w:lang w:val="cs-CZ"/>
        </w:rPr>
        <w:t> </w:t>
      </w:r>
      <w:r w:rsidRPr="00B463E1">
        <w:rPr>
          <w:rFonts w:ascii="Times New Roman" w:hAnsi="Times New Roman"/>
          <w:noProof/>
          <w:sz w:val="23"/>
          <w:szCs w:val="23"/>
          <w:lang w:val="cs-CZ"/>
        </w:rPr>
        <w:t>% v sektoru elektroenergetiky, 14,0</w:t>
      </w:r>
      <w:r>
        <w:rPr>
          <w:rFonts w:ascii="Times New Roman" w:hAnsi="Times New Roman"/>
          <w:noProof/>
          <w:sz w:val="23"/>
          <w:szCs w:val="23"/>
          <w:lang w:val="cs-CZ"/>
        </w:rPr>
        <w:t> </w:t>
      </w:r>
      <w:r w:rsidRPr="00B463E1">
        <w:rPr>
          <w:rFonts w:ascii="Times New Roman" w:hAnsi="Times New Roman"/>
          <w:noProof/>
          <w:sz w:val="23"/>
          <w:szCs w:val="23"/>
          <w:lang w:val="cs-CZ"/>
        </w:rPr>
        <w:t>% v sektoru dopravy a 30,7</w:t>
      </w:r>
      <w:r>
        <w:rPr>
          <w:rFonts w:ascii="Times New Roman" w:hAnsi="Times New Roman"/>
          <w:noProof/>
          <w:sz w:val="23"/>
          <w:szCs w:val="23"/>
          <w:lang w:val="cs-CZ"/>
        </w:rPr>
        <w:t> </w:t>
      </w:r>
      <w:r w:rsidRPr="00B463E1">
        <w:rPr>
          <w:rFonts w:ascii="Times New Roman" w:hAnsi="Times New Roman"/>
          <w:noProof/>
          <w:sz w:val="23"/>
          <w:szCs w:val="23"/>
          <w:lang w:val="cs-CZ"/>
        </w:rPr>
        <w:t>% v sektoru vytápění a chlazení) v souladu s Vnitrostátním plánem ČR v oblasti energetiky a klimatu.</w:t>
      </w:r>
    </w:p>
    <w:p w14:paraId="410EC118" w14:textId="0BC76221" w:rsidR="00880A08" w:rsidRDefault="00880A08" w:rsidP="00880A08">
      <w:pPr>
        <w:pStyle w:val="00Body"/>
        <w:jc w:val="both"/>
        <w:rPr>
          <w:rFonts w:ascii="Times New Roman" w:hAnsi="Times New Roman"/>
          <w:noProof/>
          <w:sz w:val="23"/>
          <w:szCs w:val="23"/>
          <w:lang w:val="cs-CZ"/>
        </w:rPr>
      </w:pPr>
      <w:r w:rsidRPr="00AB741A">
        <w:rPr>
          <w:rFonts w:ascii="Times New Roman" w:hAnsi="Times New Roman"/>
          <w:noProof/>
          <w:sz w:val="23"/>
          <w:szCs w:val="23"/>
          <w:lang w:val="cs-CZ"/>
        </w:rPr>
        <w:t xml:space="preserve">Přechod na nízkouhlíkové hospodářství zapadá do celkového kontextu obnovy ekonomiky. Proces obnovení ekonomiky je možné vnímat jako příležitost k dílčí transformaci energetického sektoru, címž by mělo být docíleno také vyšší odolnosti ČR. </w:t>
      </w:r>
      <w:r w:rsidRPr="00880A08">
        <w:rPr>
          <w:rFonts w:ascii="Times New Roman" w:hAnsi="Times New Roman"/>
          <w:noProof/>
          <w:sz w:val="23"/>
          <w:szCs w:val="23"/>
          <w:lang w:val="cs-CZ"/>
        </w:rPr>
        <w:t>Doporučení explicitně uvádějí, že by se členské státy měli zaměřit v rámci investiční hospodářské politiky na přechod na nízkouhlíkové hospodářství a transformaci energetiky. Komponenta tedy reflektuje uveden</w:t>
      </w:r>
      <w:r>
        <w:rPr>
          <w:rFonts w:ascii="Times New Roman" w:hAnsi="Times New Roman"/>
          <w:noProof/>
          <w:sz w:val="23"/>
          <w:szCs w:val="23"/>
          <w:lang w:val="cs-CZ"/>
        </w:rPr>
        <w:t>á</w:t>
      </w:r>
      <w:r w:rsidRPr="00880A08">
        <w:rPr>
          <w:rFonts w:ascii="Times New Roman" w:hAnsi="Times New Roman"/>
          <w:noProof/>
          <w:sz w:val="23"/>
          <w:szCs w:val="23"/>
          <w:lang w:val="cs-CZ"/>
        </w:rPr>
        <w:t xml:space="preserve"> doporučení.</w:t>
      </w:r>
    </w:p>
    <w:p w14:paraId="12E1FD9C" w14:textId="77777777" w:rsidR="00835900" w:rsidRDefault="00835900" w:rsidP="00835900">
      <w:pPr>
        <w:pStyle w:val="K-Text"/>
        <w:rPr>
          <w:b/>
        </w:rPr>
      </w:pPr>
      <w:r w:rsidRPr="00512795">
        <w:rPr>
          <w:b/>
        </w:rPr>
        <w:t>Modernizace distribuce tepla</w:t>
      </w:r>
    </w:p>
    <w:p w14:paraId="4FFC6DAF" w14:textId="43724C38" w:rsidR="00835900" w:rsidRDefault="00835900" w:rsidP="00835900">
      <w:pPr>
        <w:pStyle w:val="K-Text"/>
        <w:spacing w:line="276" w:lineRule="auto"/>
        <w:rPr>
          <w:bCs/>
        </w:rPr>
      </w:pPr>
      <w:r w:rsidRPr="00835900">
        <w:rPr>
          <w:bCs/>
          <w:iCs w:val="0"/>
        </w:rPr>
        <w:fldChar w:fldCharType="begin"/>
      </w:r>
      <w:r w:rsidRPr="00835900">
        <w:rPr>
          <w:bCs/>
          <w:iCs w:val="0"/>
        </w:rPr>
        <w:instrText xml:space="preserve"> REF _Ref59115241 \h  \* MERGEFORMAT </w:instrText>
      </w:r>
      <w:r w:rsidRPr="00835900">
        <w:rPr>
          <w:bCs/>
          <w:iCs w:val="0"/>
        </w:rPr>
      </w:r>
      <w:r w:rsidRPr="00835900">
        <w:rPr>
          <w:bCs/>
          <w:iCs w:val="0"/>
        </w:rPr>
        <w:fldChar w:fldCharType="separate"/>
      </w:r>
      <w:r w:rsidRPr="00835900">
        <w:rPr>
          <w:bCs/>
        </w:rPr>
        <w:t>Tabulka č. 1</w:t>
      </w:r>
      <w:r w:rsidRPr="00835900">
        <w:rPr>
          <w:bCs/>
          <w:iCs w:val="0"/>
        </w:rPr>
        <w:fldChar w:fldCharType="end"/>
      </w:r>
      <w:r>
        <w:rPr>
          <w:bCs/>
          <w:iCs w:val="0"/>
        </w:rPr>
        <w:t xml:space="preserve"> uvádí </w:t>
      </w:r>
      <w:r>
        <w:rPr>
          <w:sz w:val="22"/>
          <w:szCs w:val="22"/>
        </w:rPr>
        <w:t>v</w:t>
      </w:r>
      <w:r w:rsidRPr="00474168">
        <w:rPr>
          <w:sz w:val="22"/>
          <w:szCs w:val="22"/>
        </w:rPr>
        <w:t>ývoj délky rozvo</w:t>
      </w:r>
      <w:r>
        <w:rPr>
          <w:sz w:val="22"/>
          <w:szCs w:val="22"/>
        </w:rPr>
        <w:t>d</w:t>
      </w:r>
      <w:r w:rsidRPr="00474168">
        <w:rPr>
          <w:sz w:val="22"/>
          <w:szCs w:val="22"/>
        </w:rPr>
        <w:t>ů tepla</w:t>
      </w:r>
      <w:r>
        <w:rPr>
          <w:sz w:val="22"/>
          <w:szCs w:val="22"/>
        </w:rPr>
        <w:t>. Z těchto informací je patrné, že v ČR stále existuje poměrně významné množství energeticky ne příliš efektivních rozvojů tepla, zejména se jedná o parní rozvody tepla. K</w:t>
      </w:r>
      <w:r>
        <w:rPr>
          <w:bCs/>
        </w:rPr>
        <w:t> modernizaci, respektive výměně zbývá ještě cca 1 400 km parních rozvodů. Obecným cílem je tedy výměna/náhrady části těchto rozvodů (i když cílem je samozřejmě výměna pouze části, která povede k významnějším úsporám energie a bude dosahovat se započtením veřejné podpory dostatečné ekonomické efektivnosti).</w:t>
      </w:r>
    </w:p>
    <w:p w14:paraId="78F347E3" w14:textId="6CEB6B10" w:rsidR="00835900" w:rsidRPr="00835900" w:rsidRDefault="00835900" w:rsidP="00835900">
      <w:pPr>
        <w:pStyle w:val="K-Text"/>
        <w:spacing w:line="276" w:lineRule="auto"/>
        <w:rPr>
          <w:rStyle w:val="K-TextChar"/>
        </w:rPr>
      </w:pPr>
      <w:r w:rsidRPr="00835900">
        <w:rPr>
          <w:rStyle w:val="K-TextChar"/>
        </w:rPr>
        <w:t>(</w:t>
      </w:r>
      <w:r w:rsidR="00693EB4" w:rsidRPr="00693EB4">
        <w:rPr>
          <w:rStyle w:val="K-TextChar"/>
          <w:highlight w:val="yellow"/>
        </w:rPr>
        <w:t xml:space="preserve">Pro domo: </w:t>
      </w:r>
      <w:r w:rsidRPr="00693EB4">
        <w:rPr>
          <w:rStyle w:val="K-TextChar"/>
          <w:highlight w:val="yellow"/>
        </w:rPr>
        <w:t xml:space="preserve">Ještě probíhá komunikace se sektorem. Cíle by měly být patrné z milníků. </w:t>
      </w:r>
      <w:r w:rsidR="00693EB4" w:rsidRPr="00693EB4">
        <w:rPr>
          <w:rStyle w:val="K-TextChar"/>
          <w:highlight w:val="yellow"/>
        </w:rPr>
        <w:t>Milníky budou pravděpodobně nadefinovány buď vzhledem ke km zrekonstruovaných rozvodů, nebo k úspoře energie, případně obojímu</w:t>
      </w:r>
      <w:r w:rsidR="00693EB4">
        <w:rPr>
          <w:rStyle w:val="K-TextChar"/>
        </w:rPr>
        <w:t>).</w:t>
      </w:r>
    </w:p>
    <w:p w14:paraId="1EE315CD" w14:textId="02AD5E04" w:rsidR="00835900" w:rsidRDefault="00835900" w:rsidP="00835900">
      <w:pPr>
        <w:pStyle w:val="K-Text"/>
        <w:spacing w:line="276" w:lineRule="auto"/>
        <w:rPr>
          <w:b/>
        </w:rPr>
      </w:pPr>
      <w:r w:rsidRPr="00CC7C5F">
        <w:rPr>
          <w:rStyle w:val="K-TextChar"/>
          <w:b/>
        </w:rPr>
        <w:t>Výstavba nových OZE</w:t>
      </w:r>
    </w:p>
    <w:p w14:paraId="7B0C3891" w14:textId="35549C91" w:rsidR="00835900" w:rsidRDefault="00835900" w:rsidP="00FF2F4A">
      <w:pPr>
        <w:pStyle w:val="00Body"/>
        <w:spacing w:before="200" w:after="200" w:line="276" w:lineRule="auto"/>
        <w:jc w:val="both"/>
        <w:rPr>
          <w:rFonts w:ascii="Times New Roman" w:hAnsi="Times New Roman"/>
          <w:noProof/>
          <w:sz w:val="23"/>
          <w:szCs w:val="23"/>
          <w:lang w:val="cs-CZ"/>
        </w:rPr>
      </w:pPr>
      <w:r w:rsidRPr="00835900">
        <w:rPr>
          <w:rFonts w:ascii="Times New Roman" w:hAnsi="Times New Roman"/>
          <w:noProof/>
          <w:sz w:val="23"/>
          <w:szCs w:val="23"/>
          <w:lang w:val="cs-CZ"/>
        </w:rPr>
        <w:t>Vnitrostátní plán ČR v oblasti energetiky a klimatu si klade za cíl dosažení podílu OZE v sektoru elektroenergetiky v roce 2030 na úrovni 16,9 %. Růst tohoto podílu je také problematičtější s ohledem na růst spotřeby elektřiny, nárůst OZE tedy musí vykompenzovat nárůst spotřeby elektřiny, aby došlo k růstu podílu jako takového. Je zde také určité riziko, že v období mezi 2025-2030 může docházet k ukončování provozu zdrojů v souvislosti s „doběhnutím“ garantované veřejné podpory (existují opatření, která tomuto mají dílčím způsobem zabránit). Tato komponenta, respektive její část zaměřená na výstavbu nových zdrojů OZE, by měla přispět k dosažení uvedeného cíle podílu OZE v sektoru elektroenergetiky, respektive jeho překročení.</w:t>
      </w:r>
    </w:p>
    <w:p w14:paraId="50B0973D" w14:textId="03F440D0" w:rsidR="00FF2F4A" w:rsidRPr="00835900" w:rsidRDefault="00FF2F4A" w:rsidP="00FF2F4A">
      <w:pPr>
        <w:pStyle w:val="K-Text"/>
        <w:spacing w:line="276" w:lineRule="auto"/>
        <w:rPr>
          <w:rStyle w:val="K-TextChar"/>
        </w:rPr>
      </w:pPr>
      <w:r w:rsidRPr="00835900">
        <w:rPr>
          <w:rStyle w:val="K-TextChar"/>
        </w:rPr>
        <w:t>(</w:t>
      </w:r>
      <w:r w:rsidRPr="00693EB4">
        <w:rPr>
          <w:rStyle w:val="K-TextChar"/>
          <w:highlight w:val="yellow"/>
        </w:rPr>
        <w:t xml:space="preserve">Pro domo: </w:t>
      </w:r>
      <w:r>
        <w:rPr>
          <w:rStyle w:val="K-TextChar"/>
          <w:highlight w:val="yellow"/>
        </w:rPr>
        <w:t>Cíle budou ještě konkretizovány, buď ve smyslu očekávaného výkonu/výroby z OZE, nebo nárůstu podílu OZE, buď na celkovém podílu, nebo v rámci sektoru elektroenergetiky</w:t>
      </w:r>
      <w:r>
        <w:rPr>
          <w:rStyle w:val="K-TextChar"/>
        </w:rPr>
        <w:t>).</w:t>
      </w:r>
    </w:p>
    <w:p w14:paraId="6CD31FED" w14:textId="79635398" w:rsidR="007A2737" w:rsidRDefault="007A2737" w:rsidP="007A2737">
      <w:pPr>
        <w:pStyle w:val="K-Nadpis3"/>
      </w:pPr>
      <w:r>
        <w:lastRenderedPageBreak/>
        <w:t xml:space="preserve">c) </w:t>
      </w:r>
      <w:r w:rsidR="006C30EB" w:rsidRPr="006C30EB">
        <w:t>Národní strategický kontext</w:t>
      </w:r>
    </w:p>
    <w:p w14:paraId="1796649C" w14:textId="6AA5B145" w:rsidR="008F5987" w:rsidRPr="00E31020" w:rsidRDefault="00E31020" w:rsidP="005119E2">
      <w:pPr>
        <w:pStyle w:val="K-TextInfo"/>
        <w:rPr>
          <w:i w:val="0"/>
          <w:color w:val="auto"/>
        </w:rPr>
      </w:pPr>
      <w:r w:rsidRPr="00E31020">
        <w:rPr>
          <w:i w:val="0"/>
          <w:color w:val="auto"/>
        </w:rPr>
        <w:t>Národní strategie</w:t>
      </w:r>
    </w:p>
    <w:p w14:paraId="718EA6D0" w14:textId="4F8D04C5" w:rsidR="00E31020" w:rsidRPr="00E31020" w:rsidRDefault="00E31020" w:rsidP="005119E2">
      <w:pPr>
        <w:pStyle w:val="K-TextInfo"/>
        <w:rPr>
          <w:i w:val="0"/>
          <w:color w:val="auto"/>
        </w:rPr>
      </w:pPr>
      <w:r w:rsidRPr="00E31020">
        <w:rPr>
          <w:i w:val="0"/>
          <w:color w:val="auto"/>
        </w:rPr>
        <w:t>Národní strategie je poměrně detailně popsána v rámci Vnitrostátního plánu ČR v oblasti energetiky a</w:t>
      </w:r>
      <w:r>
        <w:rPr>
          <w:i w:val="0"/>
          <w:color w:val="auto"/>
        </w:rPr>
        <w:t> </w:t>
      </w:r>
      <w:r w:rsidRPr="00E31020">
        <w:rPr>
          <w:i w:val="0"/>
          <w:color w:val="auto"/>
        </w:rPr>
        <w:t>klimatu, který byl zpracován na základě nařízení EU 2018/1999.</w:t>
      </w:r>
    </w:p>
    <w:p w14:paraId="7D13B432" w14:textId="11F749A1" w:rsidR="008F5987" w:rsidRPr="00E31020" w:rsidRDefault="008F5987" w:rsidP="005119E2">
      <w:pPr>
        <w:pStyle w:val="K-TextInfo"/>
        <w:rPr>
          <w:i w:val="0"/>
          <w:color w:val="auto"/>
        </w:rPr>
      </w:pPr>
      <w:r w:rsidRPr="00E31020">
        <w:rPr>
          <w:i w:val="0"/>
          <w:color w:val="auto"/>
        </w:rPr>
        <w:t>Přidružené programy pro oblast energetiky</w:t>
      </w:r>
    </w:p>
    <w:p w14:paraId="5AC9F936" w14:textId="039557BE" w:rsidR="008F5987" w:rsidRPr="00E31020" w:rsidRDefault="008F5987" w:rsidP="008F5987">
      <w:pPr>
        <w:pStyle w:val="K-TextInfo"/>
        <w:numPr>
          <w:ilvl w:val="0"/>
          <w:numId w:val="24"/>
        </w:numPr>
        <w:rPr>
          <w:i w:val="0"/>
          <w:color w:val="auto"/>
        </w:rPr>
      </w:pPr>
      <w:r w:rsidRPr="00461D6A">
        <w:rPr>
          <w:b/>
          <w:i w:val="0"/>
          <w:color w:val="auto"/>
        </w:rPr>
        <w:t>EU fondy</w:t>
      </w:r>
      <w:r w:rsidR="00E31020" w:rsidRPr="00E31020">
        <w:rPr>
          <w:i w:val="0"/>
          <w:color w:val="auto"/>
        </w:rPr>
        <w:t xml:space="preserve"> – v této oblasti se jedná zejména o Operační program pro technologie a konkurenceschopnosti (OP TAK) v rámci, kterého by měl být podporován rozvoj OZE v podnikatelském sektoru (jedná se tedy o OZE primárně pro vlastní spotřebu)</w:t>
      </w:r>
      <w:r w:rsidRPr="00E31020">
        <w:rPr>
          <w:i w:val="0"/>
          <w:color w:val="auto"/>
        </w:rPr>
        <w:t xml:space="preserve">, </w:t>
      </w:r>
    </w:p>
    <w:p w14:paraId="49D5E78D" w14:textId="0C452E5C" w:rsidR="00E31020" w:rsidRPr="00E31020" w:rsidRDefault="00E31020" w:rsidP="008F5987">
      <w:pPr>
        <w:pStyle w:val="K-TextInfo"/>
        <w:numPr>
          <w:ilvl w:val="0"/>
          <w:numId w:val="24"/>
        </w:numPr>
        <w:rPr>
          <w:i w:val="0"/>
          <w:color w:val="auto"/>
        </w:rPr>
      </w:pPr>
      <w:r w:rsidRPr="00461D6A">
        <w:rPr>
          <w:b/>
          <w:i w:val="0"/>
          <w:color w:val="auto"/>
        </w:rPr>
        <w:t>Nová zelená úsporám</w:t>
      </w:r>
      <w:r w:rsidRPr="00E31020">
        <w:rPr>
          <w:i w:val="0"/>
          <w:color w:val="auto"/>
        </w:rPr>
        <w:t xml:space="preserve"> – v rámci tohoto programu by měly být podporovány OZE využitelné v rámci residenčního sektoru (sektoru domácností).</w:t>
      </w:r>
    </w:p>
    <w:p w14:paraId="1DFEC5AE" w14:textId="3AF6118D" w:rsidR="008F5987" w:rsidRPr="00E31020" w:rsidRDefault="008F5987" w:rsidP="008F5987">
      <w:pPr>
        <w:pStyle w:val="K-TextInfo"/>
        <w:numPr>
          <w:ilvl w:val="0"/>
          <w:numId w:val="24"/>
        </w:numPr>
        <w:rPr>
          <w:i w:val="0"/>
          <w:color w:val="auto"/>
        </w:rPr>
      </w:pPr>
      <w:r w:rsidRPr="00461D6A">
        <w:rPr>
          <w:b/>
          <w:i w:val="0"/>
          <w:color w:val="auto"/>
        </w:rPr>
        <w:t>Modernizační fond</w:t>
      </w:r>
      <w:r w:rsidR="00E31020" w:rsidRPr="00461D6A">
        <w:rPr>
          <w:b/>
          <w:i w:val="0"/>
          <w:color w:val="auto"/>
        </w:rPr>
        <w:t xml:space="preserve"> </w:t>
      </w:r>
      <w:r w:rsidR="00E31020" w:rsidRPr="00E31020">
        <w:rPr>
          <w:i w:val="0"/>
          <w:color w:val="auto"/>
        </w:rPr>
        <w:t>– v rámci Modernizačního fondu by měly být podporovány OZE a také transformace teplárenství.</w:t>
      </w:r>
    </w:p>
    <w:p w14:paraId="56D05A50" w14:textId="6FFCDECB" w:rsidR="008F5987" w:rsidRPr="00E31020" w:rsidRDefault="008F5987" w:rsidP="008F5987">
      <w:pPr>
        <w:pStyle w:val="K-TextInfo"/>
        <w:numPr>
          <w:ilvl w:val="0"/>
          <w:numId w:val="24"/>
        </w:numPr>
        <w:rPr>
          <w:i w:val="0"/>
          <w:color w:val="auto"/>
        </w:rPr>
      </w:pPr>
      <w:r w:rsidRPr="00461D6A">
        <w:rPr>
          <w:b/>
          <w:i w:val="0"/>
          <w:color w:val="auto"/>
        </w:rPr>
        <w:t>Fond spravedlivé transformace</w:t>
      </w:r>
      <w:r w:rsidR="00E31020" w:rsidRPr="00E31020">
        <w:rPr>
          <w:i w:val="0"/>
          <w:color w:val="auto"/>
        </w:rPr>
        <w:t xml:space="preserve"> – předpokládá se, že část projektů v rámci JTF bude také zaměřena na </w:t>
      </w:r>
      <w:r w:rsidR="00E31020">
        <w:rPr>
          <w:i w:val="0"/>
          <w:color w:val="auto"/>
        </w:rPr>
        <w:t>projekt v oblasti OZE, respektive teplárenství.</w:t>
      </w:r>
    </w:p>
    <w:p w14:paraId="1C015FB3" w14:textId="77777777" w:rsidR="007A2737" w:rsidRDefault="007A2737" w:rsidP="007A2737">
      <w:pPr>
        <w:pStyle w:val="K-Nadpis3"/>
      </w:pPr>
      <w:r>
        <w:t xml:space="preserve">d) </w:t>
      </w:r>
      <w:r w:rsidRPr="007A2737">
        <w:t>Předchozí snahy</w:t>
      </w:r>
    </w:p>
    <w:p w14:paraId="7B57F61E" w14:textId="5DD5924A" w:rsidR="00880A08" w:rsidRPr="00AB741A" w:rsidRDefault="00880A08" w:rsidP="00880A08">
      <w:pPr>
        <w:pStyle w:val="00Body"/>
        <w:jc w:val="both"/>
        <w:rPr>
          <w:rFonts w:ascii="Times New Roman" w:hAnsi="Times New Roman"/>
          <w:bCs/>
          <w:sz w:val="23"/>
          <w:szCs w:val="23"/>
          <w:lang w:val="cs-CZ"/>
        </w:rPr>
      </w:pPr>
      <w:r w:rsidRPr="00AB741A">
        <w:rPr>
          <w:rFonts w:ascii="Times New Roman" w:hAnsi="Times New Roman"/>
          <w:bCs/>
          <w:sz w:val="23"/>
          <w:szCs w:val="23"/>
          <w:lang w:val="cs-CZ"/>
        </w:rPr>
        <w:t>Transformace energetiky je dlouhodobý proces. V minulosti tedy existovaly programy zaměřené na přechod na nízkouhlíkové hospodářství, respektive na transformaci specifických oblastí energetiky. Tyto programy přispěly k dílčímu pokroku a nelze je tedy označit za neúspěšné.</w:t>
      </w:r>
    </w:p>
    <w:p w14:paraId="7A523100" w14:textId="77777777" w:rsidR="0081234F" w:rsidRDefault="0081234F" w:rsidP="0081234F">
      <w:pPr>
        <w:pStyle w:val="K-Text"/>
        <w:rPr>
          <w:b/>
        </w:rPr>
      </w:pPr>
      <w:r w:rsidRPr="00512795">
        <w:rPr>
          <w:b/>
        </w:rPr>
        <w:t>Modernizace distribuce tepla</w:t>
      </w:r>
    </w:p>
    <w:p w14:paraId="4C82AB75" w14:textId="3372B593" w:rsidR="003A0C74" w:rsidRDefault="003A0C74" w:rsidP="00880A08">
      <w:pPr>
        <w:pStyle w:val="00Body"/>
        <w:jc w:val="both"/>
        <w:rPr>
          <w:rFonts w:ascii="Times New Roman" w:hAnsi="Times New Roman"/>
          <w:bCs/>
          <w:sz w:val="23"/>
          <w:szCs w:val="23"/>
          <w:lang w:val="cs-CZ"/>
        </w:rPr>
      </w:pPr>
      <w:r>
        <w:rPr>
          <w:rFonts w:ascii="Times New Roman" w:hAnsi="Times New Roman"/>
          <w:bCs/>
          <w:sz w:val="23"/>
          <w:szCs w:val="23"/>
          <w:lang w:val="cs-CZ"/>
        </w:rPr>
        <w:t>Modernizace distribuce tepla byla již v minulosti financována z veřejných prostředků, specificky z operačních programů. Jednalo se zejména o prioritní osu 3.5 SZT v rámci O</w:t>
      </w:r>
      <w:r w:rsidRPr="003A0C74">
        <w:rPr>
          <w:rFonts w:ascii="Times New Roman" w:hAnsi="Times New Roman"/>
          <w:bCs/>
          <w:sz w:val="23"/>
          <w:szCs w:val="23"/>
          <w:lang w:val="cs-CZ"/>
        </w:rPr>
        <w:t>perační</w:t>
      </w:r>
      <w:r>
        <w:rPr>
          <w:rFonts w:ascii="Times New Roman" w:hAnsi="Times New Roman"/>
          <w:bCs/>
          <w:sz w:val="23"/>
          <w:szCs w:val="23"/>
          <w:lang w:val="cs-CZ"/>
        </w:rPr>
        <w:t>ho</w:t>
      </w:r>
      <w:r w:rsidRPr="003A0C74">
        <w:rPr>
          <w:rFonts w:ascii="Times New Roman" w:hAnsi="Times New Roman"/>
          <w:bCs/>
          <w:sz w:val="23"/>
          <w:szCs w:val="23"/>
          <w:lang w:val="cs-CZ"/>
        </w:rPr>
        <w:t xml:space="preserve"> program</w:t>
      </w:r>
      <w:r>
        <w:rPr>
          <w:rFonts w:ascii="Times New Roman" w:hAnsi="Times New Roman"/>
          <w:bCs/>
          <w:sz w:val="23"/>
          <w:szCs w:val="23"/>
          <w:lang w:val="cs-CZ"/>
        </w:rPr>
        <w:t>u</w:t>
      </w:r>
      <w:r w:rsidRPr="003A0C74">
        <w:rPr>
          <w:rFonts w:ascii="Times New Roman" w:hAnsi="Times New Roman"/>
          <w:bCs/>
          <w:sz w:val="23"/>
          <w:szCs w:val="23"/>
          <w:lang w:val="cs-CZ"/>
        </w:rPr>
        <w:t xml:space="preserve"> podnikání a inovace pro konkurenceschopnost</w:t>
      </w:r>
      <w:r>
        <w:rPr>
          <w:rFonts w:ascii="Times New Roman" w:hAnsi="Times New Roman"/>
          <w:bCs/>
          <w:sz w:val="23"/>
          <w:szCs w:val="23"/>
          <w:lang w:val="cs-CZ"/>
        </w:rPr>
        <w:t xml:space="preserve"> (OPPIK).</w:t>
      </w:r>
      <w:r w:rsidR="00F109BE">
        <w:rPr>
          <w:rStyle w:val="Znakapoznpodarou"/>
          <w:rFonts w:ascii="Times New Roman" w:hAnsi="Times New Roman"/>
          <w:bCs/>
          <w:sz w:val="23"/>
          <w:szCs w:val="23"/>
          <w:lang w:val="cs-CZ"/>
        </w:rPr>
        <w:footnoteReference w:id="3"/>
      </w:r>
      <w:r w:rsidR="00F109BE">
        <w:rPr>
          <w:rFonts w:ascii="Times New Roman" w:hAnsi="Times New Roman"/>
          <w:bCs/>
          <w:sz w:val="23"/>
          <w:szCs w:val="23"/>
          <w:lang w:val="cs-CZ"/>
        </w:rPr>
        <w:t xml:space="preserve"> </w:t>
      </w:r>
      <w:r w:rsidRPr="003A0C74">
        <w:rPr>
          <w:rFonts w:ascii="Times New Roman" w:hAnsi="Times New Roman"/>
          <w:bCs/>
          <w:sz w:val="23"/>
          <w:szCs w:val="23"/>
          <w:lang w:val="cs-CZ"/>
        </w:rPr>
        <w:fldChar w:fldCharType="begin"/>
      </w:r>
      <w:r w:rsidRPr="003A0C74">
        <w:rPr>
          <w:rFonts w:ascii="Times New Roman" w:hAnsi="Times New Roman"/>
          <w:bCs/>
          <w:sz w:val="23"/>
          <w:szCs w:val="23"/>
          <w:lang w:val="cs-CZ"/>
        </w:rPr>
        <w:instrText xml:space="preserve"> REF _Ref59182529 \h  \* MERGEFORMAT </w:instrText>
      </w:r>
      <w:r w:rsidRPr="003A0C74">
        <w:rPr>
          <w:rFonts w:ascii="Times New Roman" w:hAnsi="Times New Roman"/>
          <w:bCs/>
          <w:sz w:val="23"/>
          <w:szCs w:val="23"/>
          <w:lang w:val="cs-CZ"/>
        </w:rPr>
      </w:r>
      <w:r w:rsidRPr="003A0C74">
        <w:rPr>
          <w:rFonts w:ascii="Times New Roman" w:hAnsi="Times New Roman"/>
          <w:bCs/>
          <w:sz w:val="23"/>
          <w:szCs w:val="23"/>
          <w:lang w:val="cs-CZ"/>
        </w:rPr>
        <w:fldChar w:fldCharType="separate"/>
      </w:r>
      <w:r w:rsidRPr="003A0C74">
        <w:rPr>
          <w:rFonts w:ascii="Times New Roman" w:hAnsi="Times New Roman"/>
          <w:sz w:val="23"/>
          <w:szCs w:val="23"/>
        </w:rPr>
        <w:t xml:space="preserve">Graf č. </w:t>
      </w:r>
      <w:r w:rsidRPr="003A0C74">
        <w:rPr>
          <w:rFonts w:ascii="Times New Roman" w:hAnsi="Times New Roman"/>
          <w:noProof/>
          <w:sz w:val="23"/>
          <w:szCs w:val="23"/>
        </w:rPr>
        <w:t>1</w:t>
      </w:r>
      <w:r w:rsidRPr="003A0C74">
        <w:rPr>
          <w:rFonts w:ascii="Times New Roman" w:hAnsi="Times New Roman"/>
          <w:bCs/>
          <w:sz w:val="23"/>
          <w:szCs w:val="23"/>
          <w:lang w:val="cs-CZ"/>
        </w:rPr>
        <w:fldChar w:fldCharType="end"/>
      </w:r>
      <w:r>
        <w:rPr>
          <w:rFonts w:ascii="Times New Roman" w:hAnsi="Times New Roman"/>
          <w:bCs/>
          <w:sz w:val="23"/>
          <w:szCs w:val="23"/>
          <w:lang w:val="cs-CZ"/>
        </w:rPr>
        <w:t xml:space="preserve"> uvádí bližší informace k čerpání veřejných prostředků v rámci této prioritní osy. Tyto snahy tedy není možné označit za neúspěšné. </w:t>
      </w:r>
      <w:r w:rsidRPr="003A0C74">
        <w:rPr>
          <w:rFonts w:ascii="Times New Roman" w:hAnsi="Times New Roman"/>
          <w:bCs/>
          <w:sz w:val="23"/>
          <w:szCs w:val="23"/>
          <w:lang w:val="cs-CZ"/>
        </w:rPr>
        <w:fldChar w:fldCharType="begin"/>
      </w:r>
      <w:r w:rsidRPr="003A0C74">
        <w:rPr>
          <w:rFonts w:ascii="Times New Roman" w:hAnsi="Times New Roman"/>
          <w:bCs/>
          <w:sz w:val="23"/>
          <w:szCs w:val="23"/>
          <w:lang w:val="cs-CZ"/>
        </w:rPr>
        <w:instrText xml:space="preserve"> REF _Ref59115241 \h  \* MERGEFORMAT </w:instrText>
      </w:r>
      <w:r w:rsidRPr="003A0C74">
        <w:rPr>
          <w:rFonts w:ascii="Times New Roman" w:hAnsi="Times New Roman"/>
          <w:bCs/>
          <w:sz w:val="23"/>
          <w:szCs w:val="23"/>
          <w:lang w:val="cs-CZ"/>
        </w:rPr>
      </w:r>
      <w:r w:rsidRPr="003A0C74">
        <w:rPr>
          <w:rFonts w:ascii="Times New Roman" w:hAnsi="Times New Roman"/>
          <w:bCs/>
          <w:sz w:val="23"/>
          <w:szCs w:val="23"/>
          <w:lang w:val="cs-CZ"/>
        </w:rPr>
        <w:fldChar w:fldCharType="separate"/>
      </w:r>
      <w:r w:rsidRPr="003A0C74">
        <w:rPr>
          <w:rFonts w:ascii="Times New Roman" w:hAnsi="Times New Roman"/>
          <w:bCs/>
          <w:sz w:val="23"/>
          <w:szCs w:val="23"/>
          <w:lang w:val="cs-CZ"/>
        </w:rPr>
        <w:t>Tabulka č. 1</w:t>
      </w:r>
      <w:r w:rsidRPr="003A0C74">
        <w:rPr>
          <w:rFonts w:ascii="Times New Roman" w:hAnsi="Times New Roman"/>
          <w:bCs/>
          <w:sz w:val="23"/>
          <w:szCs w:val="23"/>
          <w:lang w:val="cs-CZ"/>
        </w:rPr>
        <w:fldChar w:fldCharType="end"/>
      </w:r>
      <w:r>
        <w:rPr>
          <w:rFonts w:ascii="Times New Roman" w:hAnsi="Times New Roman"/>
          <w:bCs/>
          <w:sz w:val="23"/>
          <w:szCs w:val="23"/>
          <w:lang w:val="cs-CZ"/>
        </w:rPr>
        <w:t xml:space="preserve"> zobrazuje postupný pokles parních rozvodů ve prospěch energeticky účinnějších teplovodních/horkovodních rozvodů. </w:t>
      </w:r>
      <w:r w:rsidR="00C637EA">
        <w:rPr>
          <w:rFonts w:ascii="Times New Roman" w:hAnsi="Times New Roman"/>
          <w:bCs/>
          <w:sz w:val="23"/>
          <w:szCs w:val="23"/>
          <w:lang w:val="cs-CZ"/>
        </w:rPr>
        <w:t xml:space="preserve">Předchozí snahy tedy vedly k dílčímu zlepšení situace, ale i s ohledem na to, že k modernizaci, respektive výměně zbývá ještě cca 1 400 km parních </w:t>
      </w:r>
      <w:r w:rsidR="00835900">
        <w:rPr>
          <w:rFonts w:ascii="Times New Roman" w:hAnsi="Times New Roman"/>
          <w:bCs/>
          <w:sz w:val="23"/>
          <w:szCs w:val="23"/>
          <w:lang w:val="cs-CZ"/>
        </w:rPr>
        <w:t>rozvodů</w:t>
      </w:r>
      <w:r w:rsidR="00F109BE">
        <w:rPr>
          <w:rFonts w:ascii="Times New Roman" w:hAnsi="Times New Roman"/>
          <w:bCs/>
          <w:sz w:val="23"/>
          <w:szCs w:val="23"/>
          <w:lang w:val="cs-CZ"/>
        </w:rPr>
        <w:t xml:space="preserve"> (i když cílem je samozřejmě </w:t>
      </w:r>
      <w:r w:rsidR="00EB3E56">
        <w:rPr>
          <w:rFonts w:ascii="Times New Roman" w:hAnsi="Times New Roman"/>
          <w:bCs/>
          <w:sz w:val="23"/>
          <w:szCs w:val="23"/>
          <w:lang w:val="cs-CZ"/>
        </w:rPr>
        <w:t>výměna pouze části, která povede k významnějším úsporám energie a bude dosahovat se započtením veřejné podpory dostatečné ekonomické efektivnosti</w:t>
      </w:r>
      <w:r w:rsidR="00F109BE">
        <w:rPr>
          <w:rFonts w:ascii="Times New Roman" w:hAnsi="Times New Roman"/>
          <w:bCs/>
          <w:sz w:val="23"/>
          <w:szCs w:val="23"/>
          <w:lang w:val="cs-CZ"/>
        </w:rPr>
        <w:t>)</w:t>
      </w:r>
      <w:r w:rsidR="00C637EA">
        <w:rPr>
          <w:rFonts w:ascii="Times New Roman" w:hAnsi="Times New Roman"/>
          <w:bCs/>
          <w:sz w:val="23"/>
          <w:szCs w:val="23"/>
          <w:lang w:val="cs-CZ"/>
        </w:rPr>
        <w:t>, tak je patrn</w:t>
      </w:r>
      <w:r w:rsidR="005B6940">
        <w:rPr>
          <w:rFonts w:ascii="Times New Roman" w:hAnsi="Times New Roman"/>
          <w:bCs/>
          <w:sz w:val="23"/>
          <w:szCs w:val="23"/>
          <w:lang w:val="cs-CZ"/>
        </w:rPr>
        <w:t>á nutnost dalších kroků v této oblasti.</w:t>
      </w:r>
    </w:p>
    <w:p w14:paraId="17CBF9EA" w14:textId="23C36DBE" w:rsidR="003A0C74" w:rsidRPr="003A0C74" w:rsidRDefault="003A0C74" w:rsidP="003A0C74">
      <w:pPr>
        <w:pStyle w:val="Titulek"/>
        <w:keepNext/>
        <w:jc w:val="both"/>
        <w:rPr>
          <w:rFonts w:ascii="Times New Roman" w:hAnsi="Times New Roman" w:cs="Times New Roman"/>
          <w:i w:val="0"/>
          <w:color w:val="auto"/>
          <w:sz w:val="23"/>
          <w:szCs w:val="23"/>
        </w:rPr>
      </w:pPr>
      <w:bookmarkStart w:id="3" w:name="_Ref59182529"/>
      <w:r w:rsidRPr="003A0C74">
        <w:rPr>
          <w:rFonts w:ascii="Times New Roman" w:hAnsi="Times New Roman" w:cs="Times New Roman"/>
          <w:b/>
          <w:i w:val="0"/>
          <w:color w:val="auto"/>
          <w:sz w:val="23"/>
          <w:szCs w:val="23"/>
        </w:rPr>
        <w:lastRenderedPageBreak/>
        <w:t xml:space="preserve">Graf č. </w:t>
      </w:r>
      <w:r w:rsidRPr="003A0C74">
        <w:rPr>
          <w:rFonts w:ascii="Times New Roman" w:hAnsi="Times New Roman" w:cs="Times New Roman"/>
          <w:b/>
          <w:i w:val="0"/>
          <w:color w:val="auto"/>
          <w:sz w:val="23"/>
          <w:szCs w:val="23"/>
        </w:rPr>
        <w:fldChar w:fldCharType="begin"/>
      </w:r>
      <w:r w:rsidRPr="003A0C74">
        <w:rPr>
          <w:rFonts w:ascii="Times New Roman" w:hAnsi="Times New Roman" w:cs="Times New Roman"/>
          <w:b/>
          <w:i w:val="0"/>
          <w:color w:val="auto"/>
          <w:sz w:val="23"/>
          <w:szCs w:val="23"/>
        </w:rPr>
        <w:instrText xml:space="preserve"> SEQ Graf_č. \* ARABIC </w:instrText>
      </w:r>
      <w:r w:rsidRPr="003A0C74">
        <w:rPr>
          <w:rFonts w:ascii="Times New Roman" w:hAnsi="Times New Roman" w:cs="Times New Roman"/>
          <w:b/>
          <w:i w:val="0"/>
          <w:color w:val="auto"/>
          <w:sz w:val="23"/>
          <w:szCs w:val="23"/>
        </w:rPr>
        <w:fldChar w:fldCharType="separate"/>
      </w:r>
      <w:r w:rsidR="009D04D0">
        <w:rPr>
          <w:rFonts w:ascii="Times New Roman" w:hAnsi="Times New Roman" w:cs="Times New Roman"/>
          <w:b/>
          <w:i w:val="0"/>
          <w:noProof/>
          <w:color w:val="auto"/>
          <w:sz w:val="23"/>
          <w:szCs w:val="23"/>
        </w:rPr>
        <w:t>1</w:t>
      </w:r>
      <w:r w:rsidRPr="003A0C74">
        <w:rPr>
          <w:rFonts w:ascii="Times New Roman" w:hAnsi="Times New Roman" w:cs="Times New Roman"/>
          <w:b/>
          <w:i w:val="0"/>
          <w:color w:val="auto"/>
          <w:sz w:val="23"/>
          <w:szCs w:val="23"/>
        </w:rPr>
        <w:fldChar w:fldCharType="end"/>
      </w:r>
      <w:bookmarkEnd w:id="3"/>
      <w:r w:rsidRPr="003A0C74">
        <w:rPr>
          <w:rFonts w:ascii="Times New Roman" w:hAnsi="Times New Roman" w:cs="Times New Roman"/>
          <w:b/>
          <w:i w:val="0"/>
          <w:color w:val="auto"/>
          <w:sz w:val="23"/>
          <w:szCs w:val="23"/>
        </w:rPr>
        <w:t xml:space="preserve">: </w:t>
      </w:r>
      <w:r w:rsidRPr="003A0C74">
        <w:rPr>
          <w:rFonts w:ascii="Times New Roman" w:hAnsi="Times New Roman" w:cs="Times New Roman"/>
          <w:color w:val="auto"/>
          <w:sz w:val="23"/>
          <w:szCs w:val="23"/>
        </w:rPr>
        <w:t>Způsobilé výdaje a výše dotace u způsobilých projektů v rámci OPPIK (prioritní osa 3.5 SZT) v jednotlivých letech</w:t>
      </w:r>
    </w:p>
    <w:p w14:paraId="5DD6C682" w14:textId="5D1DEAB9" w:rsidR="004B2F13" w:rsidRDefault="004B2F13" w:rsidP="00880A08">
      <w:pPr>
        <w:pStyle w:val="00Body"/>
        <w:jc w:val="both"/>
        <w:rPr>
          <w:rFonts w:ascii="Times New Roman" w:hAnsi="Times New Roman"/>
          <w:bCs/>
          <w:sz w:val="23"/>
          <w:szCs w:val="23"/>
          <w:lang w:val="cs-CZ"/>
        </w:rPr>
      </w:pPr>
      <w:r>
        <w:rPr>
          <w:b/>
          <w:noProof/>
        </w:rPr>
        <w:drawing>
          <wp:inline distT="0" distB="0" distL="0" distR="0" wp14:anchorId="3EB0E181" wp14:editId="3DA57546">
            <wp:extent cx="6120000" cy="3420000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FC2AF1F" w14:textId="3E9E6FC8" w:rsidR="00EB3E56" w:rsidRPr="00EB3E56" w:rsidRDefault="00EB3E56" w:rsidP="00EB3E56">
      <w:pPr>
        <w:pStyle w:val="00Body"/>
        <w:jc w:val="right"/>
        <w:rPr>
          <w:rFonts w:ascii="Times New Roman" w:hAnsi="Times New Roman"/>
          <w:bCs/>
          <w:i/>
          <w:sz w:val="23"/>
          <w:szCs w:val="23"/>
          <w:lang w:val="cs-CZ"/>
        </w:rPr>
      </w:pPr>
      <w:r w:rsidRPr="00EB3E56">
        <w:rPr>
          <w:rFonts w:ascii="Times New Roman" w:hAnsi="Times New Roman"/>
          <w:bCs/>
          <w:i/>
          <w:sz w:val="23"/>
          <w:szCs w:val="23"/>
          <w:lang w:val="cs-CZ"/>
        </w:rPr>
        <w:t>Zdroj: OPPIK</w:t>
      </w:r>
    </w:p>
    <w:p w14:paraId="11EE56C4" w14:textId="77777777" w:rsidR="0081234F" w:rsidRDefault="0081234F" w:rsidP="0081234F">
      <w:pPr>
        <w:pStyle w:val="K-Text"/>
        <w:spacing w:line="276" w:lineRule="auto"/>
        <w:rPr>
          <w:b/>
        </w:rPr>
      </w:pPr>
      <w:r w:rsidRPr="00CC7C5F">
        <w:rPr>
          <w:rStyle w:val="K-TextChar"/>
          <w:b/>
        </w:rPr>
        <w:t>Výstavba nových OZE</w:t>
      </w:r>
    </w:p>
    <w:p w14:paraId="305FDC80" w14:textId="77777777" w:rsidR="007C758B" w:rsidRDefault="009D04D0" w:rsidP="009D04D0">
      <w:pPr>
        <w:pStyle w:val="00Body"/>
        <w:spacing w:before="200" w:after="200" w:line="276" w:lineRule="auto"/>
        <w:jc w:val="both"/>
        <w:rPr>
          <w:rFonts w:ascii="Times New Roman" w:hAnsi="Times New Roman"/>
          <w:bCs/>
          <w:sz w:val="23"/>
          <w:szCs w:val="23"/>
          <w:lang w:val="cs-CZ"/>
        </w:rPr>
      </w:pPr>
      <w:r>
        <w:rPr>
          <w:rFonts w:ascii="Times New Roman" w:hAnsi="Times New Roman"/>
          <w:bCs/>
          <w:sz w:val="23"/>
          <w:szCs w:val="23"/>
          <w:lang w:val="cs-CZ"/>
        </w:rPr>
        <w:t xml:space="preserve">ČR postupně zvyšuje podíl OZE. V roce 2018 dosáhla podíl OZE (dle metodiky EUROSTAT) 15,15 %, tento podíl se podle předběžných údajů v roce 2019 dále zvyšoval. ČR tedy splnil svůj závazek vůči EU do roku 2020 již v průběhu roku 2014 (viz </w:t>
      </w:r>
      <w:r>
        <w:rPr>
          <w:rFonts w:ascii="Times New Roman" w:hAnsi="Times New Roman"/>
          <w:bCs/>
          <w:sz w:val="23"/>
          <w:szCs w:val="23"/>
          <w:lang w:val="cs-CZ"/>
        </w:rPr>
        <w:fldChar w:fldCharType="begin"/>
      </w:r>
      <w:r>
        <w:rPr>
          <w:rFonts w:ascii="Times New Roman" w:hAnsi="Times New Roman"/>
          <w:bCs/>
          <w:sz w:val="23"/>
          <w:szCs w:val="23"/>
          <w:lang w:val="cs-CZ"/>
        </w:rPr>
        <w:instrText xml:space="preserve"> REF _Ref59184735 \h  \* MERGEFORMAT </w:instrText>
      </w:r>
      <w:r>
        <w:rPr>
          <w:rFonts w:ascii="Times New Roman" w:hAnsi="Times New Roman"/>
          <w:bCs/>
          <w:sz w:val="23"/>
          <w:szCs w:val="23"/>
          <w:lang w:val="cs-CZ"/>
        </w:rPr>
      </w:r>
      <w:r>
        <w:rPr>
          <w:rFonts w:ascii="Times New Roman" w:hAnsi="Times New Roman"/>
          <w:bCs/>
          <w:sz w:val="23"/>
          <w:szCs w:val="23"/>
          <w:lang w:val="cs-CZ"/>
        </w:rPr>
        <w:fldChar w:fldCharType="separate"/>
      </w:r>
      <w:r w:rsidRPr="009D04D0">
        <w:rPr>
          <w:rFonts w:ascii="Times New Roman" w:hAnsi="Times New Roman"/>
          <w:bCs/>
          <w:sz w:val="23"/>
          <w:szCs w:val="23"/>
          <w:lang w:val="cs-CZ"/>
        </w:rPr>
        <w:t>Graf č. 2</w:t>
      </w:r>
      <w:r>
        <w:rPr>
          <w:rFonts w:ascii="Times New Roman" w:hAnsi="Times New Roman"/>
          <w:bCs/>
          <w:sz w:val="23"/>
          <w:szCs w:val="23"/>
          <w:lang w:val="cs-CZ"/>
        </w:rPr>
        <w:fldChar w:fldCharType="end"/>
      </w:r>
      <w:r>
        <w:rPr>
          <w:rFonts w:ascii="Times New Roman" w:hAnsi="Times New Roman"/>
          <w:bCs/>
          <w:sz w:val="23"/>
          <w:szCs w:val="23"/>
          <w:lang w:val="cs-CZ"/>
        </w:rPr>
        <w:t xml:space="preserve">). V tomto ohledu však existují rozdíly mezi jednotlivými sektory, </w:t>
      </w:r>
      <w:r w:rsidR="007C758B">
        <w:rPr>
          <w:rFonts w:ascii="Times New Roman" w:hAnsi="Times New Roman"/>
          <w:bCs/>
          <w:sz w:val="23"/>
          <w:szCs w:val="23"/>
          <w:lang w:val="cs-CZ"/>
        </w:rPr>
        <w:t xml:space="preserve">kdy v rámci podílu OZE v sektoru vytápění a chlazení je ČR nad průměrem členských států EU, ale v sektoru elektroenergetiky je spíše pod průměrem. </w:t>
      </w:r>
    </w:p>
    <w:p w14:paraId="5D698292" w14:textId="0D9A78FD" w:rsidR="009D04D0" w:rsidRPr="009D04D0" w:rsidRDefault="009D04D0" w:rsidP="009D04D0">
      <w:pPr>
        <w:pStyle w:val="Titulek"/>
        <w:keepNext/>
        <w:jc w:val="both"/>
        <w:rPr>
          <w:rFonts w:ascii="Times New Roman" w:hAnsi="Times New Roman" w:cs="Times New Roman"/>
          <w:b/>
          <w:i w:val="0"/>
          <w:color w:val="auto"/>
          <w:sz w:val="23"/>
          <w:szCs w:val="23"/>
        </w:rPr>
      </w:pPr>
      <w:bookmarkStart w:id="4" w:name="_Ref59184735"/>
      <w:r w:rsidRPr="009D04D0">
        <w:rPr>
          <w:rFonts w:ascii="Times New Roman" w:hAnsi="Times New Roman" w:cs="Times New Roman"/>
          <w:b/>
          <w:i w:val="0"/>
          <w:color w:val="auto"/>
          <w:sz w:val="23"/>
          <w:szCs w:val="23"/>
        </w:rPr>
        <w:lastRenderedPageBreak/>
        <w:t xml:space="preserve">Graf č. </w:t>
      </w:r>
      <w:r w:rsidRPr="009D04D0">
        <w:rPr>
          <w:rFonts w:ascii="Times New Roman" w:hAnsi="Times New Roman" w:cs="Times New Roman"/>
          <w:b/>
          <w:i w:val="0"/>
          <w:color w:val="auto"/>
          <w:sz w:val="23"/>
          <w:szCs w:val="23"/>
        </w:rPr>
        <w:fldChar w:fldCharType="begin"/>
      </w:r>
      <w:r w:rsidRPr="009D04D0">
        <w:rPr>
          <w:rFonts w:ascii="Times New Roman" w:hAnsi="Times New Roman" w:cs="Times New Roman"/>
          <w:b/>
          <w:i w:val="0"/>
          <w:color w:val="auto"/>
          <w:sz w:val="23"/>
          <w:szCs w:val="23"/>
        </w:rPr>
        <w:instrText xml:space="preserve"> SEQ Graf_č. \* ARABIC </w:instrText>
      </w:r>
      <w:r w:rsidRPr="009D04D0">
        <w:rPr>
          <w:rFonts w:ascii="Times New Roman" w:hAnsi="Times New Roman" w:cs="Times New Roman"/>
          <w:b/>
          <w:i w:val="0"/>
          <w:color w:val="auto"/>
          <w:sz w:val="23"/>
          <w:szCs w:val="23"/>
        </w:rPr>
        <w:fldChar w:fldCharType="separate"/>
      </w:r>
      <w:r w:rsidRPr="009D04D0">
        <w:rPr>
          <w:rFonts w:ascii="Times New Roman" w:hAnsi="Times New Roman" w:cs="Times New Roman"/>
          <w:b/>
          <w:i w:val="0"/>
          <w:noProof/>
          <w:color w:val="auto"/>
          <w:sz w:val="23"/>
          <w:szCs w:val="23"/>
        </w:rPr>
        <w:t>2</w:t>
      </w:r>
      <w:r w:rsidRPr="009D04D0">
        <w:rPr>
          <w:rFonts w:ascii="Times New Roman" w:hAnsi="Times New Roman" w:cs="Times New Roman"/>
          <w:b/>
          <w:i w:val="0"/>
          <w:color w:val="auto"/>
          <w:sz w:val="23"/>
          <w:szCs w:val="23"/>
        </w:rPr>
        <w:fldChar w:fldCharType="end"/>
      </w:r>
      <w:bookmarkEnd w:id="4"/>
      <w:r w:rsidRPr="009D04D0">
        <w:rPr>
          <w:rFonts w:ascii="Times New Roman" w:hAnsi="Times New Roman" w:cs="Times New Roman"/>
          <w:b/>
          <w:i w:val="0"/>
          <w:color w:val="auto"/>
          <w:sz w:val="23"/>
          <w:szCs w:val="23"/>
        </w:rPr>
        <w:t xml:space="preserve">: </w:t>
      </w:r>
      <w:r w:rsidRPr="009D04D0">
        <w:rPr>
          <w:rFonts w:ascii="Times New Roman" w:hAnsi="Times New Roman" w:cs="Times New Roman"/>
          <w:color w:val="auto"/>
          <w:sz w:val="23"/>
          <w:szCs w:val="23"/>
        </w:rPr>
        <w:t xml:space="preserve">Historický vývoj </w:t>
      </w:r>
      <w:r>
        <w:rPr>
          <w:rFonts w:ascii="Times New Roman" w:hAnsi="Times New Roman" w:cs="Times New Roman"/>
          <w:color w:val="auto"/>
          <w:sz w:val="23"/>
          <w:szCs w:val="23"/>
        </w:rPr>
        <w:t>podílu OZE v jednotlivých sektorech (dle metodiky EUROSTAT)</w:t>
      </w:r>
    </w:p>
    <w:p w14:paraId="5D137342" w14:textId="1ECCE5DD" w:rsidR="00880A08" w:rsidRDefault="00EB3E56" w:rsidP="00880A08">
      <w:pPr>
        <w:pStyle w:val="00Body"/>
        <w:jc w:val="both"/>
        <w:rPr>
          <w:rFonts w:ascii="Times New Roman" w:hAnsi="Times New Roman"/>
          <w:bCs/>
          <w:sz w:val="23"/>
          <w:szCs w:val="23"/>
          <w:lang w:val="cs-CZ"/>
        </w:rPr>
      </w:pPr>
      <w:r w:rsidRPr="00EB3E56">
        <w:rPr>
          <w:rFonts w:ascii="Times New Roman" w:hAnsi="Times New Roman"/>
          <w:bCs/>
          <w:noProof/>
          <w:sz w:val="23"/>
          <w:szCs w:val="23"/>
          <w:lang w:val="cs-CZ"/>
        </w:rPr>
        <w:drawing>
          <wp:inline distT="0" distB="0" distL="0" distR="0" wp14:anchorId="68A68312" wp14:editId="7A203F7F">
            <wp:extent cx="6120130" cy="3420000"/>
            <wp:effectExtent l="0" t="0" r="0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59B0E27" w14:textId="5FBFC802" w:rsidR="009D04D0" w:rsidRDefault="009D04D0" w:rsidP="009D04D0">
      <w:pPr>
        <w:pStyle w:val="00Body"/>
        <w:jc w:val="right"/>
        <w:rPr>
          <w:rFonts w:ascii="Times New Roman" w:hAnsi="Times New Roman"/>
          <w:bCs/>
          <w:i/>
          <w:sz w:val="23"/>
          <w:szCs w:val="23"/>
          <w:lang w:val="cs-CZ"/>
        </w:rPr>
      </w:pPr>
      <w:r w:rsidRPr="007C758B">
        <w:rPr>
          <w:rFonts w:ascii="Times New Roman" w:hAnsi="Times New Roman"/>
          <w:bCs/>
          <w:i/>
          <w:sz w:val="23"/>
          <w:szCs w:val="23"/>
          <w:lang w:val="cs-CZ"/>
        </w:rPr>
        <w:t>Zdroj: Výkazy pro účely vykazování podílu OZE v metodice dle EUROSTAT</w:t>
      </w:r>
    </w:p>
    <w:p w14:paraId="5B68CCFE" w14:textId="6C4FFE38" w:rsidR="00330A99" w:rsidRPr="00330A99" w:rsidRDefault="00330A99" w:rsidP="00330A99">
      <w:pPr>
        <w:pStyle w:val="00Body"/>
        <w:jc w:val="both"/>
        <w:rPr>
          <w:rFonts w:ascii="Times New Roman" w:hAnsi="Times New Roman"/>
          <w:bCs/>
          <w:sz w:val="23"/>
          <w:szCs w:val="23"/>
          <w:lang w:val="cs-CZ"/>
        </w:rPr>
      </w:pPr>
      <w:r>
        <w:rPr>
          <w:rFonts w:ascii="Times New Roman" w:hAnsi="Times New Roman"/>
          <w:bCs/>
          <w:sz w:val="23"/>
          <w:szCs w:val="23"/>
          <w:lang w:val="cs-CZ"/>
        </w:rPr>
        <w:t xml:space="preserve">Rozvoj OZE byl v minulosti podporován řadou opatření. Zejména se jednalo o provozní a investiční podporu, ale také další opatření. Detailnější informace jsou dostupné ve Vnitrostátním plánu ČR v oblasti energetiky a klimatu, část 2.1.2 uvádí vnitrostátní cíle s ohledem na OZE; část 3.1.2 </w:t>
      </w:r>
      <w:r w:rsidR="003A6471">
        <w:rPr>
          <w:rFonts w:ascii="Times New Roman" w:hAnsi="Times New Roman"/>
          <w:bCs/>
          <w:sz w:val="23"/>
          <w:szCs w:val="23"/>
          <w:lang w:val="cs-CZ"/>
        </w:rPr>
        <w:t xml:space="preserve">obsahuje bližší informace k politikám a opatřením a část 4.2.2 uvádí současný stav a odhadovaný vývoj. </w:t>
      </w:r>
    </w:p>
    <w:p w14:paraId="5BA8CBEF" w14:textId="77777777" w:rsidR="002C20CF" w:rsidRPr="00ED337B" w:rsidRDefault="002C20CF" w:rsidP="00154B73">
      <w:pPr>
        <w:pStyle w:val="K-Nadpis2"/>
      </w:pPr>
      <w:r w:rsidRPr="00ED337B">
        <w:t xml:space="preserve">3. </w:t>
      </w:r>
      <w:r w:rsidR="00AF3BAB" w:rsidRPr="00ED337B">
        <w:t>Popis reforem</w:t>
      </w:r>
      <w:r w:rsidR="009C04D3" w:rsidRPr="00ED337B">
        <w:t xml:space="preserve"> a investic</w:t>
      </w:r>
      <w:r w:rsidR="00AF3BAB" w:rsidRPr="00ED337B">
        <w:t xml:space="preserve"> k</w:t>
      </w:r>
      <w:r w:rsidRPr="00ED337B">
        <w:t>omponent</w:t>
      </w:r>
      <w:r w:rsidR="00AF3BAB" w:rsidRPr="00ED337B">
        <w:t>y</w:t>
      </w:r>
      <w:r w:rsidRPr="00ED337B">
        <w:t xml:space="preserve"> </w:t>
      </w:r>
    </w:p>
    <w:p w14:paraId="35BAB89E" w14:textId="265EF584" w:rsidR="000C0598" w:rsidRDefault="0015052B" w:rsidP="002E19BA">
      <w:pPr>
        <w:pStyle w:val="K-Nadpis3"/>
      </w:pPr>
      <w:r>
        <w:t>a</w:t>
      </w:r>
      <w:r w:rsidR="000C0598">
        <w:t>) Popis r</w:t>
      </w:r>
      <w:r w:rsidR="002E19BA">
        <w:t>efor</w:t>
      </w:r>
      <w:r w:rsidR="000C0598">
        <w:t>e</w:t>
      </w:r>
      <w:r w:rsidR="002E19BA">
        <w:t xml:space="preserve">m </w:t>
      </w:r>
    </w:p>
    <w:p w14:paraId="504A1DF0" w14:textId="77777777" w:rsidR="00815B4F" w:rsidRDefault="00815B4F" w:rsidP="00081843">
      <w:pPr>
        <w:pStyle w:val="K-TextInfo"/>
        <w:ind w:left="66"/>
      </w:pPr>
    </w:p>
    <w:p w14:paraId="7F96C317" w14:textId="521BBBF0" w:rsidR="00ED612A" w:rsidRDefault="005B3F5C" w:rsidP="00815B4F">
      <w:pPr>
        <w:pStyle w:val="K-Tabulka"/>
        <w:spacing w:before="200" w:after="200"/>
      </w:pPr>
      <w:r w:rsidRPr="005B3F5C">
        <w:t xml:space="preserve">1. </w:t>
      </w:r>
      <w:r w:rsidR="00815B4F">
        <w:t>Transformace teplárenství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852465" w14:paraId="670B5AC8" w14:textId="77777777" w:rsidTr="00081843">
        <w:tc>
          <w:tcPr>
            <w:tcW w:w="2405" w:type="dxa"/>
          </w:tcPr>
          <w:p w14:paraId="36F28BB9" w14:textId="0D4A873B" w:rsidR="00852465" w:rsidRPr="00852465" w:rsidRDefault="00852465" w:rsidP="00081843">
            <w:pPr>
              <w:pStyle w:val="K-Text"/>
              <w:jc w:val="left"/>
            </w:pPr>
            <w:r w:rsidRPr="00852465">
              <w:t>Výzva</w:t>
            </w:r>
          </w:p>
        </w:tc>
        <w:tc>
          <w:tcPr>
            <w:tcW w:w="7223" w:type="dxa"/>
          </w:tcPr>
          <w:p w14:paraId="3A4B0ACB" w14:textId="6BE9DAC5" w:rsidR="00917CC1" w:rsidRDefault="00815B4F" w:rsidP="005D09A9">
            <w:pPr>
              <w:pStyle w:val="K-TextInf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Na s</w:t>
            </w:r>
            <w:r w:rsidRPr="00815B4F">
              <w:rPr>
                <w:i w:val="0"/>
                <w:color w:val="auto"/>
              </w:rPr>
              <w:t xml:space="preserve">oustavy zásobování teplem </w:t>
            </w:r>
            <w:r>
              <w:rPr>
                <w:i w:val="0"/>
                <w:color w:val="auto"/>
              </w:rPr>
              <w:t xml:space="preserve">je v ČR připojeno cca 1,6 mil. domácností, což odpovídá cca 4 milionům obyvatel. </w:t>
            </w:r>
            <w:r w:rsidR="005D09A9">
              <w:rPr>
                <w:i w:val="0"/>
                <w:color w:val="auto"/>
              </w:rPr>
              <w:t>Relativně významná část tepelné energie je také využívána v sektoru průmyslu. Uhlí však stále tvoří dominantní podíl, který odpovídá cca 60 %. Na konci roku 2020 Uhelná komise ČR doporučila vládě ČR ukončit využívání uhlí pro výboru elektřiny a tepla do roku 2038. Teplárny však již nyní čelí relativně významnému ekonomickému a regulatornímu tlaku na změnu výrobní základny.</w:t>
            </w:r>
          </w:p>
          <w:p w14:paraId="28BB50AF" w14:textId="6A8702D9" w:rsidR="00852465" w:rsidRDefault="005D09A9" w:rsidP="005D09A9">
            <w:pPr>
              <w:pStyle w:val="K-TextInf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ČR i v tomto kontextu připravila strategii transformace teplárenství do roku 2030. Tato strategie uvádí základní politiky a opatření vedoucí k transformaci teplárenství, kterými jsou: i) určení základní strategie; </w:t>
            </w:r>
            <w:proofErr w:type="spellStart"/>
            <w:r>
              <w:rPr>
                <w:i w:val="0"/>
                <w:color w:val="auto"/>
              </w:rPr>
              <w:t>ii</w:t>
            </w:r>
            <w:proofErr w:type="spellEnd"/>
            <w:r>
              <w:rPr>
                <w:i w:val="0"/>
                <w:color w:val="auto"/>
              </w:rPr>
              <w:t xml:space="preserve">) nastavení nových systémů provozních podpor po roce 2020 (v tomto ohledu už je připravena novela příslušného zákona, který se nyní nachází v legislativním procesu); </w:t>
            </w:r>
            <w:proofErr w:type="spellStart"/>
            <w:r>
              <w:rPr>
                <w:i w:val="0"/>
                <w:color w:val="auto"/>
              </w:rPr>
              <w:t>iii</w:t>
            </w:r>
            <w:proofErr w:type="spellEnd"/>
            <w:r>
              <w:rPr>
                <w:i w:val="0"/>
                <w:color w:val="auto"/>
              </w:rPr>
              <w:t xml:space="preserve">) nastavení nových systémů investičních dotací po roce 2020; </w:t>
            </w:r>
            <w:proofErr w:type="spellStart"/>
            <w:r>
              <w:rPr>
                <w:i w:val="0"/>
                <w:color w:val="auto"/>
              </w:rPr>
              <w:t>iv</w:t>
            </w:r>
            <w:proofErr w:type="spellEnd"/>
            <w:r>
              <w:rPr>
                <w:i w:val="0"/>
                <w:color w:val="auto"/>
              </w:rPr>
              <w:t xml:space="preserve">) další finanční a ekonomické formy podpory; v) příprava nového modelu regulace teplárenství; </w:t>
            </w:r>
            <w:proofErr w:type="spellStart"/>
            <w:r>
              <w:rPr>
                <w:i w:val="0"/>
                <w:color w:val="auto"/>
              </w:rPr>
              <w:t>v</w:t>
            </w:r>
            <w:r w:rsidR="00917CC1">
              <w:rPr>
                <w:i w:val="0"/>
                <w:color w:val="auto"/>
              </w:rPr>
              <w:t>i</w:t>
            </w:r>
            <w:proofErr w:type="spellEnd"/>
            <w:r>
              <w:rPr>
                <w:i w:val="0"/>
                <w:color w:val="auto"/>
              </w:rPr>
              <w:t>)</w:t>
            </w:r>
            <w:r w:rsidR="00917CC1">
              <w:rPr>
                <w:i w:val="0"/>
                <w:color w:val="auto"/>
              </w:rPr>
              <w:t xml:space="preserve"> ochrana účinných soustav zásobování tepelnou energií a </w:t>
            </w:r>
            <w:proofErr w:type="spellStart"/>
            <w:r w:rsidR="00917CC1">
              <w:rPr>
                <w:i w:val="0"/>
                <w:color w:val="auto"/>
              </w:rPr>
              <w:t>vii</w:t>
            </w:r>
            <w:proofErr w:type="spellEnd"/>
            <w:r w:rsidR="00917CC1">
              <w:rPr>
                <w:i w:val="0"/>
                <w:color w:val="auto"/>
              </w:rPr>
              <w:t xml:space="preserve">) zavedení nových požadavků dle legislativy </w:t>
            </w:r>
            <w:r w:rsidR="00917CC1">
              <w:rPr>
                <w:i w:val="0"/>
                <w:color w:val="auto"/>
              </w:rPr>
              <w:lastRenderedPageBreak/>
              <w:t xml:space="preserve">EU (zejména se jedná o </w:t>
            </w:r>
            <w:r w:rsidR="00917CC1" w:rsidRPr="00917CC1">
              <w:rPr>
                <w:i w:val="0"/>
                <w:color w:val="auto"/>
              </w:rPr>
              <w:t>ověřování správnosti rozúčtování nákladů</w:t>
            </w:r>
            <w:r w:rsidR="00917CC1">
              <w:rPr>
                <w:i w:val="0"/>
                <w:color w:val="auto"/>
              </w:rPr>
              <w:t xml:space="preserve">, </w:t>
            </w:r>
            <w:r w:rsidR="00917CC1" w:rsidRPr="00917CC1">
              <w:rPr>
                <w:i w:val="0"/>
                <w:color w:val="auto"/>
              </w:rPr>
              <w:t>úprav</w:t>
            </w:r>
            <w:r w:rsidR="00917CC1">
              <w:rPr>
                <w:i w:val="0"/>
                <w:color w:val="auto"/>
              </w:rPr>
              <w:t>u</w:t>
            </w:r>
            <w:r w:rsidR="00917CC1" w:rsidRPr="00917CC1">
              <w:rPr>
                <w:i w:val="0"/>
                <w:color w:val="auto"/>
              </w:rPr>
              <w:t xml:space="preserve"> pravidel pro měření</w:t>
            </w:r>
            <w:r w:rsidR="00917CC1">
              <w:rPr>
                <w:i w:val="0"/>
                <w:color w:val="auto"/>
              </w:rPr>
              <w:t xml:space="preserve"> a </w:t>
            </w:r>
            <w:r w:rsidR="00917CC1" w:rsidRPr="00917CC1">
              <w:rPr>
                <w:i w:val="0"/>
                <w:color w:val="auto"/>
              </w:rPr>
              <w:t>záruky původu na teplo z</w:t>
            </w:r>
            <w:r w:rsidR="00917CC1">
              <w:rPr>
                <w:i w:val="0"/>
                <w:color w:val="auto"/>
              </w:rPr>
              <w:t> </w:t>
            </w:r>
            <w:r w:rsidR="00917CC1" w:rsidRPr="00917CC1">
              <w:rPr>
                <w:i w:val="0"/>
                <w:color w:val="auto"/>
              </w:rPr>
              <w:t>OZE</w:t>
            </w:r>
            <w:r w:rsidR="00917CC1">
              <w:rPr>
                <w:i w:val="0"/>
                <w:color w:val="auto"/>
              </w:rPr>
              <w:t>).</w:t>
            </w:r>
          </w:p>
          <w:p w14:paraId="3ED30B09" w14:textId="77777777" w:rsidR="00917CC1" w:rsidRDefault="00917CC1" w:rsidP="005D09A9">
            <w:pPr>
              <w:pStyle w:val="K-TextInf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Uvedená transformace by měla vést k poměrně výraznému omezení spalování uhlí pro výrobu tepla (a související výrobu elektřiny) do roku 2030 zejména přechodem na spalování zemního plynu, biomasy a odpadů. V tomto ohledu se také předpokládá, že dojde k poklesu emisí skleníkových plynů cca na 1/3 stávajícího stavu.</w:t>
            </w:r>
          </w:p>
          <w:p w14:paraId="11E7072F" w14:textId="230287EC" w:rsidR="00295AC0" w:rsidRPr="00815B4F" w:rsidRDefault="00295AC0" w:rsidP="005D09A9">
            <w:pPr>
              <w:pStyle w:val="K-TextInf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Transformace teplárenství musí zahrnovat jak zdrojovou základnu, tak distribuci teplené energie. Prostředky z fondu obnovy budou využity na modernizaci distribuce energie, tato část komponenty tedy netvoří samostatnou ucelenou reformu, ale zapadá do širší reformy teplárenství, která je stručně popsána výše.</w:t>
            </w:r>
          </w:p>
        </w:tc>
      </w:tr>
      <w:tr w:rsidR="00852465" w14:paraId="5CA2E1FD" w14:textId="77777777" w:rsidTr="00081843">
        <w:tc>
          <w:tcPr>
            <w:tcW w:w="2405" w:type="dxa"/>
          </w:tcPr>
          <w:p w14:paraId="39A69A26" w14:textId="10FDBFDD" w:rsidR="00852465" w:rsidRPr="00852465" w:rsidRDefault="00852465" w:rsidP="00081843">
            <w:pPr>
              <w:pStyle w:val="K-Text"/>
              <w:jc w:val="left"/>
            </w:pPr>
            <w:r>
              <w:lastRenderedPageBreak/>
              <w:t>Cíl</w:t>
            </w:r>
          </w:p>
        </w:tc>
        <w:tc>
          <w:tcPr>
            <w:tcW w:w="7223" w:type="dxa"/>
          </w:tcPr>
          <w:p w14:paraId="4774886F" w14:textId="69101DD2" w:rsidR="00852465" w:rsidRPr="00295AC0" w:rsidRDefault="00295AC0" w:rsidP="00852465">
            <w:pPr>
              <w:pStyle w:val="K-TextInfo"/>
              <w:rPr>
                <w:i w:val="0"/>
                <w:color w:val="auto"/>
              </w:rPr>
            </w:pPr>
            <w:r w:rsidRPr="00295AC0">
              <w:rPr>
                <w:i w:val="0"/>
                <w:color w:val="auto"/>
              </w:rPr>
              <w:t xml:space="preserve">Transformace teplárenství </w:t>
            </w:r>
            <w:r>
              <w:rPr>
                <w:i w:val="0"/>
                <w:color w:val="auto"/>
              </w:rPr>
              <w:t xml:space="preserve">zejména ve smyslu přechodu uhelných zdrojů </w:t>
            </w:r>
            <w:r w:rsidR="00DF5124">
              <w:rPr>
                <w:i w:val="0"/>
                <w:color w:val="auto"/>
              </w:rPr>
              <w:t xml:space="preserve">na paliva s nižšími emisemi skleníkových plynů (a také znečišťujících látek). </w:t>
            </w:r>
          </w:p>
        </w:tc>
      </w:tr>
      <w:tr w:rsidR="00852465" w14:paraId="0E956A8B" w14:textId="77777777" w:rsidTr="00081843">
        <w:tc>
          <w:tcPr>
            <w:tcW w:w="2405" w:type="dxa"/>
          </w:tcPr>
          <w:p w14:paraId="6FC494AD" w14:textId="5393D2F8" w:rsidR="00852465" w:rsidRPr="00852465" w:rsidRDefault="00852465" w:rsidP="00081843">
            <w:pPr>
              <w:pStyle w:val="K-Text"/>
              <w:jc w:val="left"/>
            </w:pPr>
            <w:r w:rsidRPr="00852465">
              <w:t>Implementace</w:t>
            </w:r>
          </w:p>
        </w:tc>
        <w:tc>
          <w:tcPr>
            <w:tcW w:w="7223" w:type="dxa"/>
          </w:tcPr>
          <w:p w14:paraId="6388B505" w14:textId="4CB00E3D" w:rsidR="00852465" w:rsidRPr="00DF5124" w:rsidRDefault="00DF5124" w:rsidP="00DF5124">
            <w:pPr>
              <w:pStyle w:val="K-TextInfo"/>
              <w:rPr>
                <w:i w:val="0"/>
                <w:color w:val="auto"/>
              </w:rPr>
            </w:pPr>
            <w:r w:rsidRPr="00DF5124">
              <w:rPr>
                <w:i w:val="0"/>
                <w:color w:val="auto"/>
              </w:rPr>
              <w:t xml:space="preserve">Implementace </w:t>
            </w:r>
            <w:r>
              <w:rPr>
                <w:i w:val="0"/>
                <w:color w:val="auto"/>
              </w:rPr>
              <w:t>probíhá</w:t>
            </w:r>
            <w:r w:rsidRPr="00DF5124">
              <w:rPr>
                <w:i w:val="0"/>
                <w:color w:val="auto"/>
              </w:rPr>
              <w:t xml:space="preserve"> skrze změnu legislativy, </w:t>
            </w:r>
            <w:r>
              <w:rPr>
                <w:i w:val="0"/>
                <w:color w:val="auto"/>
              </w:rPr>
              <w:t xml:space="preserve">dále skrze systém provozních podpory a </w:t>
            </w:r>
            <w:r w:rsidRPr="00DF5124">
              <w:rPr>
                <w:i w:val="0"/>
                <w:color w:val="auto"/>
              </w:rPr>
              <w:t xml:space="preserve">skrze </w:t>
            </w:r>
            <w:r>
              <w:rPr>
                <w:i w:val="0"/>
                <w:color w:val="auto"/>
              </w:rPr>
              <w:t xml:space="preserve">příslušné dotační tituly (Modernizační fond, </w:t>
            </w:r>
            <w:r w:rsidRPr="00DF5124">
              <w:rPr>
                <w:i w:val="0"/>
                <w:color w:val="auto"/>
              </w:rPr>
              <w:t>Fond pro spravedlivou transformaci</w:t>
            </w:r>
            <w:r>
              <w:rPr>
                <w:i w:val="0"/>
                <w:color w:val="auto"/>
              </w:rPr>
              <w:t>, Fond obnovy a operační programy).</w:t>
            </w:r>
          </w:p>
        </w:tc>
      </w:tr>
      <w:tr w:rsidR="00852465" w14:paraId="2195ABDF" w14:textId="77777777" w:rsidTr="00081843">
        <w:trPr>
          <w:trHeight w:val="70"/>
        </w:trPr>
        <w:tc>
          <w:tcPr>
            <w:tcW w:w="2405" w:type="dxa"/>
          </w:tcPr>
          <w:p w14:paraId="1525154A" w14:textId="32423FFF" w:rsidR="00852465" w:rsidRPr="00852465" w:rsidRDefault="005B3F5C" w:rsidP="00081843">
            <w:pPr>
              <w:pStyle w:val="K-Text"/>
              <w:jc w:val="left"/>
            </w:pPr>
            <w:r>
              <w:t>Spolupráce a z</w:t>
            </w:r>
            <w:r w:rsidR="00852465" w:rsidRPr="00852465">
              <w:t>apojení zúčastněných stran</w:t>
            </w:r>
          </w:p>
        </w:tc>
        <w:tc>
          <w:tcPr>
            <w:tcW w:w="7223" w:type="dxa"/>
          </w:tcPr>
          <w:p w14:paraId="4AAE739A" w14:textId="3FBBB2CD" w:rsidR="00852465" w:rsidRPr="00B463E1" w:rsidRDefault="00B463E1" w:rsidP="00852465">
            <w:pPr>
              <w:pStyle w:val="K-TextInfo"/>
              <w:rPr>
                <w:i w:val="0"/>
                <w:color w:val="auto"/>
              </w:rPr>
            </w:pPr>
            <w:r w:rsidRPr="00B463E1">
              <w:rPr>
                <w:i w:val="0"/>
                <w:color w:val="auto"/>
              </w:rPr>
              <w:t xml:space="preserve">Na transformaci teplárenství participuje řada subjektů. </w:t>
            </w:r>
            <w:r>
              <w:rPr>
                <w:i w:val="0"/>
                <w:color w:val="auto"/>
              </w:rPr>
              <w:t>Jedná se zejména o investory a dodavatel</w:t>
            </w:r>
            <w:r w:rsidR="00A454CE">
              <w:rPr>
                <w:i w:val="0"/>
                <w:color w:val="auto"/>
              </w:rPr>
              <w:t>sk</w:t>
            </w:r>
            <w:r>
              <w:rPr>
                <w:i w:val="0"/>
                <w:color w:val="auto"/>
              </w:rPr>
              <w:t>é společnosti. Na úrovni veřejné správy se pak jedná o několik ministerstev, Energetický regulační úřad, Státní fond životního prostředí atd.</w:t>
            </w:r>
          </w:p>
        </w:tc>
      </w:tr>
      <w:tr w:rsidR="00852465" w14:paraId="58888365" w14:textId="77777777" w:rsidTr="00081843">
        <w:tc>
          <w:tcPr>
            <w:tcW w:w="2405" w:type="dxa"/>
          </w:tcPr>
          <w:p w14:paraId="05EF4416" w14:textId="1A84B1CC" w:rsidR="00852465" w:rsidRPr="00852465" w:rsidRDefault="00852465" w:rsidP="00081843">
            <w:pPr>
              <w:pStyle w:val="K-Text"/>
              <w:jc w:val="left"/>
            </w:pPr>
            <w:r w:rsidRPr="00852465">
              <w:t>Překážky</w:t>
            </w:r>
            <w:r w:rsidR="005B3F5C">
              <w:t xml:space="preserve"> a rizika</w:t>
            </w:r>
          </w:p>
        </w:tc>
        <w:tc>
          <w:tcPr>
            <w:tcW w:w="7223" w:type="dxa"/>
          </w:tcPr>
          <w:p w14:paraId="4713AAB4" w14:textId="1694804B" w:rsidR="00852465" w:rsidRPr="00815B4F" w:rsidRDefault="004863F1" w:rsidP="00852465">
            <w:pPr>
              <w:pStyle w:val="K-TextInfo"/>
              <w:rPr>
                <w:color w:val="auto"/>
              </w:rPr>
            </w:pPr>
            <w:r w:rsidRPr="004863F1">
              <w:rPr>
                <w:i w:val="0"/>
                <w:color w:val="auto"/>
              </w:rPr>
              <w:t>Za překážky a rizika lze označit kupříkladu: nedostatečný časový horizont</w:t>
            </w:r>
            <w:r>
              <w:rPr>
                <w:color w:val="auto"/>
              </w:rPr>
              <w:t xml:space="preserve">; </w:t>
            </w:r>
            <w:r w:rsidRPr="004863F1">
              <w:rPr>
                <w:i w:val="0"/>
                <w:color w:val="auto"/>
              </w:rPr>
              <w:t>nedostatečn</w:t>
            </w:r>
            <w:r>
              <w:rPr>
                <w:i w:val="0"/>
                <w:color w:val="auto"/>
              </w:rPr>
              <w:t>á zdrojová základna pro provedení transformace; nedostatečné finanční zdroje</w:t>
            </w:r>
            <w:r w:rsidR="000C28A7">
              <w:rPr>
                <w:i w:val="0"/>
                <w:color w:val="auto"/>
              </w:rPr>
              <w:t xml:space="preserve"> atd.</w:t>
            </w:r>
          </w:p>
        </w:tc>
      </w:tr>
      <w:tr w:rsidR="00996DF6" w14:paraId="10F7FBF5" w14:textId="77777777" w:rsidTr="00081843">
        <w:tc>
          <w:tcPr>
            <w:tcW w:w="2405" w:type="dxa"/>
          </w:tcPr>
          <w:p w14:paraId="4390B09E" w14:textId="322A58E7" w:rsidR="00996DF6" w:rsidRPr="00852465" w:rsidRDefault="00996DF6" w:rsidP="00081843">
            <w:pPr>
              <w:pStyle w:val="K-Text"/>
              <w:jc w:val="left"/>
            </w:pPr>
            <w:r w:rsidRPr="00852465">
              <w:t xml:space="preserve">Cílové skupiny populace a </w:t>
            </w:r>
            <w:r>
              <w:t>ekonomické</w:t>
            </w:r>
            <w:r w:rsidRPr="00852465">
              <w:t xml:space="preserve"> subjekty</w:t>
            </w:r>
          </w:p>
        </w:tc>
        <w:tc>
          <w:tcPr>
            <w:tcW w:w="7223" w:type="dxa"/>
          </w:tcPr>
          <w:p w14:paraId="20D470CC" w14:textId="74ACCEE9" w:rsidR="00996DF6" w:rsidRPr="00DF5124" w:rsidRDefault="00DF5124" w:rsidP="00852465">
            <w:pPr>
              <w:pStyle w:val="K-TextInfo"/>
              <w:rPr>
                <w:i w:val="0"/>
                <w:color w:val="auto"/>
              </w:rPr>
            </w:pPr>
            <w:r w:rsidRPr="00DF5124">
              <w:rPr>
                <w:i w:val="0"/>
                <w:color w:val="auto"/>
              </w:rPr>
              <w:t>Za cílovou sk</w:t>
            </w:r>
            <w:r>
              <w:rPr>
                <w:i w:val="0"/>
                <w:color w:val="auto"/>
              </w:rPr>
              <w:t>u</w:t>
            </w:r>
            <w:r w:rsidRPr="00DF5124">
              <w:rPr>
                <w:i w:val="0"/>
                <w:color w:val="auto"/>
              </w:rPr>
              <w:t>p</w:t>
            </w:r>
            <w:r>
              <w:rPr>
                <w:i w:val="0"/>
                <w:color w:val="auto"/>
              </w:rPr>
              <w:t>i</w:t>
            </w:r>
            <w:r w:rsidRPr="00DF5124">
              <w:rPr>
                <w:i w:val="0"/>
                <w:color w:val="auto"/>
              </w:rPr>
              <w:t xml:space="preserve">nu je možné </w:t>
            </w:r>
            <w:r>
              <w:rPr>
                <w:i w:val="0"/>
                <w:color w:val="auto"/>
              </w:rPr>
              <w:t>označit cca 1,6 milionu domácností, které využívají teplo vyrobené v rámci soustav zásobování teplem, ale také průmyslové subjekty napojené na tyto soustavy.</w:t>
            </w:r>
          </w:p>
        </w:tc>
      </w:tr>
      <w:tr w:rsidR="00996DF6" w14:paraId="7A9BAC13" w14:textId="77777777" w:rsidTr="00081843">
        <w:tc>
          <w:tcPr>
            <w:tcW w:w="2405" w:type="dxa"/>
          </w:tcPr>
          <w:p w14:paraId="7C2A959D" w14:textId="2F562376" w:rsidR="00996DF6" w:rsidRPr="00852465" w:rsidRDefault="00996DF6" w:rsidP="00081843">
            <w:pPr>
              <w:pStyle w:val="K-Text"/>
              <w:jc w:val="left"/>
            </w:pPr>
            <w:r>
              <w:t>Souhrnné náklady realizace financované z RRF za celé období</w:t>
            </w:r>
          </w:p>
        </w:tc>
        <w:tc>
          <w:tcPr>
            <w:tcW w:w="7223" w:type="dxa"/>
          </w:tcPr>
          <w:p w14:paraId="08BAA013" w14:textId="6D4DC0BE" w:rsidR="00996DF6" w:rsidRPr="004863F1" w:rsidRDefault="004863F1" w:rsidP="00852465">
            <w:pPr>
              <w:pStyle w:val="K-TextInfo"/>
              <w:rPr>
                <w:i w:val="0"/>
                <w:color w:val="auto"/>
              </w:rPr>
            </w:pPr>
            <w:r w:rsidRPr="004863F1">
              <w:rPr>
                <w:i w:val="0"/>
                <w:color w:val="auto"/>
              </w:rPr>
              <w:t xml:space="preserve">Souhrnné náklad jsou </w:t>
            </w:r>
            <w:r>
              <w:rPr>
                <w:i w:val="0"/>
                <w:color w:val="auto"/>
              </w:rPr>
              <w:t>předběžně kvantifikovány ve „</w:t>
            </w:r>
            <w:r w:rsidRPr="004863F1">
              <w:rPr>
                <w:i w:val="0"/>
                <w:color w:val="auto"/>
              </w:rPr>
              <w:t>Strategi</w:t>
            </w:r>
            <w:r>
              <w:rPr>
                <w:i w:val="0"/>
                <w:color w:val="auto"/>
              </w:rPr>
              <w:t>i</w:t>
            </w:r>
            <w:r w:rsidRPr="004863F1">
              <w:rPr>
                <w:i w:val="0"/>
                <w:color w:val="auto"/>
              </w:rPr>
              <w:t xml:space="preserve"> stabilizace a</w:t>
            </w:r>
            <w:r>
              <w:rPr>
                <w:i w:val="0"/>
                <w:color w:val="auto"/>
              </w:rPr>
              <w:t> </w:t>
            </w:r>
            <w:r w:rsidRPr="004863F1">
              <w:rPr>
                <w:i w:val="0"/>
                <w:color w:val="auto"/>
              </w:rPr>
              <w:t>rozvoje soustav zásobování tepelnou energií</w:t>
            </w:r>
            <w:r>
              <w:rPr>
                <w:i w:val="0"/>
                <w:color w:val="auto"/>
              </w:rPr>
              <w:t>“. Jedná se zejména o náklady na provozní podporu kombinované výroby elektřiny a tepla. Dále se jedná o náklady na investiční podporu. Hlavním zdrojem je v tomto ohledu tzv. Modernizační fond, kdy by mělo být na oblast teplárenství alokováno 26 % z celkových cca 120 mld. Kč (celková alokace záleží na vývoji ceny emisní povolenky).</w:t>
            </w:r>
          </w:p>
        </w:tc>
      </w:tr>
      <w:tr w:rsidR="00852465" w14:paraId="781CAD7E" w14:textId="77777777" w:rsidTr="00081843">
        <w:tc>
          <w:tcPr>
            <w:tcW w:w="2405" w:type="dxa"/>
          </w:tcPr>
          <w:p w14:paraId="0825A8E4" w14:textId="4B619239" w:rsidR="00852465" w:rsidRPr="00852465" w:rsidRDefault="00852465" w:rsidP="00081843">
            <w:pPr>
              <w:pStyle w:val="K-Text"/>
              <w:jc w:val="left"/>
            </w:pPr>
            <w:r w:rsidRPr="00852465">
              <w:t>Dodržování pravidel státní podpory</w:t>
            </w:r>
          </w:p>
        </w:tc>
        <w:tc>
          <w:tcPr>
            <w:tcW w:w="7223" w:type="dxa"/>
          </w:tcPr>
          <w:p w14:paraId="27CCD539" w14:textId="7B602E85" w:rsidR="00852465" w:rsidRPr="005B38C3" w:rsidRDefault="005B38C3" w:rsidP="00852465">
            <w:pPr>
              <w:pStyle w:val="K-TextInfo"/>
              <w:rPr>
                <w:i w:val="0"/>
                <w:color w:val="auto"/>
              </w:rPr>
            </w:pPr>
            <w:r w:rsidRPr="005B38C3">
              <w:rPr>
                <w:i w:val="0"/>
                <w:color w:val="auto"/>
              </w:rPr>
              <w:t xml:space="preserve">Provozní podpora musí být notifikována. </w:t>
            </w:r>
            <w:r>
              <w:rPr>
                <w:i w:val="0"/>
                <w:color w:val="auto"/>
              </w:rPr>
              <w:t>Investiční podpora také podléhá schvalování Evropské komise, respektive Evropské investiční banky.</w:t>
            </w:r>
          </w:p>
        </w:tc>
      </w:tr>
      <w:tr w:rsidR="00852465" w14:paraId="2DC848FC" w14:textId="77777777" w:rsidTr="00081843">
        <w:tc>
          <w:tcPr>
            <w:tcW w:w="2405" w:type="dxa"/>
          </w:tcPr>
          <w:p w14:paraId="7968264E" w14:textId="1DF85D5F" w:rsidR="00852465" w:rsidRPr="00852465" w:rsidRDefault="00996DF6" w:rsidP="00081843">
            <w:pPr>
              <w:pStyle w:val="K-Text"/>
              <w:jc w:val="left"/>
            </w:pPr>
            <w:r>
              <w:t>Uveďte dobu implementace</w:t>
            </w:r>
          </w:p>
        </w:tc>
        <w:tc>
          <w:tcPr>
            <w:tcW w:w="7223" w:type="dxa"/>
          </w:tcPr>
          <w:p w14:paraId="2B927CBE" w14:textId="2AD657EB" w:rsidR="00852465" w:rsidRPr="00815B4F" w:rsidRDefault="000C28A7" w:rsidP="00852465">
            <w:pPr>
              <w:pStyle w:val="K-TextInfo"/>
              <w:rPr>
                <w:color w:val="auto"/>
              </w:rPr>
            </w:pPr>
            <w:r>
              <w:rPr>
                <w:i w:val="0"/>
                <w:color w:val="auto"/>
              </w:rPr>
              <w:t>„</w:t>
            </w:r>
            <w:r w:rsidRPr="004863F1">
              <w:rPr>
                <w:i w:val="0"/>
                <w:color w:val="auto"/>
              </w:rPr>
              <w:t>Strategi</w:t>
            </w:r>
            <w:r>
              <w:rPr>
                <w:i w:val="0"/>
                <w:color w:val="auto"/>
              </w:rPr>
              <w:t>i</w:t>
            </w:r>
            <w:r w:rsidRPr="004863F1">
              <w:rPr>
                <w:i w:val="0"/>
                <w:color w:val="auto"/>
              </w:rPr>
              <w:t xml:space="preserve"> stabilizace a</w:t>
            </w:r>
            <w:r>
              <w:rPr>
                <w:i w:val="0"/>
                <w:color w:val="auto"/>
              </w:rPr>
              <w:t> </w:t>
            </w:r>
            <w:r w:rsidRPr="004863F1">
              <w:rPr>
                <w:i w:val="0"/>
                <w:color w:val="auto"/>
              </w:rPr>
              <w:t>rozvoje soustav zásobování tepelnou energií</w:t>
            </w:r>
            <w:r>
              <w:rPr>
                <w:i w:val="0"/>
                <w:color w:val="auto"/>
              </w:rPr>
              <w:t>“ je koncipována na období 2021-2030. Předpokládá se však, že některá opatření budou realizována i za rámec tohoto horizontu.</w:t>
            </w:r>
          </w:p>
        </w:tc>
      </w:tr>
    </w:tbl>
    <w:p w14:paraId="4E5042D4" w14:textId="0CD57E71" w:rsidR="00815B4F" w:rsidRDefault="00815B4F" w:rsidP="00815B4F">
      <w:pPr>
        <w:pStyle w:val="K-Tabulka"/>
        <w:spacing w:before="200" w:after="200"/>
      </w:pPr>
      <w:r>
        <w:t>2</w:t>
      </w:r>
      <w:r w:rsidRPr="005B3F5C">
        <w:t xml:space="preserve">. </w:t>
      </w:r>
      <w:r>
        <w:t>Dekarbonizace energetického sektoru ČR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815B4F" w14:paraId="6BB8EC64" w14:textId="77777777" w:rsidTr="004379D1">
        <w:tc>
          <w:tcPr>
            <w:tcW w:w="2405" w:type="dxa"/>
          </w:tcPr>
          <w:p w14:paraId="10E4EF86" w14:textId="77777777" w:rsidR="00815B4F" w:rsidRPr="00852465" w:rsidRDefault="00815B4F" w:rsidP="004379D1">
            <w:pPr>
              <w:pStyle w:val="K-Text"/>
              <w:jc w:val="left"/>
            </w:pPr>
            <w:r w:rsidRPr="00852465">
              <w:t>Výzva</w:t>
            </w:r>
          </w:p>
        </w:tc>
        <w:tc>
          <w:tcPr>
            <w:tcW w:w="7223" w:type="dxa"/>
          </w:tcPr>
          <w:p w14:paraId="39C59383" w14:textId="640FAD2D" w:rsidR="00815B4F" w:rsidRPr="001A1083" w:rsidRDefault="001A1083" w:rsidP="004379D1">
            <w:pPr>
              <w:pStyle w:val="K-TextInfo"/>
              <w:rPr>
                <w:i w:val="0"/>
                <w:color w:val="auto"/>
              </w:rPr>
            </w:pPr>
            <w:r w:rsidRPr="001A1083">
              <w:rPr>
                <w:rStyle w:val="K-TextChar"/>
                <w:i w:val="0"/>
                <w:color w:val="auto"/>
              </w:rPr>
              <w:t>Výstavba</w:t>
            </w:r>
            <w:r>
              <w:rPr>
                <w:rStyle w:val="K-TextChar"/>
                <w:i w:val="0"/>
                <w:color w:val="auto"/>
              </w:rPr>
              <w:t>, respektive rozvoj</w:t>
            </w:r>
            <w:r w:rsidRPr="001A1083">
              <w:rPr>
                <w:rStyle w:val="K-TextChar"/>
                <w:i w:val="0"/>
                <w:color w:val="auto"/>
              </w:rPr>
              <w:t xml:space="preserve"> nových OZE</w:t>
            </w:r>
            <w:r>
              <w:rPr>
                <w:rStyle w:val="K-TextChar"/>
                <w:i w:val="0"/>
                <w:color w:val="auto"/>
              </w:rPr>
              <w:t xml:space="preserve"> reflektuje širší výzvu v podobě dekarbonizace energetického sektoru ČR. </w:t>
            </w:r>
            <w:r w:rsidRPr="001A1083">
              <w:rPr>
                <w:rStyle w:val="K-TextChar"/>
                <w:i w:val="0"/>
                <w:color w:val="auto"/>
              </w:rPr>
              <w:t>Energetika ČR je stále založena ve velké míře na spalování fosilních paliv, s čímž souvisí vysoký podíl na celkových emisích skleníkových plynů. V roce 2018 bylo spalování paliv v</w:t>
            </w:r>
            <w:r>
              <w:rPr>
                <w:rStyle w:val="K-TextChar"/>
                <w:i w:val="0"/>
                <w:color w:val="auto"/>
              </w:rPr>
              <w:t> </w:t>
            </w:r>
            <w:r w:rsidRPr="001A1083">
              <w:rPr>
                <w:rStyle w:val="K-TextChar"/>
                <w:i w:val="0"/>
                <w:color w:val="auto"/>
              </w:rPr>
              <w:t>sektoru energetiky spojeno s přibližně 51 mil. tun emisní skleníkových plynů v porovnání s celkovými 133 mil. tun. (zdroj NIR).</w:t>
            </w:r>
            <w:r>
              <w:rPr>
                <w:rStyle w:val="K-TextChar"/>
                <w:i w:val="0"/>
                <w:color w:val="auto"/>
              </w:rPr>
              <w:t xml:space="preserve"> Za hlavní výzvu je </w:t>
            </w:r>
            <w:r>
              <w:rPr>
                <w:rStyle w:val="K-TextChar"/>
                <w:i w:val="0"/>
                <w:color w:val="auto"/>
              </w:rPr>
              <w:lastRenderedPageBreak/>
              <w:t>tedy možné označit snížení skleníkových plynů v sektoru energetiky ČR. Zvýšení podílu OZE je jedním ze způsobu adresování této výzvy.</w:t>
            </w:r>
          </w:p>
        </w:tc>
      </w:tr>
      <w:tr w:rsidR="00815B4F" w14:paraId="61022296" w14:textId="77777777" w:rsidTr="004379D1">
        <w:tc>
          <w:tcPr>
            <w:tcW w:w="2405" w:type="dxa"/>
          </w:tcPr>
          <w:p w14:paraId="3051B66F" w14:textId="77777777" w:rsidR="00815B4F" w:rsidRPr="00852465" w:rsidRDefault="00815B4F" w:rsidP="004379D1">
            <w:pPr>
              <w:pStyle w:val="K-Text"/>
              <w:jc w:val="left"/>
            </w:pPr>
            <w:r>
              <w:lastRenderedPageBreak/>
              <w:t>Cíl</w:t>
            </w:r>
          </w:p>
        </w:tc>
        <w:tc>
          <w:tcPr>
            <w:tcW w:w="7223" w:type="dxa"/>
          </w:tcPr>
          <w:p w14:paraId="1818F649" w14:textId="77777777" w:rsidR="00815B4F" w:rsidRDefault="001A1083" w:rsidP="004379D1">
            <w:pPr>
              <w:pStyle w:val="K-TextInfo"/>
              <w:rPr>
                <w:rStyle w:val="K-TextChar"/>
                <w:i w:val="0"/>
                <w:color w:val="auto"/>
              </w:rPr>
            </w:pPr>
            <w:r w:rsidRPr="001A1083">
              <w:rPr>
                <w:rStyle w:val="K-TextChar"/>
                <w:i w:val="0"/>
                <w:color w:val="auto"/>
              </w:rPr>
              <w:t>Cíle jso</w:t>
            </w:r>
            <w:r>
              <w:rPr>
                <w:rStyle w:val="K-TextChar"/>
                <w:i w:val="0"/>
                <w:color w:val="auto"/>
              </w:rPr>
              <w:t>u poměrně detailně popsány v</w:t>
            </w:r>
            <w:r w:rsidR="00385AD8">
              <w:rPr>
                <w:rStyle w:val="K-TextChar"/>
                <w:i w:val="0"/>
                <w:color w:val="auto"/>
              </w:rPr>
              <w:t>e Vnitrostátním plánu ČR v oblasti energetiky a klimatu, konkrétně v části 2, která popisuje vnitrostátní cíle v základních pěti dimenzích Energetické unie.</w:t>
            </w:r>
          </w:p>
          <w:p w14:paraId="49D08EC6" w14:textId="49963CD9" w:rsidR="004863F1" w:rsidRPr="001A1083" w:rsidRDefault="004863F1" w:rsidP="004379D1">
            <w:pPr>
              <w:pStyle w:val="K-TextInf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V oblasti obnovitelných zdrojů energie je stanoven cíl zvýšení podílu do roku 2030 na úroveň 22 %.</w:t>
            </w:r>
          </w:p>
        </w:tc>
      </w:tr>
      <w:tr w:rsidR="00815B4F" w14:paraId="2C6930E7" w14:textId="77777777" w:rsidTr="004379D1">
        <w:tc>
          <w:tcPr>
            <w:tcW w:w="2405" w:type="dxa"/>
          </w:tcPr>
          <w:p w14:paraId="29F5BA79" w14:textId="77777777" w:rsidR="00815B4F" w:rsidRPr="00852465" w:rsidRDefault="00815B4F" w:rsidP="004379D1">
            <w:pPr>
              <w:pStyle w:val="K-Text"/>
              <w:jc w:val="left"/>
            </w:pPr>
            <w:r w:rsidRPr="00852465">
              <w:t>Implementace</w:t>
            </w:r>
          </w:p>
        </w:tc>
        <w:tc>
          <w:tcPr>
            <w:tcW w:w="7223" w:type="dxa"/>
          </w:tcPr>
          <w:p w14:paraId="52FF6F99" w14:textId="17EA0155" w:rsidR="00815B4F" w:rsidRPr="001A1083" w:rsidRDefault="00A454CE" w:rsidP="004379D1">
            <w:pPr>
              <w:pStyle w:val="K-TextInf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Implementace je popsána v rámci Vnitrostátního plánu ČR v oblasti energetiky a klimatu, konkrétně v části 3.</w:t>
            </w:r>
          </w:p>
        </w:tc>
      </w:tr>
      <w:tr w:rsidR="00815B4F" w14:paraId="05511C8B" w14:textId="77777777" w:rsidTr="004379D1">
        <w:trPr>
          <w:trHeight w:val="70"/>
        </w:trPr>
        <w:tc>
          <w:tcPr>
            <w:tcW w:w="2405" w:type="dxa"/>
          </w:tcPr>
          <w:p w14:paraId="5A85CC1B" w14:textId="77777777" w:rsidR="00815B4F" w:rsidRPr="00852465" w:rsidRDefault="00815B4F" w:rsidP="004379D1">
            <w:pPr>
              <w:pStyle w:val="K-Text"/>
              <w:jc w:val="left"/>
            </w:pPr>
            <w:r>
              <w:t>Spolupráce a z</w:t>
            </w:r>
            <w:r w:rsidRPr="00852465">
              <w:t>apojení zúčastněných stran</w:t>
            </w:r>
          </w:p>
        </w:tc>
        <w:tc>
          <w:tcPr>
            <w:tcW w:w="7223" w:type="dxa"/>
          </w:tcPr>
          <w:p w14:paraId="59F41EDE" w14:textId="5E1BD3CE" w:rsidR="00815B4F" w:rsidRPr="001A1083" w:rsidRDefault="00A454CE" w:rsidP="004379D1">
            <w:pPr>
              <w:pStyle w:val="K-TextInfo"/>
              <w:rPr>
                <w:i w:val="0"/>
                <w:color w:val="auto"/>
              </w:rPr>
            </w:pPr>
            <w:r w:rsidRPr="00B463E1">
              <w:rPr>
                <w:i w:val="0"/>
                <w:color w:val="auto"/>
              </w:rPr>
              <w:t xml:space="preserve">Na </w:t>
            </w:r>
            <w:r>
              <w:rPr>
                <w:i w:val="0"/>
                <w:color w:val="auto"/>
              </w:rPr>
              <w:t>dekarbonizaci energetického sektoru</w:t>
            </w:r>
            <w:r w:rsidRPr="00B463E1">
              <w:rPr>
                <w:i w:val="0"/>
                <w:color w:val="auto"/>
              </w:rPr>
              <w:t xml:space="preserve"> participuje řada subjektů. </w:t>
            </w:r>
            <w:r>
              <w:rPr>
                <w:i w:val="0"/>
                <w:color w:val="auto"/>
              </w:rPr>
              <w:t>Jedná se zejména o investory a dodavatelské společnosti. Na úrovni veřejné správy se pak jedná o několik ministerstev, Energetický regulační úřad, Státní fond životního prostředí atd.</w:t>
            </w:r>
          </w:p>
        </w:tc>
      </w:tr>
      <w:tr w:rsidR="00815B4F" w14:paraId="6DFB8B21" w14:textId="77777777" w:rsidTr="004379D1">
        <w:tc>
          <w:tcPr>
            <w:tcW w:w="2405" w:type="dxa"/>
          </w:tcPr>
          <w:p w14:paraId="13C0B792" w14:textId="77777777" w:rsidR="00815B4F" w:rsidRPr="00852465" w:rsidRDefault="00815B4F" w:rsidP="004379D1">
            <w:pPr>
              <w:pStyle w:val="K-Text"/>
              <w:jc w:val="left"/>
            </w:pPr>
            <w:r w:rsidRPr="00852465">
              <w:t>Překážky</w:t>
            </w:r>
            <w:r>
              <w:t xml:space="preserve"> a rizika</w:t>
            </w:r>
          </w:p>
        </w:tc>
        <w:tc>
          <w:tcPr>
            <w:tcW w:w="7223" w:type="dxa"/>
          </w:tcPr>
          <w:p w14:paraId="634F22EB" w14:textId="28938EE4" w:rsidR="00815B4F" w:rsidRPr="001A1083" w:rsidRDefault="00A454CE" w:rsidP="004379D1">
            <w:pPr>
              <w:pStyle w:val="K-TextInfo"/>
              <w:rPr>
                <w:i w:val="0"/>
                <w:color w:val="auto"/>
              </w:rPr>
            </w:pPr>
            <w:r w:rsidRPr="004863F1">
              <w:rPr>
                <w:i w:val="0"/>
                <w:color w:val="auto"/>
              </w:rPr>
              <w:t>Za překážky a rizika lze označit kupříkladu: nedostatečný časový horizont</w:t>
            </w:r>
            <w:r>
              <w:rPr>
                <w:color w:val="auto"/>
              </w:rPr>
              <w:t xml:space="preserve">; </w:t>
            </w:r>
            <w:r w:rsidRPr="004863F1">
              <w:rPr>
                <w:i w:val="0"/>
                <w:color w:val="auto"/>
              </w:rPr>
              <w:t>nedostatečn</w:t>
            </w:r>
            <w:r>
              <w:rPr>
                <w:i w:val="0"/>
                <w:color w:val="auto"/>
              </w:rPr>
              <w:t>á zdrojová základna pro provedení transformace; nedostatečné finanční zdroje atd.</w:t>
            </w:r>
          </w:p>
        </w:tc>
      </w:tr>
      <w:tr w:rsidR="00815B4F" w14:paraId="4A57FA08" w14:textId="77777777" w:rsidTr="004379D1">
        <w:tc>
          <w:tcPr>
            <w:tcW w:w="2405" w:type="dxa"/>
          </w:tcPr>
          <w:p w14:paraId="66155132" w14:textId="77777777" w:rsidR="00815B4F" w:rsidRPr="00852465" w:rsidRDefault="00815B4F" w:rsidP="004379D1">
            <w:pPr>
              <w:pStyle w:val="K-Text"/>
              <w:jc w:val="left"/>
            </w:pPr>
            <w:r w:rsidRPr="00852465">
              <w:t xml:space="preserve">Cílové skupiny populace a </w:t>
            </w:r>
            <w:r>
              <w:t>ekonomické</w:t>
            </w:r>
            <w:r w:rsidRPr="00852465">
              <w:t xml:space="preserve"> subjekty</w:t>
            </w:r>
          </w:p>
        </w:tc>
        <w:tc>
          <w:tcPr>
            <w:tcW w:w="7223" w:type="dxa"/>
          </w:tcPr>
          <w:p w14:paraId="5AD8CDB2" w14:textId="4339E24E" w:rsidR="00815B4F" w:rsidRPr="001A1083" w:rsidRDefault="00A454CE" w:rsidP="004379D1">
            <w:pPr>
              <w:pStyle w:val="K-TextInf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 xml:space="preserve">Za cílovou skupinu je možné označit celou populaci ČR, které by měla </w:t>
            </w:r>
            <w:proofErr w:type="spellStart"/>
            <w:r>
              <w:rPr>
                <w:i w:val="0"/>
                <w:color w:val="auto"/>
              </w:rPr>
              <w:t>benefitovat</w:t>
            </w:r>
            <w:proofErr w:type="spellEnd"/>
            <w:r>
              <w:rPr>
                <w:i w:val="0"/>
                <w:color w:val="auto"/>
              </w:rPr>
              <w:t xml:space="preserve"> z nižších emisí skleníkových plynů</w:t>
            </w:r>
            <w:r w:rsidR="00710C8F">
              <w:rPr>
                <w:i w:val="0"/>
                <w:color w:val="auto"/>
              </w:rPr>
              <w:t>, respektive částečnému zamezení negativních změn klimatu,</w:t>
            </w:r>
            <w:r>
              <w:rPr>
                <w:i w:val="0"/>
                <w:color w:val="auto"/>
              </w:rPr>
              <w:t xml:space="preserve"> a znečišťujících látek.</w:t>
            </w:r>
          </w:p>
        </w:tc>
      </w:tr>
      <w:tr w:rsidR="00815B4F" w14:paraId="3C122251" w14:textId="77777777" w:rsidTr="004379D1">
        <w:tc>
          <w:tcPr>
            <w:tcW w:w="2405" w:type="dxa"/>
          </w:tcPr>
          <w:p w14:paraId="2C1FF2FA" w14:textId="77777777" w:rsidR="00815B4F" w:rsidRPr="00852465" w:rsidRDefault="00815B4F" w:rsidP="004379D1">
            <w:pPr>
              <w:pStyle w:val="K-Text"/>
              <w:jc w:val="left"/>
            </w:pPr>
            <w:r>
              <w:t>Souhrnné náklady realizace financované z RRF za celé období</w:t>
            </w:r>
          </w:p>
        </w:tc>
        <w:tc>
          <w:tcPr>
            <w:tcW w:w="7223" w:type="dxa"/>
          </w:tcPr>
          <w:p w14:paraId="60B93424" w14:textId="5363A99F" w:rsidR="00815B4F" w:rsidRPr="001A1083" w:rsidRDefault="004863F1" w:rsidP="004379D1">
            <w:pPr>
              <w:pStyle w:val="K-TextInf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Souhrnné náklady jsou popsány ve Vnitrostátním plánu ČR v oblasti energetiky a klimatu, konkrétně v části 5.3, která uvádí přehled investičních potřeb.</w:t>
            </w:r>
          </w:p>
        </w:tc>
      </w:tr>
      <w:tr w:rsidR="00815B4F" w14:paraId="5F1E0091" w14:textId="77777777" w:rsidTr="004379D1">
        <w:tc>
          <w:tcPr>
            <w:tcW w:w="2405" w:type="dxa"/>
          </w:tcPr>
          <w:p w14:paraId="1EBB6414" w14:textId="77777777" w:rsidR="00815B4F" w:rsidRPr="00852465" w:rsidRDefault="00815B4F" w:rsidP="004379D1">
            <w:pPr>
              <w:pStyle w:val="K-Text"/>
              <w:jc w:val="left"/>
            </w:pPr>
            <w:r w:rsidRPr="00852465">
              <w:t>Dodržování pravidel státní podpory</w:t>
            </w:r>
          </w:p>
        </w:tc>
        <w:tc>
          <w:tcPr>
            <w:tcW w:w="7223" w:type="dxa"/>
          </w:tcPr>
          <w:p w14:paraId="15FB2743" w14:textId="25DE083F" w:rsidR="00815B4F" w:rsidRPr="001A1083" w:rsidRDefault="00A454CE" w:rsidP="004379D1">
            <w:pPr>
              <w:pStyle w:val="K-TextInfo"/>
              <w:rPr>
                <w:i w:val="0"/>
                <w:color w:val="auto"/>
              </w:rPr>
            </w:pPr>
            <w:r w:rsidRPr="005B38C3">
              <w:rPr>
                <w:i w:val="0"/>
                <w:color w:val="auto"/>
              </w:rPr>
              <w:t xml:space="preserve">Provozní podpora musí být notifikována. </w:t>
            </w:r>
            <w:r>
              <w:rPr>
                <w:i w:val="0"/>
                <w:color w:val="auto"/>
              </w:rPr>
              <w:t>Investiční podpora také podléhá schvalování Evropské komise, respektive Evropské investiční banky.</w:t>
            </w:r>
          </w:p>
        </w:tc>
      </w:tr>
      <w:tr w:rsidR="00815B4F" w14:paraId="55685FF5" w14:textId="77777777" w:rsidTr="004379D1">
        <w:tc>
          <w:tcPr>
            <w:tcW w:w="2405" w:type="dxa"/>
          </w:tcPr>
          <w:p w14:paraId="1D08A29B" w14:textId="77777777" w:rsidR="00815B4F" w:rsidRPr="00852465" w:rsidRDefault="00815B4F" w:rsidP="004379D1">
            <w:pPr>
              <w:pStyle w:val="K-Text"/>
              <w:jc w:val="left"/>
            </w:pPr>
            <w:r>
              <w:t>Uveďte dobu implementace</w:t>
            </w:r>
          </w:p>
        </w:tc>
        <w:tc>
          <w:tcPr>
            <w:tcW w:w="7223" w:type="dxa"/>
          </w:tcPr>
          <w:p w14:paraId="6F52C54F" w14:textId="6BEB290D" w:rsidR="00815B4F" w:rsidRPr="001A1083" w:rsidRDefault="00A454CE" w:rsidP="004379D1">
            <w:pPr>
              <w:pStyle w:val="K-TextInfo"/>
              <w:rPr>
                <w:i w:val="0"/>
                <w:color w:val="auto"/>
              </w:rPr>
            </w:pPr>
            <w:r>
              <w:rPr>
                <w:i w:val="0"/>
                <w:color w:val="auto"/>
              </w:rPr>
              <w:t>Za primární období implementace se dá považovat období 2021-2030. Předpokládá se však, že některá opatření budou realizována i za rámec tohoto horizontu.</w:t>
            </w:r>
          </w:p>
        </w:tc>
      </w:tr>
    </w:tbl>
    <w:p w14:paraId="2F531071" w14:textId="77777777" w:rsidR="007C0788" w:rsidRDefault="007C0788" w:rsidP="006F1BEA">
      <w:pPr>
        <w:pStyle w:val="K-Text"/>
      </w:pPr>
    </w:p>
    <w:p w14:paraId="1FCE690A" w14:textId="521F1127" w:rsidR="002E19BA" w:rsidRDefault="0015052B" w:rsidP="002E19BA">
      <w:pPr>
        <w:pStyle w:val="K-Nadpis3"/>
      </w:pPr>
      <w:r>
        <w:t>b</w:t>
      </w:r>
      <w:r w:rsidR="000C0598">
        <w:t xml:space="preserve">) Popis </w:t>
      </w:r>
      <w:r w:rsidR="002E19BA">
        <w:t>investic</w:t>
      </w:r>
    </w:p>
    <w:p w14:paraId="26CA61E0" w14:textId="77777777" w:rsidR="00A473A2" w:rsidRDefault="00C96099" w:rsidP="00A473A2">
      <w:pPr>
        <w:pStyle w:val="K-Text"/>
        <w:rPr>
          <w:b/>
        </w:rPr>
      </w:pPr>
      <w:r w:rsidRPr="005B3F5C">
        <w:t xml:space="preserve">1. </w:t>
      </w:r>
      <w:r w:rsidR="00A473A2" w:rsidRPr="00512795">
        <w:rPr>
          <w:b/>
        </w:rPr>
        <w:t>Modernizace distribuce tepla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C96099" w14:paraId="1EE1EABD" w14:textId="77777777" w:rsidTr="00196474">
        <w:tc>
          <w:tcPr>
            <w:tcW w:w="2405" w:type="dxa"/>
          </w:tcPr>
          <w:p w14:paraId="30AFAAF7" w14:textId="77777777" w:rsidR="00C96099" w:rsidRPr="00852465" w:rsidRDefault="00C96099" w:rsidP="00196474">
            <w:pPr>
              <w:pStyle w:val="K-Text"/>
              <w:jc w:val="left"/>
            </w:pPr>
            <w:r w:rsidRPr="00852465">
              <w:t>Výzva</w:t>
            </w:r>
          </w:p>
        </w:tc>
        <w:tc>
          <w:tcPr>
            <w:tcW w:w="7223" w:type="dxa"/>
          </w:tcPr>
          <w:p w14:paraId="5E3E80D9" w14:textId="0F4012C5" w:rsidR="0099187D" w:rsidRPr="0099187D" w:rsidRDefault="004D443B" w:rsidP="004D443B">
            <w:pPr>
              <w:pStyle w:val="K-TextInfo"/>
              <w:rPr>
                <w:i w:val="0"/>
              </w:rPr>
            </w:pPr>
            <w:r w:rsidRPr="004D443B">
              <w:rPr>
                <w:i w:val="0"/>
                <w:color w:val="auto"/>
              </w:rPr>
              <w:t>ČR disponuje relativně rozsáhlou sítí rozvodů tepelné energie v celkové délce cca 7,5 tis. km. Část rozvodů tepla je však stále tvořena neefektivních parních rozvodů s relativně vysokými ztrátami tepla</w:t>
            </w:r>
            <w:r>
              <w:rPr>
                <w:i w:val="0"/>
                <w:color w:val="auto"/>
              </w:rPr>
              <w:t xml:space="preserve">. </w:t>
            </w:r>
            <w:r w:rsidRPr="004D443B">
              <w:rPr>
                <w:i w:val="0"/>
                <w:color w:val="auto"/>
              </w:rPr>
              <w:t>Za hlavní výzvu je tedy možné označit modernizaci rozvodů teplené energie, a to v co nejkratším možném čase, tak aby případně nové zdroje nahrazující uhelné zdroje mohly být již optimálně dimenzovány na modernizované rozvody tepla.</w:t>
            </w:r>
          </w:p>
        </w:tc>
      </w:tr>
      <w:tr w:rsidR="00C96099" w14:paraId="114F659C" w14:textId="77777777" w:rsidTr="00196474">
        <w:tc>
          <w:tcPr>
            <w:tcW w:w="2405" w:type="dxa"/>
          </w:tcPr>
          <w:p w14:paraId="5BF70955" w14:textId="77777777" w:rsidR="00C96099" w:rsidRPr="00852465" w:rsidRDefault="00C96099" w:rsidP="00196474">
            <w:pPr>
              <w:pStyle w:val="K-Text"/>
              <w:jc w:val="left"/>
            </w:pPr>
            <w:r>
              <w:t>Cíl</w:t>
            </w:r>
          </w:p>
        </w:tc>
        <w:tc>
          <w:tcPr>
            <w:tcW w:w="7223" w:type="dxa"/>
          </w:tcPr>
          <w:p w14:paraId="35520272" w14:textId="77777777" w:rsidR="0099187D" w:rsidRDefault="00776E73" w:rsidP="00196474">
            <w:pPr>
              <w:pStyle w:val="K-TextInfo"/>
              <w:rPr>
                <w:i w:val="0"/>
                <w:color w:val="auto"/>
              </w:rPr>
            </w:pPr>
            <w:r w:rsidRPr="00776E73">
              <w:rPr>
                <w:i w:val="0"/>
                <w:color w:val="auto"/>
              </w:rPr>
              <w:t xml:space="preserve">Cílem je výměna/náhrady části </w:t>
            </w:r>
            <w:r>
              <w:rPr>
                <w:i w:val="0"/>
                <w:color w:val="auto"/>
              </w:rPr>
              <w:t xml:space="preserve">parních </w:t>
            </w:r>
            <w:r w:rsidRPr="00776E73">
              <w:rPr>
                <w:i w:val="0"/>
                <w:color w:val="auto"/>
              </w:rPr>
              <w:t>rozvodů</w:t>
            </w:r>
            <w:r>
              <w:rPr>
                <w:i w:val="0"/>
                <w:color w:val="auto"/>
              </w:rPr>
              <w:t xml:space="preserve"> tepla na horkovodní/teplovodní rozvody.</w:t>
            </w:r>
          </w:p>
          <w:p w14:paraId="2F2DF652" w14:textId="23D7FC4E" w:rsidR="004D443B" w:rsidRPr="00776E73" w:rsidRDefault="004D443B" w:rsidP="00196474">
            <w:pPr>
              <w:pStyle w:val="K-TextInfo"/>
              <w:rPr>
                <w:i w:val="0"/>
              </w:rPr>
            </w:pPr>
            <w:r w:rsidRPr="004D443B">
              <w:rPr>
                <w:i w:val="0"/>
                <w:color w:val="auto"/>
              </w:rPr>
              <w:t>(</w:t>
            </w:r>
            <w:r w:rsidRPr="004D443B">
              <w:rPr>
                <w:i w:val="0"/>
                <w:color w:val="auto"/>
                <w:highlight w:val="yellow"/>
              </w:rPr>
              <w:t>Předpokládáme, že ještě upřesníme ve smyslu konkrétního cíle na úrovni km, respektive energetických úspor</w:t>
            </w:r>
            <w:r>
              <w:rPr>
                <w:i w:val="0"/>
                <w:color w:val="auto"/>
              </w:rPr>
              <w:t>).</w:t>
            </w:r>
          </w:p>
        </w:tc>
      </w:tr>
      <w:tr w:rsidR="00C96099" w14:paraId="5C365FE9" w14:textId="77777777" w:rsidTr="00196474">
        <w:tc>
          <w:tcPr>
            <w:tcW w:w="2405" w:type="dxa"/>
          </w:tcPr>
          <w:p w14:paraId="2DF9BF88" w14:textId="77777777" w:rsidR="00C96099" w:rsidRPr="00852465" w:rsidRDefault="00C96099" w:rsidP="00196474">
            <w:pPr>
              <w:pStyle w:val="K-Text"/>
              <w:jc w:val="left"/>
            </w:pPr>
            <w:r w:rsidRPr="00852465">
              <w:t>Implementace</w:t>
            </w:r>
          </w:p>
        </w:tc>
        <w:tc>
          <w:tcPr>
            <w:tcW w:w="7223" w:type="dxa"/>
          </w:tcPr>
          <w:p w14:paraId="61357E2D" w14:textId="527427A5" w:rsidR="00196474" w:rsidRPr="00776E73" w:rsidRDefault="00776E73" w:rsidP="0099187D">
            <w:pPr>
              <w:pStyle w:val="K-TextInfo"/>
              <w:rPr>
                <w:i w:val="0"/>
                <w:color w:val="auto"/>
              </w:rPr>
            </w:pPr>
            <w:r w:rsidRPr="00776E73">
              <w:rPr>
                <w:i w:val="0"/>
                <w:color w:val="auto"/>
              </w:rPr>
              <w:t>Implementaci předpokládáme</w:t>
            </w:r>
            <w:r>
              <w:rPr>
                <w:i w:val="0"/>
                <w:color w:val="auto"/>
              </w:rPr>
              <w:t xml:space="preserve"> skrze soukromé investory a dodavatelské subjekty v sektoru teplárenství. Administraci pak bude realizovat ministerstvo průmyslu a obchodu.</w:t>
            </w:r>
          </w:p>
        </w:tc>
      </w:tr>
      <w:tr w:rsidR="00C96099" w14:paraId="4A3DC733" w14:textId="77777777" w:rsidTr="00196474">
        <w:trPr>
          <w:trHeight w:val="70"/>
        </w:trPr>
        <w:tc>
          <w:tcPr>
            <w:tcW w:w="2405" w:type="dxa"/>
          </w:tcPr>
          <w:p w14:paraId="2D0A4623" w14:textId="77777777" w:rsidR="00C96099" w:rsidRPr="00852465" w:rsidRDefault="00C96099" w:rsidP="00196474">
            <w:pPr>
              <w:pStyle w:val="K-Text"/>
              <w:jc w:val="left"/>
            </w:pPr>
            <w:r>
              <w:lastRenderedPageBreak/>
              <w:t>Spolupráce a z</w:t>
            </w:r>
            <w:r w:rsidRPr="00852465">
              <w:t>apojení zúčastněných stran</w:t>
            </w:r>
          </w:p>
        </w:tc>
        <w:tc>
          <w:tcPr>
            <w:tcW w:w="7223" w:type="dxa"/>
          </w:tcPr>
          <w:p w14:paraId="7E31740B" w14:textId="1804CD06" w:rsidR="002C44E5" w:rsidRPr="004D443B" w:rsidRDefault="004D443B" w:rsidP="00196474">
            <w:pPr>
              <w:pStyle w:val="K-TextInfo"/>
              <w:rPr>
                <w:i w:val="0"/>
              </w:rPr>
            </w:pPr>
            <w:r w:rsidRPr="004D443B">
              <w:rPr>
                <w:i w:val="0"/>
                <w:color w:val="auto"/>
              </w:rPr>
              <w:t>Předpokládáme, že bud</w:t>
            </w:r>
            <w:r>
              <w:rPr>
                <w:i w:val="0"/>
                <w:color w:val="auto"/>
              </w:rPr>
              <w:t>ou zapojeni soukromí investoři a dodavatelské subjekty a také příslušné útvary státní správy.</w:t>
            </w:r>
          </w:p>
        </w:tc>
      </w:tr>
      <w:tr w:rsidR="00C96099" w14:paraId="05BCE861" w14:textId="77777777" w:rsidTr="00196474">
        <w:tc>
          <w:tcPr>
            <w:tcW w:w="2405" w:type="dxa"/>
          </w:tcPr>
          <w:p w14:paraId="3F0FDD73" w14:textId="77777777" w:rsidR="00C96099" w:rsidRPr="00852465" w:rsidRDefault="00C96099" w:rsidP="00196474">
            <w:pPr>
              <w:pStyle w:val="K-Text"/>
              <w:jc w:val="left"/>
            </w:pPr>
            <w:r w:rsidRPr="00852465">
              <w:t>Překážky</w:t>
            </w:r>
            <w:r>
              <w:t xml:space="preserve"> a rizika</w:t>
            </w:r>
          </w:p>
        </w:tc>
        <w:tc>
          <w:tcPr>
            <w:tcW w:w="7223" w:type="dxa"/>
          </w:tcPr>
          <w:p w14:paraId="5EAF4A29" w14:textId="7C400750" w:rsidR="00C96099" w:rsidRPr="00C748B7" w:rsidRDefault="00C748B7" w:rsidP="00196474">
            <w:pPr>
              <w:pStyle w:val="K-TextInfo"/>
              <w:rPr>
                <w:i w:val="0"/>
              </w:rPr>
            </w:pPr>
            <w:r w:rsidRPr="00C748B7">
              <w:rPr>
                <w:i w:val="0"/>
                <w:color w:val="auto"/>
              </w:rPr>
              <w:t xml:space="preserve">Omezení daná pravidly RRF; </w:t>
            </w:r>
            <w:r>
              <w:rPr>
                <w:i w:val="0"/>
                <w:color w:val="auto"/>
              </w:rPr>
              <w:t>relativně krátký horizont pro „</w:t>
            </w:r>
            <w:proofErr w:type="spellStart"/>
            <w:r>
              <w:rPr>
                <w:i w:val="0"/>
                <w:color w:val="auto"/>
              </w:rPr>
              <w:t>zazávazkování</w:t>
            </w:r>
            <w:proofErr w:type="spellEnd"/>
            <w:r>
              <w:rPr>
                <w:i w:val="0"/>
                <w:color w:val="auto"/>
              </w:rPr>
              <w:t xml:space="preserve">“ a čerpání finančních </w:t>
            </w:r>
            <w:r w:rsidR="00F55FCC">
              <w:rPr>
                <w:i w:val="0"/>
                <w:color w:val="auto"/>
              </w:rPr>
              <w:t xml:space="preserve">zdrojů </w:t>
            </w:r>
            <w:r>
              <w:rPr>
                <w:i w:val="0"/>
                <w:color w:val="auto"/>
              </w:rPr>
              <w:t>(kupříkladu v oblasti distribuce tepla je možné investice realizovat jenom mimo topnou sezonu)</w:t>
            </w:r>
            <w:r w:rsidR="00F55FCC">
              <w:rPr>
                <w:i w:val="0"/>
                <w:color w:val="auto"/>
              </w:rPr>
              <w:t>; dostatečná připravenost projektů</w:t>
            </w:r>
            <w:r>
              <w:rPr>
                <w:i w:val="0"/>
                <w:color w:val="auto"/>
              </w:rPr>
              <w:t>; dostupností paliv; komplementarita s dalšími programy financování; dostatek lidských zdrojů a know-how pro provedení investic v relativně krátkém období; komplexnější vazby v rámci sektoru (kupříkladu se může lišit vlastník zdroje a vlastník rozvodů tepla).</w:t>
            </w:r>
          </w:p>
        </w:tc>
      </w:tr>
      <w:tr w:rsidR="00C96099" w14:paraId="5DCC73F4" w14:textId="77777777" w:rsidTr="00196474">
        <w:tc>
          <w:tcPr>
            <w:tcW w:w="2405" w:type="dxa"/>
          </w:tcPr>
          <w:p w14:paraId="3B2B90C7" w14:textId="77777777" w:rsidR="00C96099" w:rsidRPr="00852465" w:rsidRDefault="00C96099" w:rsidP="00196474">
            <w:pPr>
              <w:pStyle w:val="K-Text"/>
              <w:jc w:val="left"/>
            </w:pPr>
            <w:r w:rsidRPr="00852465">
              <w:t xml:space="preserve">Cílové skupiny populace a </w:t>
            </w:r>
            <w:r>
              <w:t>ekonomické</w:t>
            </w:r>
            <w:r w:rsidRPr="00852465">
              <w:t xml:space="preserve"> subjekty</w:t>
            </w:r>
          </w:p>
        </w:tc>
        <w:tc>
          <w:tcPr>
            <w:tcW w:w="7223" w:type="dxa"/>
          </w:tcPr>
          <w:p w14:paraId="115DFD56" w14:textId="2C651FAF" w:rsidR="00C60984" w:rsidRPr="00C60984" w:rsidRDefault="00C60984" w:rsidP="00196474">
            <w:pPr>
              <w:pStyle w:val="K-TextInfo"/>
              <w:rPr>
                <w:i w:val="0"/>
              </w:rPr>
            </w:pPr>
            <w:r w:rsidRPr="00C60984">
              <w:rPr>
                <w:i w:val="0"/>
                <w:color w:val="auto"/>
              </w:rPr>
              <w:t xml:space="preserve">Předpokládáme, že investice se dotkne přímo privátních subjektů, které budou </w:t>
            </w:r>
            <w:r>
              <w:rPr>
                <w:i w:val="0"/>
                <w:color w:val="auto"/>
              </w:rPr>
              <w:t>investici realizovat. Nepřímo se však investice dotkne spotřebitelů tepla přispěním k potenciálně nižší ceně tepla a obecně celkově populace v ČR ve smyslu nižšího vystav</w:t>
            </w:r>
            <w:r w:rsidR="002C44E5">
              <w:rPr>
                <w:i w:val="0"/>
                <w:color w:val="auto"/>
              </w:rPr>
              <w:t>e</w:t>
            </w:r>
            <w:r>
              <w:rPr>
                <w:i w:val="0"/>
                <w:color w:val="auto"/>
              </w:rPr>
              <w:t>ní emisím znečišťujících látek</w:t>
            </w:r>
            <w:r w:rsidR="002C44E5">
              <w:rPr>
                <w:i w:val="0"/>
                <w:color w:val="auto"/>
              </w:rPr>
              <w:t xml:space="preserve"> a nižšího rizika dopadů změny klimatu</w:t>
            </w:r>
            <w:r>
              <w:rPr>
                <w:i w:val="0"/>
                <w:color w:val="auto"/>
              </w:rPr>
              <w:t>.</w:t>
            </w:r>
          </w:p>
        </w:tc>
      </w:tr>
      <w:tr w:rsidR="00C96099" w14:paraId="4DCE4A5C" w14:textId="77777777" w:rsidTr="00196474">
        <w:tc>
          <w:tcPr>
            <w:tcW w:w="2405" w:type="dxa"/>
          </w:tcPr>
          <w:p w14:paraId="07893BD3" w14:textId="77777777" w:rsidR="00C96099" w:rsidRPr="00852465" w:rsidRDefault="00C96099" w:rsidP="00196474">
            <w:pPr>
              <w:pStyle w:val="K-Text"/>
              <w:jc w:val="left"/>
            </w:pPr>
            <w:r>
              <w:t>Souhrnné náklady realizace financované z RRF za celé období</w:t>
            </w:r>
          </w:p>
        </w:tc>
        <w:tc>
          <w:tcPr>
            <w:tcW w:w="7223" w:type="dxa"/>
          </w:tcPr>
          <w:p w14:paraId="36C8BB82" w14:textId="27C3A59E" w:rsidR="0028282D" w:rsidRDefault="0028282D" w:rsidP="00196474">
            <w:pPr>
              <w:pStyle w:val="K-TextInfo"/>
            </w:pPr>
            <w:r>
              <w:rPr>
                <w:i w:val="0"/>
                <w:color w:val="auto"/>
              </w:rPr>
              <w:t>4,00</w:t>
            </w:r>
            <w:r w:rsidRPr="0028282D">
              <w:rPr>
                <w:i w:val="0"/>
                <w:color w:val="auto"/>
              </w:rPr>
              <w:t xml:space="preserve"> mld. Kč</w:t>
            </w:r>
          </w:p>
        </w:tc>
      </w:tr>
      <w:tr w:rsidR="00C96099" w14:paraId="7B6F2909" w14:textId="77777777" w:rsidTr="00196474">
        <w:tc>
          <w:tcPr>
            <w:tcW w:w="2405" w:type="dxa"/>
          </w:tcPr>
          <w:p w14:paraId="7E0786FB" w14:textId="77777777" w:rsidR="00C96099" w:rsidRPr="00852465" w:rsidRDefault="00C96099" w:rsidP="00196474">
            <w:pPr>
              <w:pStyle w:val="K-Text"/>
              <w:jc w:val="left"/>
            </w:pPr>
            <w:r w:rsidRPr="00852465">
              <w:t>Dodržování pravidel státní podpory</w:t>
            </w:r>
          </w:p>
        </w:tc>
        <w:tc>
          <w:tcPr>
            <w:tcW w:w="7223" w:type="dxa"/>
          </w:tcPr>
          <w:p w14:paraId="01D24A0B" w14:textId="0CED5DE2" w:rsidR="00196474" w:rsidRPr="00196474" w:rsidRDefault="00196474" w:rsidP="00196474">
            <w:pPr>
              <w:pStyle w:val="K-TextInfo"/>
              <w:rPr>
                <w:i w:val="0"/>
              </w:rPr>
            </w:pPr>
            <w:r w:rsidRPr="00196474">
              <w:rPr>
                <w:i w:val="0"/>
                <w:color w:val="auto"/>
              </w:rPr>
              <w:t xml:space="preserve">Předpokládáme, že soulad s pravidly státní podpory bude </w:t>
            </w:r>
            <w:r>
              <w:rPr>
                <w:i w:val="0"/>
                <w:color w:val="auto"/>
              </w:rPr>
              <w:t>zajištěn nastavením pravidel čerpání na úrovni EU.</w:t>
            </w:r>
          </w:p>
        </w:tc>
      </w:tr>
      <w:tr w:rsidR="00C96099" w14:paraId="2EAB3354" w14:textId="77777777" w:rsidTr="00196474">
        <w:tc>
          <w:tcPr>
            <w:tcW w:w="2405" w:type="dxa"/>
          </w:tcPr>
          <w:p w14:paraId="72864271" w14:textId="77777777" w:rsidR="00C96099" w:rsidRPr="00852465" w:rsidRDefault="00C96099" w:rsidP="00196474">
            <w:pPr>
              <w:pStyle w:val="K-Text"/>
              <w:jc w:val="left"/>
            </w:pPr>
            <w:r>
              <w:t>Uveďte dobu implementace</w:t>
            </w:r>
          </w:p>
        </w:tc>
        <w:tc>
          <w:tcPr>
            <w:tcW w:w="7223" w:type="dxa"/>
          </w:tcPr>
          <w:p w14:paraId="23AFE9DB" w14:textId="4C247FA5" w:rsidR="00196474" w:rsidRPr="006B1638" w:rsidRDefault="006B1638" w:rsidP="00196474">
            <w:pPr>
              <w:pStyle w:val="K-TextInfo"/>
              <w:rPr>
                <w:i w:val="0"/>
              </w:rPr>
            </w:pPr>
            <w:r w:rsidRPr="006B1638">
              <w:rPr>
                <w:i w:val="0"/>
                <w:color w:val="auto"/>
              </w:rPr>
              <w:t>Doba implementace odpovídá období 2021-2026.</w:t>
            </w:r>
          </w:p>
        </w:tc>
      </w:tr>
    </w:tbl>
    <w:p w14:paraId="4F06ED6B" w14:textId="5E39D1DF" w:rsidR="002E19BA" w:rsidRPr="0028282D" w:rsidRDefault="0028282D" w:rsidP="0028282D">
      <w:pPr>
        <w:pStyle w:val="K-Text"/>
        <w:spacing w:before="200"/>
        <w:rPr>
          <w:b/>
        </w:rPr>
      </w:pPr>
      <w:r w:rsidRPr="0028282D">
        <w:rPr>
          <w:b/>
        </w:rPr>
        <w:t>2. Výstavba nových OZE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28282D" w14:paraId="184B609E" w14:textId="77777777" w:rsidTr="00196474">
        <w:tc>
          <w:tcPr>
            <w:tcW w:w="2405" w:type="dxa"/>
          </w:tcPr>
          <w:p w14:paraId="55C70C59" w14:textId="77777777" w:rsidR="0028282D" w:rsidRPr="00852465" w:rsidRDefault="0028282D" w:rsidP="00196474">
            <w:pPr>
              <w:pStyle w:val="K-Text"/>
              <w:jc w:val="left"/>
            </w:pPr>
            <w:r w:rsidRPr="00852465">
              <w:t>Výzva</w:t>
            </w:r>
          </w:p>
        </w:tc>
        <w:tc>
          <w:tcPr>
            <w:tcW w:w="7223" w:type="dxa"/>
          </w:tcPr>
          <w:p w14:paraId="50318F18" w14:textId="15D2FB47" w:rsidR="004D443B" w:rsidRDefault="004D443B" w:rsidP="00196474">
            <w:pPr>
              <w:pStyle w:val="K-TextInfo"/>
            </w:pPr>
            <w:r w:rsidRPr="004D443B">
              <w:rPr>
                <w:i w:val="0"/>
                <w:color w:val="auto"/>
              </w:rPr>
              <w:t>Ve střednědobém období bude docházet k relativně významnému útlumu konvenčních energetických zdrojů, k tomuto útlumu již částečně dochází. Tento útlum je spojen s postupným „dosluhováním“ zejména uhelných elektráren, které byly spuštěny v 70.-80. letech 20. století, a to i v kontextu zpřísňujících se požadavků na emise znečišťujících látek, ale i ekonomického tlaku skrze emisní povolenky. Bližší informace lze mimo jiné nalézt v</w:t>
            </w:r>
            <w:r w:rsidR="006B1638">
              <w:rPr>
                <w:i w:val="0"/>
                <w:color w:val="auto"/>
              </w:rPr>
              <w:t> </w:t>
            </w:r>
            <w:r w:rsidRPr="004D443B">
              <w:rPr>
                <w:i w:val="0"/>
                <w:color w:val="auto"/>
              </w:rPr>
              <w:t>hodnocení zdrojové přiměřenosti, které zpracovává provozovatel přenosové soustavy ČR. V tomto smyslu je nutné zajistit dostatečnou náhradu zdrojů, tak aby byla zachována alespoň dílčí soběstačnost ČR a zejména bezpečnost provozu elektrizační soustavy ČR.</w:t>
            </w:r>
          </w:p>
        </w:tc>
      </w:tr>
      <w:tr w:rsidR="0028282D" w14:paraId="462E4203" w14:textId="77777777" w:rsidTr="00196474">
        <w:tc>
          <w:tcPr>
            <w:tcW w:w="2405" w:type="dxa"/>
          </w:tcPr>
          <w:p w14:paraId="1EC63929" w14:textId="77777777" w:rsidR="0028282D" w:rsidRPr="00852465" w:rsidRDefault="0028282D" w:rsidP="00196474">
            <w:pPr>
              <w:pStyle w:val="K-Text"/>
              <w:jc w:val="left"/>
            </w:pPr>
            <w:r>
              <w:t>Cíl</w:t>
            </w:r>
          </w:p>
        </w:tc>
        <w:tc>
          <w:tcPr>
            <w:tcW w:w="7223" w:type="dxa"/>
          </w:tcPr>
          <w:p w14:paraId="146BC0B0" w14:textId="2F865D5C" w:rsidR="004D443B" w:rsidRDefault="006B1638" w:rsidP="004D443B">
            <w:pPr>
              <w:pStyle w:val="K-Text"/>
              <w:spacing w:line="276" w:lineRule="auto"/>
              <w:rPr>
                <w:rStyle w:val="K-TextChar"/>
              </w:rPr>
            </w:pPr>
            <w:r w:rsidRPr="00835900">
              <w:rPr>
                <w:noProof/>
              </w:rPr>
              <w:t>Tato komponenta, respektive její část zaměřená na výstavbu nových zdrojů OZE, by měla přispět k dosažení uvedeného cíle podílu OZE v sektoru elektroenergetiky, respektive jeho překročení.</w:t>
            </w:r>
          </w:p>
          <w:p w14:paraId="358B905E" w14:textId="50B84C31" w:rsidR="004D443B" w:rsidRPr="006B1638" w:rsidRDefault="004D443B" w:rsidP="006B1638">
            <w:pPr>
              <w:pStyle w:val="K-Text"/>
              <w:spacing w:line="276" w:lineRule="auto"/>
              <w:rPr>
                <w:iCs w:val="0"/>
              </w:rPr>
            </w:pPr>
            <w:r w:rsidRPr="00835900">
              <w:rPr>
                <w:rStyle w:val="K-TextChar"/>
              </w:rPr>
              <w:t>(</w:t>
            </w:r>
            <w:r w:rsidRPr="00693EB4">
              <w:rPr>
                <w:rStyle w:val="K-TextChar"/>
                <w:highlight w:val="yellow"/>
              </w:rPr>
              <w:t xml:space="preserve">Pro domo: </w:t>
            </w:r>
            <w:r>
              <w:rPr>
                <w:rStyle w:val="K-TextChar"/>
                <w:highlight w:val="yellow"/>
              </w:rPr>
              <w:t>Cíle budou ještě konkretizovány, buď ve smyslu očekávaného výkonu/výroby z OZE, nebo nárůstu podílu OZE, buď na celkovém podílu, nebo v rámci sektoru elektroenergetiky</w:t>
            </w:r>
            <w:r>
              <w:rPr>
                <w:rStyle w:val="K-TextChar"/>
              </w:rPr>
              <w:t>).</w:t>
            </w:r>
          </w:p>
        </w:tc>
      </w:tr>
      <w:tr w:rsidR="0028282D" w14:paraId="49A59904" w14:textId="77777777" w:rsidTr="00196474">
        <w:tc>
          <w:tcPr>
            <w:tcW w:w="2405" w:type="dxa"/>
          </w:tcPr>
          <w:p w14:paraId="77A73B16" w14:textId="77777777" w:rsidR="0028282D" w:rsidRPr="00852465" w:rsidRDefault="0028282D" w:rsidP="00196474">
            <w:pPr>
              <w:pStyle w:val="K-Text"/>
              <w:jc w:val="left"/>
            </w:pPr>
            <w:r w:rsidRPr="00852465">
              <w:t>Implementace</w:t>
            </w:r>
          </w:p>
        </w:tc>
        <w:tc>
          <w:tcPr>
            <w:tcW w:w="7223" w:type="dxa"/>
          </w:tcPr>
          <w:p w14:paraId="6592BE90" w14:textId="667FFA18" w:rsidR="0028282D" w:rsidRDefault="004D443B" w:rsidP="00196474">
            <w:pPr>
              <w:pStyle w:val="K-TextInfo"/>
            </w:pPr>
            <w:r w:rsidRPr="00776E73">
              <w:rPr>
                <w:i w:val="0"/>
                <w:color w:val="auto"/>
              </w:rPr>
              <w:t>Implementaci předpokládáme</w:t>
            </w:r>
            <w:r>
              <w:rPr>
                <w:i w:val="0"/>
                <w:color w:val="auto"/>
              </w:rPr>
              <w:t xml:space="preserve"> skrze soukromé investory a dodavatelské subjekty v sektoru teplárenství. Administraci pak bude realizovat ministerstvo průmyslu a obchodu.</w:t>
            </w:r>
          </w:p>
        </w:tc>
      </w:tr>
      <w:tr w:rsidR="0028282D" w14:paraId="6FF61C32" w14:textId="77777777" w:rsidTr="00196474">
        <w:trPr>
          <w:trHeight w:val="70"/>
        </w:trPr>
        <w:tc>
          <w:tcPr>
            <w:tcW w:w="2405" w:type="dxa"/>
          </w:tcPr>
          <w:p w14:paraId="70EC0E35" w14:textId="77777777" w:rsidR="0028282D" w:rsidRPr="00852465" w:rsidRDefault="0028282D" w:rsidP="00196474">
            <w:pPr>
              <w:pStyle w:val="K-Text"/>
              <w:jc w:val="left"/>
            </w:pPr>
            <w:r>
              <w:t>Spolupráce a z</w:t>
            </w:r>
            <w:r w:rsidRPr="00852465">
              <w:t>apojení zúčastněných stran</w:t>
            </w:r>
          </w:p>
        </w:tc>
        <w:tc>
          <w:tcPr>
            <w:tcW w:w="7223" w:type="dxa"/>
          </w:tcPr>
          <w:p w14:paraId="2AEA0CB4" w14:textId="0F74D3F8" w:rsidR="00C748B7" w:rsidRPr="00C748B7" w:rsidRDefault="004D443B" w:rsidP="00196474">
            <w:pPr>
              <w:pStyle w:val="K-TextInfo"/>
            </w:pPr>
            <w:r w:rsidRPr="004D443B">
              <w:rPr>
                <w:i w:val="0"/>
                <w:color w:val="auto"/>
              </w:rPr>
              <w:t>Předpokládáme, že bud</w:t>
            </w:r>
            <w:r>
              <w:rPr>
                <w:i w:val="0"/>
                <w:color w:val="auto"/>
              </w:rPr>
              <w:t>ou zapojeni soukromí investoři a dodavatelské subjekty a také příslušné útvary státní správy.</w:t>
            </w:r>
          </w:p>
        </w:tc>
      </w:tr>
      <w:tr w:rsidR="0028282D" w14:paraId="46CBAC40" w14:textId="77777777" w:rsidTr="00196474">
        <w:tc>
          <w:tcPr>
            <w:tcW w:w="2405" w:type="dxa"/>
          </w:tcPr>
          <w:p w14:paraId="4FA49CF4" w14:textId="77777777" w:rsidR="0028282D" w:rsidRPr="00852465" w:rsidRDefault="0028282D" w:rsidP="00196474">
            <w:pPr>
              <w:pStyle w:val="K-Text"/>
              <w:jc w:val="left"/>
            </w:pPr>
            <w:r w:rsidRPr="00852465">
              <w:lastRenderedPageBreak/>
              <w:t>Překážky</w:t>
            </w:r>
            <w:r>
              <w:t xml:space="preserve"> a rizika</w:t>
            </w:r>
          </w:p>
        </w:tc>
        <w:tc>
          <w:tcPr>
            <w:tcW w:w="7223" w:type="dxa"/>
          </w:tcPr>
          <w:p w14:paraId="792620F7" w14:textId="58C6D2EC" w:rsidR="00C748B7" w:rsidRDefault="00C748B7" w:rsidP="00196474">
            <w:pPr>
              <w:pStyle w:val="K-TextInfo"/>
            </w:pPr>
            <w:r w:rsidRPr="00C748B7">
              <w:rPr>
                <w:i w:val="0"/>
                <w:color w:val="auto"/>
              </w:rPr>
              <w:t xml:space="preserve">Omezení daná pravidly RRF; </w:t>
            </w:r>
            <w:r>
              <w:rPr>
                <w:i w:val="0"/>
                <w:color w:val="auto"/>
              </w:rPr>
              <w:t>relativně krátký horizont pro „</w:t>
            </w:r>
            <w:proofErr w:type="spellStart"/>
            <w:r>
              <w:rPr>
                <w:i w:val="0"/>
                <w:color w:val="auto"/>
              </w:rPr>
              <w:t>zazávazkování</w:t>
            </w:r>
            <w:proofErr w:type="spellEnd"/>
            <w:r>
              <w:rPr>
                <w:i w:val="0"/>
                <w:color w:val="auto"/>
              </w:rPr>
              <w:t>“ a čerpání finančních</w:t>
            </w:r>
            <w:r w:rsidR="00F55FCC">
              <w:rPr>
                <w:i w:val="0"/>
                <w:color w:val="auto"/>
              </w:rPr>
              <w:t xml:space="preserve"> zdrojů; dostatečná připravenost projektů</w:t>
            </w:r>
            <w:r>
              <w:rPr>
                <w:i w:val="0"/>
                <w:color w:val="auto"/>
              </w:rPr>
              <w:t>; komplementarita s dalšími programy financování; dostatek lidských zdrojů a know-how pro provedení investic v relativně krátkém období</w:t>
            </w:r>
            <w:r w:rsidR="00F55FCC">
              <w:rPr>
                <w:i w:val="0"/>
                <w:color w:val="auto"/>
              </w:rPr>
              <w:t xml:space="preserve"> (montážní kapacity atd.)</w:t>
            </w:r>
            <w:r>
              <w:rPr>
                <w:i w:val="0"/>
                <w:color w:val="auto"/>
              </w:rPr>
              <w:t>.</w:t>
            </w:r>
          </w:p>
        </w:tc>
      </w:tr>
      <w:tr w:rsidR="0028282D" w14:paraId="6CDAC18E" w14:textId="77777777" w:rsidTr="00196474">
        <w:tc>
          <w:tcPr>
            <w:tcW w:w="2405" w:type="dxa"/>
          </w:tcPr>
          <w:p w14:paraId="0E9BEB4B" w14:textId="77777777" w:rsidR="0028282D" w:rsidRPr="00852465" w:rsidRDefault="0028282D" w:rsidP="00196474">
            <w:pPr>
              <w:pStyle w:val="K-Text"/>
              <w:jc w:val="left"/>
            </w:pPr>
            <w:r w:rsidRPr="00852465">
              <w:t xml:space="preserve">Cílové skupiny populace a </w:t>
            </w:r>
            <w:r>
              <w:t>ekonomické</w:t>
            </w:r>
            <w:r w:rsidRPr="00852465">
              <w:t xml:space="preserve"> subjekty</w:t>
            </w:r>
          </w:p>
        </w:tc>
        <w:tc>
          <w:tcPr>
            <w:tcW w:w="7223" w:type="dxa"/>
          </w:tcPr>
          <w:p w14:paraId="0E9E6022" w14:textId="65758824" w:rsidR="002C44E5" w:rsidRDefault="002C44E5" w:rsidP="00196474">
            <w:pPr>
              <w:pStyle w:val="K-TextInfo"/>
            </w:pPr>
            <w:r w:rsidRPr="00C60984">
              <w:rPr>
                <w:i w:val="0"/>
                <w:color w:val="auto"/>
              </w:rPr>
              <w:t xml:space="preserve">Předpokládáme, že investice se dotkne přímo privátních subjektů, které budou </w:t>
            </w:r>
            <w:r>
              <w:rPr>
                <w:i w:val="0"/>
                <w:color w:val="auto"/>
              </w:rPr>
              <w:t>investici realizovat. Nepřímo se však investice dotkne zejména spotřebitelů elektrické energie přispěním k nižší ceně (případně nižšímu nárůstu ceny) elektrické energie a obecně celkově populace v ČR ve smyslu nižšího vystavení emisím znečišťujících látek a nižšího rizika dopadů změny klimatu.</w:t>
            </w:r>
          </w:p>
        </w:tc>
      </w:tr>
      <w:tr w:rsidR="0028282D" w14:paraId="18DF118C" w14:textId="77777777" w:rsidTr="00196474">
        <w:tc>
          <w:tcPr>
            <w:tcW w:w="2405" w:type="dxa"/>
          </w:tcPr>
          <w:p w14:paraId="1F40502F" w14:textId="77777777" w:rsidR="0028282D" w:rsidRPr="00852465" w:rsidRDefault="0028282D" w:rsidP="00196474">
            <w:pPr>
              <w:pStyle w:val="K-Text"/>
              <w:jc w:val="left"/>
            </w:pPr>
            <w:r>
              <w:t>Souhrnné náklady realizace financované z RRF za celé období</w:t>
            </w:r>
          </w:p>
        </w:tc>
        <w:tc>
          <w:tcPr>
            <w:tcW w:w="7223" w:type="dxa"/>
          </w:tcPr>
          <w:p w14:paraId="0150EEA0" w14:textId="384DAA74" w:rsidR="0028282D" w:rsidRPr="0028282D" w:rsidRDefault="0028282D" w:rsidP="00196474">
            <w:pPr>
              <w:pStyle w:val="K-TextInfo"/>
              <w:rPr>
                <w:i w:val="0"/>
              </w:rPr>
            </w:pPr>
            <w:r w:rsidRPr="0028282D">
              <w:rPr>
                <w:i w:val="0"/>
                <w:color w:val="auto"/>
              </w:rPr>
              <w:t>3</w:t>
            </w:r>
            <w:r>
              <w:rPr>
                <w:i w:val="0"/>
                <w:color w:val="auto"/>
              </w:rPr>
              <w:t>,66</w:t>
            </w:r>
            <w:r w:rsidRPr="0028282D">
              <w:rPr>
                <w:i w:val="0"/>
                <w:color w:val="auto"/>
              </w:rPr>
              <w:t xml:space="preserve"> mld. Kč</w:t>
            </w:r>
          </w:p>
        </w:tc>
      </w:tr>
      <w:tr w:rsidR="0028282D" w14:paraId="1D28F8DB" w14:textId="77777777" w:rsidTr="00196474">
        <w:tc>
          <w:tcPr>
            <w:tcW w:w="2405" w:type="dxa"/>
          </w:tcPr>
          <w:p w14:paraId="40B0DBC9" w14:textId="77777777" w:rsidR="0028282D" w:rsidRPr="00852465" w:rsidRDefault="0028282D" w:rsidP="00196474">
            <w:pPr>
              <w:pStyle w:val="K-Text"/>
              <w:jc w:val="left"/>
            </w:pPr>
            <w:r w:rsidRPr="00852465">
              <w:t>Dodržování pravidel státní podpory</w:t>
            </w:r>
          </w:p>
        </w:tc>
        <w:tc>
          <w:tcPr>
            <w:tcW w:w="7223" w:type="dxa"/>
          </w:tcPr>
          <w:p w14:paraId="5BEC8EA3" w14:textId="6876CD86" w:rsidR="00196474" w:rsidRDefault="00196474" w:rsidP="00196474">
            <w:pPr>
              <w:pStyle w:val="K-TextInfo"/>
            </w:pPr>
            <w:r w:rsidRPr="00196474">
              <w:rPr>
                <w:i w:val="0"/>
                <w:color w:val="auto"/>
              </w:rPr>
              <w:t xml:space="preserve">Předpokládáme, že soulad s pravidly státní podpory bude </w:t>
            </w:r>
            <w:r>
              <w:rPr>
                <w:i w:val="0"/>
                <w:color w:val="auto"/>
              </w:rPr>
              <w:t>zajištěn nastavením pravidel čerpání na úrovni EU.</w:t>
            </w:r>
          </w:p>
        </w:tc>
      </w:tr>
      <w:tr w:rsidR="0028282D" w14:paraId="76CEB819" w14:textId="77777777" w:rsidTr="00196474">
        <w:tc>
          <w:tcPr>
            <w:tcW w:w="2405" w:type="dxa"/>
          </w:tcPr>
          <w:p w14:paraId="47DFA3C7" w14:textId="77777777" w:rsidR="0028282D" w:rsidRPr="00852465" w:rsidRDefault="0028282D" w:rsidP="00196474">
            <w:pPr>
              <w:pStyle w:val="K-Text"/>
              <w:jc w:val="left"/>
            </w:pPr>
            <w:r>
              <w:t>Uveďte dobu implementace</w:t>
            </w:r>
          </w:p>
        </w:tc>
        <w:tc>
          <w:tcPr>
            <w:tcW w:w="7223" w:type="dxa"/>
          </w:tcPr>
          <w:p w14:paraId="699AE84D" w14:textId="63D12C6C" w:rsidR="00196474" w:rsidRPr="00196474" w:rsidRDefault="006B1638" w:rsidP="00196474">
            <w:pPr>
              <w:pStyle w:val="K-TextInfo"/>
              <w:rPr>
                <w:i w:val="0"/>
              </w:rPr>
            </w:pPr>
            <w:r w:rsidRPr="006B1638">
              <w:rPr>
                <w:i w:val="0"/>
                <w:color w:val="auto"/>
              </w:rPr>
              <w:t>Doba implementace odpovídá období 2021-2026.</w:t>
            </w:r>
          </w:p>
        </w:tc>
      </w:tr>
    </w:tbl>
    <w:p w14:paraId="504DDA93" w14:textId="77777777" w:rsidR="0028282D" w:rsidRDefault="0028282D" w:rsidP="006F1BEA">
      <w:pPr>
        <w:pStyle w:val="K-Text"/>
      </w:pPr>
    </w:p>
    <w:p w14:paraId="3B75BCF6" w14:textId="77777777" w:rsidR="002C20CF" w:rsidRPr="00ED337B" w:rsidRDefault="002C20CF" w:rsidP="00154B73">
      <w:pPr>
        <w:pStyle w:val="K-Nadpis2"/>
      </w:pPr>
      <w:r w:rsidRPr="00ED337B">
        <w:t xml:space="preserve">4. </w:t>
      </w:r>
      <w:r w:rsidR="002D2B80" w:rsidRPr="00ED337B">
        <w:t>Zelené a digitální rozměry k</w:t>
      </w:r>
      <w:r w:rsidRPr="00ED337B">
        <w:t>omponent</w:t>
      </w:r>
      <w:r w:rsidR="002D2B80" w:rsidRPr="00ED337B">
        <w:t>y</w:t>
      </w:r>
      <w:r w:rsidRPr="00ED337B">
        <w:t xml:space="preserve"> </w:t>
      </w:r>
    </w:p>
    <w:p w14:paraId="47021BB8" w14:textId="77777777" w:rsidR="00A473A2" w:rsidRDefault="00A473A2" w:rsidP="00A473A2">
      <w:pPr>
        <w:pStyle w:val="K-Text"/>
        <w:rPr>
          <w:b/>
        </w:rPr>
      </w:pPr>
      <w:r w:rsidRPr="00512795">
        <w:rPr>
          <w:b/>
        </w:rPr>
        <w:t>Modernizace distribuce tepla</w:t>
      </w:r>
    </w:p>
    <w:p w14:paraId="375B955A" w14:textId="5C833AF3" w:rsidR="00A473A2" w:rsidRDefault="00A473A2" w:rsidP="00C21067">
      <w:pPr>
        <w:pStyle w:val="K-Text"/>
      </w:pPr>
      <w:r>
        <w:t xml:space="preserve">V tomto ohledu je nutné zdůraznit, že zamýšlené investice by měly být směřovány pouze do modernizace distribuce teplárenských sítí (zejména změny teplo-vodného média). Investice by tedy neměly směřovat do zdrojů. Výměna rozvodů tepla nemá přímé dopady na emise skleníkových plynů a znečišťujících látek, ale skrze zvýšení energetické účinnosti vede k snížení využití primárních energetických zdrojů energie a nepřímému snížení emisí skleníkových plynů a znečišťujících látek (v závislosti na povaze zdroje). V důsledku uvedeného vnímáme, </w:t>
      </w:r>
      <w:r w:rsidR="00C21067">
        <w:t xml:space="preserve">že tato část komponenty by měla z přispívat ke zlepšení ochrany klimatu a být tedy z </w:t>
      </w:r>
      <w:r w:rsidR="00C21067">
        <w:rPr>
          <w:highlight w:val="yellow"/>
        </w:rPr>
        <w:t>100</w:t>
      </w:r>
      <w:r w:rsidR="00C21067">
        <w:t xml:space="preserve"> % započitatelná k 37 % cíli zohlednění ochrany klimatu. </w:t>
      </w:r>
    </w:p>
    <w:p w14:paraId="317959F0" w14:textId="34833444" w:rsidR="00BE3FF2" w:rsidRDefault="00BE3FF2" w:rsidP="00C21067">
      <w:pPr>
        <w:pStyle w:val="K-Text"/>
        <w:rPr>
          <w:highlight w:val="yellow"/>
        </w:rPr>
      </w:pPr>
      <w:r>
        <w:t>S ohledem na kritéria v rámci technického „</w:t>
      </w:r>
      <w:proofErr w:type="spellStart"/>
      <w:r>
        <w:t>screeningu</w:t>
      </w:r>
      <w:proofErr w:type="spellEnd"/>
      <w:r>
        <w:t xml:space="preserve">“ (s ohledem na </w:t>
      </w:r>
      <w:proofErr w:type="spellStart"/>
      <w:r>
        <w:t>mitigaci</w:t>
      </w:r>
      <w:proofErr w:type="spellEnd"/>
      <w:r>
        <w:t xml:space="preserve">) je uvedeno, že </w:t>
      </w:r>
      <w:r w:rsidR="00C7629F">
        <w:t xml:space="preserve">nové </w:t>
      </w:r>
      <w:r>
        <w:t>soustavy zásobování teplem by měly splňovat charakter (respektive definici) vysokoúčinné soustavy dle článku 2, bodu 41 směrnice EU 2012/27/EU</w:t>
      </w:r>
      <w:r>
        <w:rPr>
          <w:rStyle w:val="Znakapoznpodarou"/>
        </w:rPr>
        <w:footnoteReference w:id="4"/>
      </w:r>
      <w:r w:rsidR="00C7629F">
        <w:t xml:space="preserve">, rekonstruované soustavy by měly splnit tuto podmínku do v horizontu tří let. </w:t>
      </w:r>
      <w:r w:rsidRPr="00BE3FF2">
        <w:rPr>
          <w:highlight w:val="yellow"/>
        </w:rPr>
        <w:t xml:space="preserve">Toto kritérium bude uvedeno jako </w:t>
      </w:r>
      <w:r w:rsidR="00C7629F">
        <w:rPr>
          <w:highlight w:val="yellow"/>
        </w:rPr>
        <w:t xml:space="preserve">podmínka </w:t>
      </w:r>
      <w:r w:rsidRPr="00BE3FF2">
        <w:rPr>
          <w:highlight w:val="yellow"/>
        </w:rPr>
        <w:t>čerpání veřejných prostředků.</w:t>
      </w:r>
    </w:p>
    <w:p w14:paraId="15F9D435" w14:textId="60E7CD87" w:rsidR="00C7629F" w:rsidRDefault="00A9595F" w:rsidP="00C21067">
      <w:pPr>
        <w:pStyle w:val="K-Text"/>
      </w:pPr>
      <w:r w:rsidRPr="00A9595F">
        <w:t>Kritéria DSH</w:t>
      </w:r>
      <w:r>
        <w:t xml:space="preserve"> (</w:t>
      </w:r>
      <w:proofErr w:type="spellStart"/>
      <w:r>
        <w:t>mitigace</w:t>
      </w:r>
      <w:proofErr w:type="spellEnd"/>
      <w:r>
        <w:t>)</w:t>
      </w:r>
    </w:p>
    <w:p w14:paraId="1C791D49" w14:textId="70EBAABF" w:rsidR="00A9595F" w:rsidRDefault="00A9595F" w:rsidP="00A9595F">
      <w:pPr>
        <w:pStyle w:val="K-Text"/>
        <w:numPr>
          <w:ilvl w:val="0"/>
          <w:numId w:val="27"/>
        </w:numPr>
        <w:spacing w:after="0"/>
        <w:ind w:left="357" w:hanging="357"/>
      </w:pPr>
      <w:r w:rsidRPr="00A9595F">
        <w:rPr>
          <w:b/>
        </w:rPr>
        <w:t>Adaptace:</w:t>
      </w:r>
      <w:r>
        <w:t xml:space="preserve"> Musí být v souladu s přílohou E přílohy I </w:t>
      </w:r>
      <w:r w:rsidR="00C6049F">
        <w:t>n</w:t>
      </w:r>
      <w:r>
        <w:t xml:space="preserve">ařízení </w:t>
      </w:r>
      <w:r w:rsidR="00C6049F">
        <w:t xml:space="preserve">s ohledem na </w:t>
      </w:r>
      <w:r>
        <w:t>taxonomi</w:t>
      </w:r>
      <w:r w:rsidR="00C6049F">
        <w:t>i.</w:t>
      </w:r>
    </w:p>
    <w:p w14:paraId="683BFB04" w14:textId="49E264D5" w:rsidR="00A9595F" w:rsidRDefault="00A9595F" w:rsidP="00A9595F">
      <w:pPr>
        <w:pStyle w:val="K-Text"/>
        <w:numPr>
          <w:ilvl w:val="0"/>
          <w:numId w:val="27"/>
        </w:numPr>
        <w:spacing w:after="0"/>
        <w:ind w:left="357" w:hanging="357"/>
      </w:pPr>
      <w:r w:rsidRPr="00A9595F">
        <w:rPr>
          <w:b/>
        </w:rPr>
        <w:t>Vodní hospodářství:</w:t>
      </w:r>
      <w:r>
        <w:t xml:space="preserve"> Identifikace a řešení rizik degradace životního prostředí související se zachováním kvality vody a předcházením vodnímu stresu v souladu s plánem řízení využívání a ochrany vody vypracovaným po konzultaci s příslušnými zúčastněnými stranami.</w:t>
      </w:r>
    </w:p>
    <w:p w14:paraId="0D432C1A" w14:textId="3D1526F9" w:rsidR="00A9595F" w:rsidRDefault="00A9595F" w:rsidP="00A9595F">
      <w:pPr>
        <w:pStyle w:val="K-Text"/>
        <w:numPr>
          <w:ilvl w:val="0"/>
          <w:numId w:val="27"/>
        </w:numPr>
        <w:spacing w:after="0"/>
        <w:ind w:left="357" w:hanging="357"/>
      </w:pPr>
      <w:r w:rsidRPr="00A9595F">
        <w:rPr>
          <w:b/>
        </w:rPr>
        <w:t xml:space="preserve">Cirkulární ekonomika: </w:t>
      </w:r>
      <w:r>
        <w:t>N/A.</w:t>
      </w:r>
    </w:p>
    <w:p w14:paraId="6F84EBA1" w14:textId="5D88179C" w:rsidR="00A9595F" w:rsidRDefault="00A9595F" w:rsidP="00A454CE">
      <w:pPr>
        <w:pStyle w:val="K-Text"/>
        <w:numPr>
          <w:ilvl w:val="0"/>
          <w:numId w:val="27"/>
        </w:numPr>
        <w:spacing w:after="0"/>
      </w:pPr>
      <w:r w:rsidRPr="00A9595F">
        <w:rPr>
          <w:b/>
        </w:rPr>
        <w:lastRenderedPageBreak/>
        <w:t xml:space="preserve">Emise znečišťujících látek: </w:t>
      </w:r>
      <w:r>
        <w:t>Ventilátory, kompresory, čerpadla a další použitá zařízení, na která se vztahuje směrnice 2009/125 / ES, v příslušných případech splňují požadavky nejvyšší třídy energetického štítku a jinak splňují prováděcí předpisy podle této směrnice a představují nejlepší dostupnou technologii.</w:t>
      </w:r>
    </w:p>
    <w:p w14:paraId="48FE97D5" w14:textId="31AF6528" w:rsidR="00A9595F" w:rsidRPr="00A9595F" w:rsidRDefault="00A9595F" w:rsidP="00875731">
      <w:pPr>
        <w:pStyle w:val="K-Text"/>
        <w:numPr>
          <w:ilvl w:val="0"/>
          <w:numId w:val="27"/>
        </w:numPr>
        <w:spacing w:after="200"/>
        <w:ind w:left="357" w:hanging="357"/>
      </w:pPr>
      <w:r>
        <w:rPr>
          <w:b/>
        </w:rPr>
        <w:t>Ochrana biodiverzity a ekosystémů:</w:t>
      </w:r>
      <w:r>
        <w:t xml:space="preserve"> Proces SEA, respektive jiný obdobný </w:t>
      </w:r>
      <w:proofErr w:type="spellStart"/>
      <w:r>
        <w:t>screening</w:t>
      </w:r>
      <w:proofErr w:type="spellEnd"/>
      <w:r>
        <w:t xml:space="preserve"> v souladu s národní legislativou.</w:t>
      </w:r>
    </w:p>
    <w:p w14:paraId="1ECCF05E" w14:textId="65DB3B5F" w:rsidR="00C7629F" w:rsidRDefault="00875731" w:rsidP="00C21067">
      <w:pPr>
        <w:pStyle w:val="K-Text"/>
      </w:pPr>
      <w:r>
        <w:t>(</w:t>
      </w:r>
      <w:r w:rsidRPr="00C6049F">
        <w:rPr>
          <w:highlight w:val="yellow"/>
        </w:rPr>
        <w:t xml:space="preserve">V rámci jednání s Evropskou komisí dne 11.12.2020 bylo </w:t>
      </w:r>
      <w:r w:rsidR="00C6049F" w:rsidRPr="00C6049F">
        <w:rPr>
          <w:highlight w:val="yellow"/>
        </w:rPr>
        <w:t>řečeno, že distribuce tepelné energie by měla být v pořádku s ohledem na kritérium DSH, ale EK zmiňovala požadavek, aby do tří let od zahájení rekonstrukce rozvodů tepla byly zahájena realizace investice do zdroje/zdrojů v rámci soustavy zásobování teplem, tak aby tento zdroj splňoval kritérium DSH</w:t>
      </w:r>
      <w:r w:rsidR="00C6049F">
        <w:rPr>
          <w:highlight w:val="yellow"/>
        </w:rPr>
        <w:t>. Toto pravděpodobně povede ke snížení absorpční kapacity. Pravděpodobně bude nutné ošetřit skrze podmínky čerpání veřejných prostředků</w:t>
      </w:r>
      <w:r w:rsidR="00C6049F">
        <w:t>).</w:t>
      </w:r>
    </w:p>
    <w:p w14:paraId="2F718EDC" w14:textId="7D2BAFCF" w:rsidR="0099187D" w:rsidRDefault="0099187D" w:rsidP="007C0788">
      <w:pPr>
        <w:pStyle w:val="K-Text"/>
        <w:rPr>
          <w:b/>
        </w:rPr>
      </w:pPr>
      <w:r w:rsidRPr="0028282D">
        <w:rPr>
          <w:b/>
        </w:rPr>
        <w:t>Výstavba nových OZE včetně akumulace</w:t>
      </w:r>
    </w:p>
    <w:p w14:paraId="10049927" w14:textId="0458503D" w:rsidR="00461D6A" w:rsidRDefault="00461D6A" w:rsidP="007C0788">
      <w:pPr>
        <w:pStyle w:val="K-Text"/>
      </w:pPr>
      <w:r>
        <w:t xml:space="preserve">Vnímáme, že tato část komponenty by měla plně přispívat ke zlepšení ochrany klimatu a být tedy 100 % započitatelná k 37 % cíli zohlednění ochrany klimatu. </w:t>
      </w:r>
    </w:p>
    <w:p w14:paraId="34D6AA48" w14:textId="5D8B9582" w:rsidR="007C0788" w:rsidRDefault="00461D6A" w:rsidP="00C21067">
      <w:pPr>
        <w:pStyle w:val="K-Text"/>
      </w:pPr>
      <w:r>
        <w:t xml:space="preserve">Investice jsou zaměřeny na obnovitelné zdroje energie, jejichž </w:t>
      </w:r>
      <w:r w:rsidR="00C21067">
        <w:t>provoz není spojený s emisemi skleníkových plynů. Vnímáme tedy, že tyto zdroje by měly přispívat k </w:t>
      </w:r>
      <w:proofErr w:type="spellStart"/>
      <w:r w:rsidR="00C21067">
        <w:t>mitigaci</w:t>
      </w:r>
      <w:proofErr w:type="spellEnd"/>
      <w:r w:rsidR="00C21067">
        <w:t xml:space="preserve">, respektive spíše nepřímo také k adaptaci. Zároveň vnímáme, že cíle přispívají </w:t>
      </w:r>
      <w:r w:rsidR="0099187D" w:rsidRPr="00C21067">
        <w:t xml:space="preserve">k dosažení cílů EU v oblasti </w:t>
      </w:r>
      <w:r w:rsidR="00C21067" w:rsidRPr="00C21067">
        <w:t xml:space="preserve">energetiky a </w:t>
      </w:r>
      <w:r w:rsidR="0099187D" w:rsidRPr="00C21067">
        <w:t>klimatu a</w:t>
      </w:r>
      <w:r w:rsidR="00C21067">
        <w:t> </w:t>
      </w:r>
      <w:r w:rsidR="0099187D" w:rsidRPr="00C21067">
        <w:t>Pařížské dohody</w:t>
      </w:r>
      <w:r w:rsidR="00C21067" w:rsidRPr="00C21067">
        <w:t>.</w:t>
      </w:r>
    </w:p>
    <w:p w14:paraId="4EF391B7" w14:textId="56543C38" w:rsidR="00B115E6" w:rsidRDefault="00B115E6" w:rsidP="00C21067">
      <w:pPr>
        <w:pStyle w:val="K-Text"/>
      </w:pPr>
      <w:r>
        <w:t xml:space="preserve">V rámci návrh Nařízení </w:t>
      </w:r>
      <w:r w:rsidR="00716389">
        <w:t xml:space="preserve">EU k taxonomii nejsou nastaveny konkrétní kritéria pro obnovitelné zdroje, respektive </w:t>
      </w:r>
      <w:proofErr w:type="spellStart"/>
      <w:r w:rsidR="00716389">
        <w:t>fotovoltaiku</w:t>
      </w:r>
      <w:proofErr w:type="spellEnd"/>
      <w:r w:rsidR="00716389">
        <w:t xml:space="preserve"> a větrné elektrárny. Proto vnímáme, že kritérium DSH by mělo být splněno.</w:t>
      </w:r>
      <w:bookmarkStart w:id="5" w:name="_GoBack"/>
      <w:bookmarkEnd w:id="5"/>
    </w:p>
    <w:sectPr w:rsidR="00B115E6" w:rsidSect="00CC5E4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8BF85" w14:textId="77777777" w:rsidR="00A454CE" w:rsidRDefault="00A454CE" w:rsidP="00677FE0">
      <w:pPr>
        <w:spacing w:after="0" w:line="240" w:lineRule="auto"/>
      </w:pPr>
      <w:r>
        <w:separator/>
      </w:r>
    </w:p>
  </w:endnote>
  <w:endnote w:type="continuationSeparator" w:id="0">
    <w:p w14:paraId="095A41A1" w14:textId="77777777" w:rsidR="00A454CE" w:rsidRDefault="00A454CE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(Body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AFC9D" w14:textId="77777777" w:rsidR="00A454CE" w:rsidRDefault="00A45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CE4FE" w14:textId="77777777" w:rsidR="00A454CE" w:rsidRDefault="00A454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72493" w14:textId="77777777" w:rsidR="00A454CE" w:rsidRDefault="00A45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C8859" w14:textId="77777777" w:rsidR="00A454CE" w:rsidRDefault="00A454CE" w:rsidP="00677FE0">
      <w:pPr>
        <w:spacing w:after="0" w:line="240" w:lineRule="auto"/>
      </w:pPr>
      <w:r>
        <w:separator/>
      </w:r>
    </w:p>
  </w:footnote>
  <w:footnote w:type="continuationSeparator" w:id="0">
    <w:p w14:paraId="7244BF9A" w14:textId="77777777" w:rsidR="00A454CE" w:rsidRDefault="00A454CE" w:rsidP="00677FE0">
      <w:pPr>
        <w:spacing w:after="0" w:line="240" w:lineRule="auto"/>
      </w:pPr>
      <w:r>
        <w:continuationSeparator/>
      </w:r>
    </w:p>
  </w:footnote>
  <w:footnote w:id="1">
    <w:p w14:paraId="350AB582" w14:textId="77777777" w:rsidR="00A454CE" w:rsidRPr="00A87B13" w:rsidRDefault="00A454CE">
      <w:pPr>
        <w:pStyle w:val="Textpoznpodarou"/>
        <w:rPr>
          <w:rStyle w:val="K-TextPoznChar"/>
        </w:rPr>
      </w:pPr>
      <w:r w:rsidRPr="00A87B13">
        <w:rPr>
          <w:rStyle w:val="Znakapoznpodarou"/>
          <w:rFonts w:ascii="Times New Roman" w:hAnsi="Times New Roman" w:cs="Times New Roman"/>
        </w:rPr>
        <w:footnoteRef/>
      </w:r>
      <w:r w:rsidRPr="00A87B13">
        <w:rPr>
          <w:rFonts w:ascii="Times New Roman" w:hAnsi="Times New Roman" w:cs="Times New Roman"/>
        </w:rPr>
        <w:t xml:space="preserve"> </w:t>
      </w:r>
      <w:r w:rsidRPr="00A87B13">
        <w:rPr>
          <w:rStyle w:val="K-TextPoznChar"/>
        </w:rPr>
        <w:t>Včetně klasifikace COFOG (výdaje vládního sektoru podle funkce).</w:t>
      </w:r>
    </w:p>
  </w:footnote>
  <w:footnote w:id="2">
    <w:p w14:paraId="5B2E0A73" w14:textId="0E1E63A0" w:rsidR="00A454CE" w:rsidRPr="004379D1" w:rsidRDefault="00A454CE" w:rsidP="004379D1">
      <w:pPr>
        <w:pStyle w:val="Textpoznpodarou"/>
        <w:ind w:left="284" w:hanging="284"/>
        <w:rPr>
          <w:rFonts w:ascii="Times New Roman" w:hAnsi="Times New Roman" w:cs="Times New Roman"/>
        </w:rPr>
      </w:pPr>
      <w:r w:rsidRPr="004379D1">
        <w:rPr>
          <w:rStyle w:val="Znakapoznpodarou"/>
          <w:rFonts w:ascii="Times New Roman" w:hAnsi="Times New Roman" w:cs="Times New Roman"/>
        </w:rPr>
        <w:footnoteRef/>
      </w:r>
      <w:r w:rsidRPr="004379D1">
        <w:rPr>
          <w:rFonts w:ascii="Times New Roman" w:hAnsi="Times New Roman" w:cs="Times New Roman"/>
        </w:rPr>
        <w:t xml:space="preserve"> </w:t>
      </w:r>
      <w:r w:rsidRPr="004379D1">
        <w:rPr>
          <w:rFonts w:ascii="Times New Roman" w:hAnsi="Times New Roman" w:cs="Times New Roman"/>
        </w:rPr>
        <w:tab/>
        <w:t>Hodnocení zdrojové přiměřenosti ES ČR do roku 2020 (</w:t>
      </w:r>
      <w:hyperlink r:id="rId1" w:history="1">
        <w:r w:rsidRPr="004379D1">
          <w:rPr>
            <w:rStyle w:val="Hypertextovodkaz"/>
            <w:rFonts w:ascii="Times New Roman" w:hAnsi="Times New Roman" w:cs="Times New Roman"/>
          </w:rPr>
          <w:t>odkaz</w:t>
        </w:r>
      </w:hyperlink>
      <w:r w:rsidRPr="004379D1">
        <w:rPr>
          <w:rFonts w:ascii="Times New Roman" w:hAnsi="Times New Roman" w:cs="Times New Roman"/>
        </w:rPr>
        <w:t>).</w:t>
      </w:r>
    </w:p>
  </w:footnote>
  <w:footnote w:id="3">
    <w:p w14:paraId="5AF54E72" w14:textId="58695CE7" w:rsidR="00A454CE" w:rsidRDefault="00A454CE" w:rsidP="005B38C3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EB3E56">
        <w:rPr>
          <w:rFonts w:ascii="Times New Roman" w:hAnsi="Times New Roman" w:cs="Times New Roman"/>
        </w:rPr>
        <w:t xml:space="preserve">Detailnější informace a statistiky z proběhlých výzev jsou samozřejmě dostupné. </w:t>
      </w:r>
      <w:r>
        <w:rPr>
          <w:rFonts w:ascii="Times New Roman" w:hAnsi="Times New Roman" w:cs="Times New Roman"/>
        </w:rPr>
        <w:t>Modernizace rozvodů tepla financována z Fondu obnovy by pak měla být administrována/implementována stejnými útvary Ministerstva průmyslu a obchodu, kteří mají na starost osu 3.5 v rámci OPPIK, takže by mělo dojít k zajištění dostatečné kontinuity.</w:t>
      </w:r>
    </w:p>
  </w:footnote>
  <w:footnote w:id="4">
    <w:p w14:paraId="63605F4F" w14:textId="20D8B32F" w:rsidR="00A454CE" w:rsidRDefault="00A454CE" w:rsidP="00BE3FF2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BE3FF2">
        <w:rPr>
          <w:rFonts w:ascii="Times New Roman" w:hAnsi="Times New Roman" w:cs="Times New Roman"/>
        </w:rPr>
        <w:t>Podle zákona č. 165/2012 Sb., o podporovaných zdrojích energie, ve znění pozdějších předpisů, je účinnou soustavou zásobování tepelnou energií soustava, do které bylo v předcházejícím kalendářním roce dodáno alespoň 50 % tepla z obnovitelných zdrojů, 50 % tepla z druhotných zdrojů, 75 % tepla z kombinované výroby tepla a elektřiny nebo 50 % tepla z kombinace uvedených možností.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238AB" w14:textId="77777777" w:rsidR="00A454CE" w:rsidRDefault="00A454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EBA37" w14:textId="77777777" w:rsidR="00A454CE" w:rsidRDefault="00A454C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72BA" w14:textId="77777777" w:rsidR="00A454CE" w:rsidRDefault="00A454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7BC6FA8"/>
    <w:multiLevelType w:val="hybridMultilevel"/>
    <w:tmpl w:val="D242E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0D49"/>
    <w:multiLevelType w:val="hybridMultilevel"/>
    <w:tmpl w:val="AE7A3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73131"/>
    <w:multiLevelType w:val="hybridMultilevel"/>
    <w:tmpl w:val="B2F01D8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0316F8"/>
    <w:multiLevelType w:val="multilevel"/>
    <w:tmpl w:val="3320A8B2"/>
    <w:numStyleLink w:val="VariantaB-odrky"/>
  </w:abstractNum>
  <w:abstractNum w:abstractNumId="5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6" w15:restartNumberingAfterBreak="0">
    <w:nsid w:val="191872DA"/>
    <w:multiLevelType w:val="multilevel"/>
    <w:tmpl w:val="E8A48D7C"/>
    <w:numStyleLink w:val="VariantaA-sla"/>
  </w:abstractNum>
  <w:abstractNum w:abstractNumId="7" w15:restartNumberingAfterBreak="0">
    <w:nsid w:val="19E35ABB"/>
    <w:multiLevelType w:val="hybridMultilevel"/>
    <w:tmpl w:val="F5B6FC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030DB"/>
    <w:multiLevelType w:val="hybridMultilevel"/>
    <w:tmpl w:val="06BA5ABE"/>
    <w:lvl w:ilvl="0" w:tplc="7BD6463A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9F5E1B"/>
    <w:multiLevelType w:val="hybridMultilevel"/>
    <w:tmpl w:val="E7C28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A4367"/>
    <w:multiLevelType w:val="hybridMultilevel"/>
    <w:tmpl w:val="42ECE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A5EA2"/>
    <w:multiLevelType w:val="hybridMultilevel"/>
    <w:tmpl w:val="E8BAE50A"/>
    <w:numStyleLink w:val="VariantaA-odrky"/>
  </w:abstractNum>
  <w:abstractNum w:abstractNumId="12" w15:restartNumberingAfterBreak="0">
    <w:nsid w:val="2EBC2FCA"/>
    <w:multiLevelType w:val="hybridMultilevel"/>
    <w:tmpl w:val="4120D2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14069"/>
    <w:multiLevelType w:val="hybridMultilevel"/>
    <w:tmpl w:val="698A4C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B67B0"/>
    <w:multiLevelType w:val="hybridMultilevel"/>
    <w:tmpl w:val="4404A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C4A24"/>
    <w:multiLevelType w:val="hybridMultilevel"/>
    <w:tmpl w:val="2AAC851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9775E"/>
    <w:multiLevelType w:val="hybridMultilevel"/>
    <w:tmpl w:val="0D8ABE32"/>
    <w:styleLink w:val="VariantaB-sla"/>
    <w:lvl w:ilvl="0" w:tplc="72E8C05A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 w:tplc="C0BEDDC8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 w:tplc="EA4E71A0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 w:tplc="A56E0620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 w:tplc="343E8C2E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 w:tplc="37D8D4A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6708182C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A42E2B9A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2DD6C69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2E1536A"/>
    <w:multiLevelType w:val="hybridMultilevel"/>
    <w:tmpl w:val="9B9AF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E001B2"/>
    <w:multiLevelType w:val="hybridMultilevel"/>
    <w:tmpl w:val="593856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26625"/>
    <w:multiLevelType w:val="hybridMultilevel"/>
    <w:tmpl w:val="C56C3D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F34E6"/>
    <w:multiLevelType w:val="hybridMultilevel"/>
    <w:tmpl w:val="C680A2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321E4"/>
    <w:multiLevelType w:val="hybridMultilevel"/>
    <w:tmpl w:val="E8BAE50A"/>
    <w:styleLink w:val="VariantaA-odrky"/>
    <w:lvl w:ilvl="0" w:tplc="E9B8ED8A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 w:tplc="4F365BDE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 w:tplc="E554665C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 w:tplc="482C2600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 w:tplc="3CBA163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 w:tplc="1EFC26A8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 w:tplc="6FA0D0C0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 w:tplc="E2B61B1E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 w:tplc="97BC94AA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22" w15:restartNumberingAfterBreak="0">
    <w:nsid w:val="5AF35F43"/>
    <w:multiLevelType w:val="hybridMultilevel"/>
    <w:tmpl w:val="0D8ABE32"/>
    <w:numStyleLink w:val="VariantaB-sla"/>
  </w:abstractNum>
  <w:abstractNum w:abstractNumId="23" w15:restartNumberingAfterBreak="0">
    <w:nsid w:val="6423642A"/>
    <w:multiLevelType w:val="hybridMultilevel"/>
    <w:tmpl w:val="B83669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048FE"/>
    <w:multiLevelType w:val="hybridMultilevel"/>
    <w:tmpl w:val="FB78BE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21A06"/>
    <w:multiLevelType w:val="hybridMultilevel"/>
    <w:tmpl w:val="1F8C9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B6D2B"/>
    <w:multiLevelType w:val="hybridMultilevel"/>
    <w:tmpl w:val="8DB2535C"/>
    <w:lvl w:ilvl="0" w:tplc="7BD6463A">
      <w:start w:val="1"/>
      <w:numFmt w:val="bullet"/>
      <w:lvlText w:val="˗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16"/>
  </w:num>
  <w:num w:numId="4">
    <w:abstractNumId w:val="0"/>
  </w:num>
  <w:num w:numId="5">
    <w:abstractNumId w:val="22"/>
  </w:num>
  <w:num w:numId="6">
    <w:abstractNumId w:val="11"/>
  </w:num>
  <w:num w:numId="7">
    <w:abstractNumId w:val="6"/>
  </w:num>
  <w:num w:numId="8">
    <w:abstractNumId w:val="4"/>
  </w:num>
  <w:num w:numId="9">
    <w:abstractNumId w:val="17"/>
  </w:num>
  <w:num w:numId="10">
    <w:abstractNumId w:val="14"/>
  </w:num>
  <w:num w:numId="11">
    <w:abstractNumId w:val="9"/>
  </w:num>
  <w:num w:numId="12">
    <w:abstractNumId w:val="23"/>
  </w:num>
  <w:num w:numId="13">
    <w:abstractNumId w:val="19"/>
  </w:num>
  <w:num w:numId="14">
    <w:abstractNumId w:val="24"/>
  </w:num>
  <w:num w:numId="15">
    <w:abstractNumId w:val="25"/>
  </w:num>
  <w:num w:numId="16">
    <w:abstractNumId w:val="18"/>
  </w:num>
  <w:num w:numId="17">
    <w:abstractNumId w:val="2"/>
  </w:num>
  <w:num w:numId="18">
    <w:abstractNumId w:val="7"/>
  </w:num>
  <w:num w:numId="19">
    <w:abstractNumId w:val="12"/>
  </w:num>
  <w:num w:numId="20">
    <w:abstractNumId w:val="20"/>
  </w:num>
  <w:num w:numId="21">
    <w:abstractNumId w:val="10"/>
  </w:num>
  <w:num w:numId="22">
    <w:abstractNumId w:val="13"/>
  </w:num>
  <w:num w:numId="23">
    <w:abstractNumId w:val="15"/>
  </w:num>
  <w:num w:numId="24">
    <w:abstractNumId w:val="8"/>
  </w:num>
  <w:num w:numId="25">
    <w:abstractNumId w:val="3"/>
  </w:num>
  <w:num w:numId="26">
    <w:abstractNumId w:val="1"/>
  </w:num>
  <w:num w:numId="27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CF"/>
    <w:rsid w:val="00015306"/>
    <w:rsid w:val="0002674B"/>
    <w:rsid w:val="00030685"/>
    <w:rsid w:val="0004162E"/>
    <w:rsid w:val="0004786B"/>
    <w:rsid w:val="00063405"/>
    <w:rsid w:val="00070134"/>
    <w:rsid w:val="000809B9"/>
    <w:rsid w:val="00081843"/>
    <w:rsid w:val="00083DF4"/>
    <w:rsid w:val="00090B40"/>
    <w:rsid w:val="00095A0A"/>
    <w:rsid w:val="00095EBD"/>
    <w:rsid w:val="000B1B3D"/>
    <w:rsid w:val="000C0598"/>
    <w:rsid w:val="000C28A7"/>
    <w:rsid w:val="000C4CAF"/>
    <w:rsid w:val="000D652B"/>
    <w:rsid w:val="000E2207"/>
    <w:rsid w:val="00121485"/>
    <w:rsid w:val="001268B0"/>
    <w:rsid w:val="0015052B"/>
    <w:rsid w:val="00154B73"/>
    <w:rsid w:val="001745AA"/>
    <w:rsid w:val="0018051B"/>
    <w:rsid w:val="00196474"/>
    <w:rsid w:val="001A1083"/>
    <w:rsid w:val="001B1E4A"/>
    <w:rsid w:val="001B58AA"/>
    <w:rsid w:val="001C4DFD"/>
    <w:rsid w:val="001D27C0"/>
    <w:rsid w:val="001E74C3"/>
    <w:rsid w:val="001F6937"/>
    <w:rsid w:val="00207FC3"/>
    <w:rsid w:val="00220DE3"/>
    <w:rsid w:val="002424D3"/>
    <w:rsid w:val="0025290D"/>
    <w:rsid w:val="00260372"/>
    <w:rsid w:val="00262DAF"/>
    <w:rsid w:val="0028282D"/>
    <w:rsid w:val="00285AED"/>
    <w:rsid w:val="00295AC0"/>
    <w:rsid w:val="002C20CF"/>
    <w:rsid w:val="002C44E5"/>
    <w:rsid w:val="002C4FCC"/>
    <w:rsid w:val="002D2B80"/>
    <w:rsid w:val="002E19BA"/>
    <w:rsid w:val="002E2442"/>
    <w:rsid w:val="002F0E8C"/>
    <w:rsid w:val="00304970"/>
    <w:rsid w:val="00310FA0"/>
    <w:rsid w:val="00320481"/>
    <w:rsid w:val="003250CB"/>
    <w:rsid w:val="00330A99"/>
    <w:rsid w:val="003320C3"/>
    <w:rsid w:val="00333A9E"/>
    <w:rsid w:val="00351CAF"/>
    <w:rsid w:val="00363201"/>
    <w:rsid w:val="00385AD8"/>
    <w:rsid w:val="0039063C"/>
    <w:rsid w:val="003A0C74"/>
    <w:rsid w:val="003A46A8"/>
    <w:rsid w:val="003A51AA"/>
    <w:rsid w:val="003A6471"/>
    <w:rsid w:val="003B0E92"/>
    <w:rsid w:val="003B565A"/>
    <w:rsid w:val="003D00A1"/>
    <w:rsid w:val="003D3067"/>
    <w:rsid w:val="0041427F"/>
    <w:rsid w:val="004379D1"/>
    <w:rsid w:val="004509E5"/>
    <w:rsid w:val="00461D6A"/>
    <w:rsid w:val="004863F1"/>
    <w:rsid w:val="00486FB9"/>
    <w:rsid w:val="00493245"/>
    <w:rsid w:val="004B2F13"/>
    <w:rsid w:val="004C212A"/>
    <w:rsid w:val="004D443B"/>
    <w:rsid w:val="004E6019"/>
    <w:rsid w:val="00500232"/>
    <w:rsid w:val="005015C4"/>
    <w:rsid w:val="00504668"/>
    <w:rsid w:val="00504DF6"/>
    <w:rsid w:val="005119E2"/>
    <w:rsid w:val="00512795"/>
    <w:rsid w:val="00517258"/>
    <w:rsid w:val="00536992"/>
    <w:rsid w:val="005455E1"/>
    <w:rsid w:val="005502BD"/>
    <w:rsid w:val="00556787"/>
    <w:rsid w:val="00582276"/>
    <w:rsid w:val="00586036"/>
    <w:rsid w:val="005B0632"/>
    <w:rsid w:val="005B38C3"/>
    <w:rsid w:val="005B3F5C"/>
    <w:rsid w:val="005B6940"/>
    <w:rsid w:val="005C2560"/>
    <w:rsid w:val="005C4AD7"/>
    <w:rsid w:val="005D09A9"/>
    <w:rsid w:val="005D1A33"/>
    <w:rsid w:val="005F7585"/>
    <w:rsid w:val="00603DA9"/>
    <w:rsid w:val="00605759"/>
    <w:rsid w:val="00626FBC"/>
    <w:rsid w:val="00650C6C"/>
    <w:rsid w:val="00652FE6"/>
    <w:rsid w:val="00660826"/>
    <w:rsid w:val="00667898"/>
    <w:rsid w:val="00677FE0"/>
    <w:rsid w:val="00693EB4"/>
    <w:rsid w:val="006953C3"/>
    <w:rsid w:val="006B1638"/>
    <w:rsid w:val="006B6764"/>
    <w:rsid w:val="006C30EB"/>
    <w:rsid w:val="006D04EF"/>
    <w:rsid w:val="006D354D"/>
    <w:rsid w:val="006E0EF7"/>
    <w:rsid w:val="006E2FB0"/>
    <w:rsid w:val="006F1BEA"/>
    <w:rsid w:val="007102D2"/>
    <w:rsid w:val="00710C8F"/>
    <w:rsid w:val="00712D72"/>
    <w:rsid w:val="00713948"/>
    <w:rsid w:val="00716389"/>
    <w:rsid w:val="0072734C"/>
    <w:rsid w:val="00741CFD"/>
    <w:rsid w:val="00753A27"/>
    <w:rsid w:val="00755B2B"/>
    <w:rsid w:val="00776E73"/>
    <w:rsid w:val="0079342A"/>
    <w:rsid w:val="007A2737"/>
    <w:rsid w:val="007B4949"/>
    <w:rsid w:val="007C0788"/>
    <w:rsid w:val="007C6A25"/>
    <w:rsid w:val="007C758B"/>
    <w:rsid w:val="007E55C0"/>
    <w:rsid w:val="007F0BC6"/>
    <w:rsid w:val="007F4D9C"/>
    <w:rsid w:val="0081234F"/>
    <w:rsid w:val="00815B4F"/>
    <w:rsid w:val="00831374"/>
    <w:rsid w:val="00835900"/>
    <w:rsid w:val="00852465"/>
    <w:rsid w:val="00853D84"/>
    <w:rsid w:val="00857580"/>
    <w:rsid w:val="00865238"/>
    <w:rsid w:val="00866685"/>
    <w:rsid w:val="008667BF"/>
    <w:rsid w:val="00875731"/>
    <w:rsid w:val="00880A08"/>
    <w:rsid w:val="00895645"/>
    <w:rsid w:val="008A7851"/>
    <w:rsid w:val="008C3782"/>
    <w:rsid w:val="008D4A32"/>
    <w:rsid w:val="008D593A"/>
    <w:rsid w:val="008E3837"/>
    <w:rsid w:val="008E7760"/>
    <w:rsid w:val="008F5987"/>
    <w:rsid w:val="0091766D"/>
    <w:rsid w:val="00917CC1"/>
    <w:rsid w:val="00921D6C"/>
    <w:rsid w:val="00922001"/>
    <w:rsid w:val="00922C17"/>
    <w:rsid w:val="009325EA"/>
    <w:rsid w:val="009402C4"/>
    <w:rsid w:val="00942DDD"/>
    <w:rsid w:val="009516A8"/>
    <w:rsid w:val="0097705C"/>
    <w:rsid w:val="00985A31"/>
    <w:rsid w:val="0099187D"/>
    <w:rsid w:val="00996DF6"/>
    <w:rsid w:val="009B503A"/>
    <w:rsid w:val="009C04D3"/>
    <w:rsid w:val="009D04D0"/>
    <w:rsid w:val="009D4582"/>
    <w:rsid w:val="009F393D"/>
    <w:rsid w:val="009F7F46"/>
    <w:rsid w:val="00A000BF"/>
    <w:rsid w:val="00A0587E"/>
    <w:rsid w:val="00A13FC2"/>
    <w:rsid w:val="00A24C1F"/>
    <w:rsid w:val="00A275BC"/>
    <w:rsid w:val="00A356B5"/>
    <w:rsid w:val="00A454CE"/>
    <w:rsid w:val="00A464B4"/>
    <w:rsid w:val="00A473A2"/>
    <w:rsid w:val="00A63D6B"/>
    <w:rsid w:val="00A84B52"/>
    <w:rsid w:val="00A8660F"/>
    <w:rsid w:val="00A87B13"/>
    <w:rsid w:val="00A9595F"/>
    <w:rsid w:val="00A95C48"/>
    <w:rsid w:val="00AA7056"/>
    <w:rsid w:val="00AB31C6"/>
    <w:rsid w:val="00AB523B"/>
    <w:rsid w:val="00AB741A"/>
    <w:rsid w:val="00AD7E40"/>
    <w:rsid w:val="00AF2980"/>
    <w:rsid w:val="00AF3BAB"/>
    <w:rsid w:val="00B1114A"/>
    <w:rsid w:val="00B115E6"/>
    <w:rsid w:val="00B1477A"/>
    <w:rsid w:val="00B1729A"/>
    <w:rsid w:val="00B20993"/>
    <w:rsid w:val="00B31350"/>
    <w:rsid w:val="00B3341C"/>
    <w:rsid w:val="00B33950"/>
    <w:rsid w:val="00B42E96"/>
    <w:rsid w:val="00B463E1"/>
    <w:rsid w:val="00B46778"/>
    <w:rsid w:val="00B50EE6"/>
    <w:rsid w:val="00B52185"/>
    <w:rsid w:val="00B94A2A"/>
    <w:rsid w:val="00B9753A"/>
    <w:rsid w:val="00BB479C"/>
    <w:rsid w:val="00BC4720"/>
    <w:rsid w:val="00BD0B80"/>
    <w:rsid w:val="00BD75A2"/>
    <w:rsid w:val="00BE3FF2"/>
    <w:rsid w:val="00C2017A"/>
    <w:rsid w:val="00C2026B"/>
    <w:rsid w:val="00C20470"/>
    <w:rsid w:val="00C21067"/>
    <w:rsid w:val="00C34B2F"/>
    <w:rsid w:val="00C4641B"/>
    <w:rsid w:val="00C6049F"/>
    <w:rsid w:val="00C60984"/>
    <w:rsid w:val="00C637EA"/>
    <w:rsid w:val="00C6666F"/>
    <w:rsid w:val="00C6690E"/>
    <w:rsid w:val="00C703C5"/>
    <w:rsid w:val="00C748B7"/>
    <w:rsid w:val="00C7629F"/>
    <w:rsid w:val="00C805F2"/>
    <w:rsid w:val="00C925FB"/>
    <w:rsid w:val="00C96099"/>
    <w:rsid w:val="00C96EFE"/>
    <w:rsid w:val="00CC5E40"/>
    <w:rsid w:val="00CC7C5F"/>
    <w:rsid w:val="00CE0581"/>
    <w:rsid w:val="00CF104D"/>
    <w:rsid w:val="00CF21D8"/>
    <w:rsid w:val="00CF3324"/>
    <w:rsid w:val="00D1569F"/>
    <w:rsid w:val="00D20B1E"/>
    <w:rsid w:val="00D22462"/>
    <w:rsid w:val="00D230AC"/>
    <w:rsid w:val="00D32489"/>
    <w:rsid w:val="00D3349E"/>
    <w:rsid w:val="00D71EF7"/>
    <w:rsid w:val="00D73CB8"/>
    <w:rsid w:val="00D76F54"/>
    <w:rsid w:val="00DA7591"/>
    <w:rsid w:val="00DB6F34"/>
    <w:rsid w:val="00DC646D"/>
    <w:rsid w:val="00DE0ED4"/>
    <w:rsid w:val="00DF5124"/>
    <w:rsid w:val="00E123CD"/>
    <w:rsid w:val="00E237E4"/>
    <w:rsid w:val="00E31020"/>
    <w:rsid w:val="00E32798"/>
    <w:rsid w:val="00E33CC8"/>
    <w:rsid w:val="00E51C91"/>
    <w:rsid w:val="00E56F24"/>
    <w:rsid w:val="00E667C1"/>
    <w:rsid w:val="00E67EEC"/>
    <w:rsid w:val="00EB3E56"/>
    <w:rsid w:val="00EC3F88"/>
    <w:rsid w:val="00ED337B"/>
    <w:rsid w:val="00ED36D8"/>
    <w:rsid w:val="00ED612A"/>
    <w:rsid w:val="00EE6BD7"/>
    <w:rsid w:val="00EF374D"/>
    <w:rsid w:val="00F0689D"/>
    <w:rsid w:val="00F109BE"/>
    <w:rsid w:val="00F174B1"/>
    <w:rsid w:val="00F3299A"/>
    <w:rsid w:val="00F3526D"/>
    <w:rsid w:val="00F36A11"/>
    <w:rsid w:val="00F55FCC"/>
    <w:rsid w:val="00F8491A"/>
    <w:rsid w:val="00FB01B5"/>
    <w:rsid w:val="00FB2FFA"/>
    <w:rsid w:val="00FC39F6"/>
    <w:rsid w:val="00FD50E5"/>
    <w:rsid w:val="00FF2F4A"/>
    <w:rsid w:val="019E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09198F2"/>
  <w15:chartTrackingRefBased/>
  <w15:docId w15:val="{9CE5CF7E-876D-45A3-ADD2-AE09E8A0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A87B13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rsid w:val="001B1E4A"/>
    <w:pPr>
      <w:numPr>
        <w:numId w:val="7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rsid w:val="001B1E4A"/>
    <w:pPr>
      <w:numPr>
        <w:ilvl w:val="1"/>
        <w:numId w:val="7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rsid w:val="001B1E4A"/>
    <w:pPr>
      <w:numPr>
        <w:ilvl w:val="2"/>
        <w:numId w:val="7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rsid w:val="001B1E4A"/>
    <w:pPr>
      <w:numPr>
        <w:ilvl w:val="3"/>
        <w:numId w:val="7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rsid w:val="001B1E4A"/>
    <w:pPr>
      <w:numPr>
        <w:ilvl w:val="4"/>
        <w:numId w:val="7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rsid w:val="009F7F46"/>
    <w:pPr>
      <w:numPr>
        <w:numId w:val="5"/>
      </w:numPr>
      <w:spacing w:after="0"/>
    </w:pPr>
  </w:style>
  <w:style w:type="paragraph" w:customStyle="1" w:styleId="slovanseznamB2">
    <w:name w:val="Číslovaný seznam B 2"/>
    <w:basedOn w:val="Normln"/>
    <w:uiPriority w:val="16"/>
    <w:rsid w:val="009F7F46"/>
    <w:pPr>
      <w:numPr>
        <w:ilvl w:val="1"/>
        <w:numId w:val="5"/>
      </w:numPr>
      <w:spacing w:after="0"/>
    </w:pPr>
  </w:style>
  <w:style w:type="paragraph" w:customStyle="1" w:styleId="slovanseznamB3">
    <w:name w:val="Číslovaný seznam B 3"/>
    <w:basedOn w:val="Normln"/>
    <w:uiPriority w:val="16"/>
    <w:rsid w:val="009F7F46"/>
    <w:pPr>
      <w:numPr>
        <w:ilvl w:val="2"/>
        <w:numId w:val="5"/>
      </w:numPr>
      <w:spacing w:after="0"/>
    </w:pPr>
  </w:style>
  <w:style w:type="paragraph" w:customStyle="1" w:styleId="slovanseznamB4">
    <w:name w:val="Číslovaný seznam B 4"/>
    <w:basedOn w:val="Normln"/>
    <w:uiPriority w:val="16"/>
    <w:rsid w:val="009F7F46"/>
    <w:pPr>
      <w:numPr>
        <w:ilvl w:val="3"/>
        <w:numId w:val="5"/>
      </w:numPr>
      <w:spacing w:after="0"/>
    </w:pPr>
  </w:style>
  <w:style w:type="paragraph" w:customStyle="1" w:styleId="slovanseznamB5">
    <w:name w:val="Číslovaný seznam B 5"/>
    <w:basedOn w:val="Normln"/>
    <w:uiPriority w:val="16"/>
    <w:rsid w:val="009F7F46"/>
    <w:pPr>
      <w:numPr>
        <w:ilvl w:val="4"/>
        <w:numId w:val="5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rsid w:val="00262DAF"/>
    <w:pPr>
      <w:numPr>
        <w:ilvl w:val="2"/>
        <w:numId w:val="6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rsid w:val="00262DAF"/>
    <w:pPr>
      <w:numPr>
        <w:ilvl w:val="3"/>
        <w:numId w:val="6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rsid w:val="00262DAF"/>
    <w:pPr>
      <w:numPr>
        <w:ilvl w:val="4"/>
        <w:numId w:val="6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rsid w:val="00262DAF"/>
    <w:pPr>
      <w:numPr>
        <w:numId w:val="6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rsid w:val="00262DAF"/>
    <w:pPr>
      <w:numPr>
        <w:ilvl w:val="1"/>
        <w:numId w:val="6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rsid w:val="007102D2"/>
    <w:pPr>
      <w:numPr>
        <w:numId w:val="8"/>
      </w:numPr>
      <w:spacing w:after="0"/>
    </w:pPr>
  </w:style>
  <w:style w:type="paragraph" w:customStyle="1" w:styleId="SeznamsodrkamiB2">
    <w:name w:val="Seznam s odrážkami B 2"/>
    <w:basedOn w:val="Normln"/>
    <w:uiPriority w:val="11"/>
    <w:rsid w:val="007102D2"/>
    <w:pPr>
      <w:numPr>
        <w:ilvl w:val="1"/>
        <w:numId w:val="8"/>
      </w:numPr>
      <w:spacing w:after="0"/>
    </w:pPr>
  </w:style>
  <w:style w:type="paragraph" w:customStyle="1" w:styleId="SeznamsodrkamiB3">
    <w:name w:val="Seznam s odrážkami B 3"/>
    <w:basedOn w:val="Normln"/>
    <w:uiPriority w:val="11"/>
    <w:rsid w:val="007102D2"/>
    <w:pPr>
      <w:numPr>
        <w:ilvl w:val="2"/>
        <w:numId w:val="8"/>
      </w:numPr>
      <w:spacing w:after="0"/>
    </w:pPr>
  </w:style>
  <w:style w:type="paragraph" w:customStyle="1" w:styleId="SeznamsodrkamiB4">
    <w:name w:val="Seznam s odrážkami B 4"/>
    <w:basedOn w:val="Normln"/>
    <w:uiPriority w:val="11"/>
    <w:rsid w:val="007102D2"/>
    <w:pPr>
      <w:numPr>
        <w:ilvl w:val="3"/>
        <w:numId w:val="8"/>
      </w:numPr>
      <w:spacing w:after="0"/>
    </w:pPr>
  </w:style>
  <w:style w:type="paragraph" w:customStyle="1" w:styleId="SeznamsodrkamiB5">
    <w:name w:val="Seznam s odrážkami B 5"/>
    <w:basedOn w:val="Normln"/>
    <w:uiPriority w:val="11"/>
    <w:rsid w:val="007102D2"/>
    <w:pPr>
      <w:numPr>
        <w:ilvl w:val="4"/>
        <w:numId w:val="8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link w:val="DefaultChar"/>
    <w:rsid w:val="002C2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E05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0581"/>
    <w:rPr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E0581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325EA"/>
    <w:rPr>
      <w:color w:val="605E5C"/>
      <w:shd w:val="clear" w:color="auto" w:fill="E1DFDD"/>
    </w:rPr>
  </w:style>
  <w:style w:type="paragraph" w:customStyle="1" w:styleId="K-Nadpis1">
    <w:name w:val="K-Nadpis1"/>
    <w:basedOn w:val="Nadpis1"/>
    <w:link w:val="K-Nadpis1Char"/>
    <w:qFormat/>
    <w:rsid w:val="00154B73"/>
    <w:rPr>
      <w:rFonts w:ascii="Times New Roman" w:hAnsi="Times New Roman" w:cs="Times New Roman"/>
      <w:sz w:val="32"/>
    </w:rPr>
  </w:style>
  <w:style w:type="paragraph" w:customStyle="1" w:styleId="K-Nadpis2">
    <w:name w:val="K-Nadpis2"/>
    <w:basedOn w:val="Nadpis2"/>
    <w:link w:val="K-Nadpis2Char"/>
    <w:qFormat/>
    <w:rsid w:val="00154B73"/>
    <w:rPr>
      <w:rFonts w:ascii="Times New Roman" w:hAnsi="Times New Roman" w:cs="Times New Roman"/>
      <w:sz w:val="28"/>
      <w:szCs w:val="28"/>
    </w:rPr>
  </w:style>
  <w:style w:type="character" w:customStyle="1" w:styleId="K-Nadpis1Char">
    <w:name w:val="K-Nadpis1 Char"/>
    <w:basedOn w:val="Nadpis1Char"/>
    <w:link w:val="K-Nadpis1"/>
    <w:rsid w:val="00154B73"/>
    <w:rPr>
      <w:rFonts w:ascii="Times New Roman" w:eastAsiaTheme="majorEastAsia" w:hAnsi="Times New Roman" w:cs="Times New Roman"/>
      <w:b/>
      <w:color w:val="000000" w:themeColor="text1"/>
      <w:sz w:val="32"/>
      <w:szCs w:val="32"/>
    </w:rPr>
  </w:style>
  <w:style w:type="paragraph" w:customStyle="1" w:styleId="K-Nadpis3">
    <w:name w:val="K-Nadpis3"/>
    <w:basedOn w:val="Default"/>
    <w:link w:val="K-Nadpis3Char"/>
    <w:qFormat/>
    <w:rsid w:val="00154B73"/>
    <w:pPr>
      <w:spacing w:after="120"/>
      <w:jc w:val="both"/>
    </w:pPr>
    <w:rPr>
      <w:b/>
      <w:szCs w:val="23"/>
    </w:rPr>
  </w:style>
  <w:style w:type="character" w:customStyle="1" w:styleId="K-Nadpis2Char">
    <w:name w:val="K-Nadpis2 Char"/>
    <w:basedOn w:val="Nadpis2Char"/>
    <w:link w:val="K-Nadpis2"/>
    <w:rsid w:val="00154B73"/>
    <w:rPr>
      <w:rFonts w:ascii="Times New Roman" w:eastAsiaTheme="majorEastAsia" w:hAnsi="Times New Roman" w:cs="Times New Roman"/>
      <w:b/>
      <w:color w:val="000000" w:themeColor="text1"/>
      <w:sz w:val="28"/>
      <w:szCs w:val="28"/>
    </w:rPr>
  </w:style>
  <w:style w:type="paragraph" w:customStyle="1" w:styleId="K-Text">
    <w:name w:val="K-Text"/>
    <w:basedOn w:val="Normln"/>
    <w:link w:val="K-TextChar"/>
    <w:qFormat/>
    <w:rsid w:val="006F1BEA"/>
    <w:pPr>
      <w:spacing w:after="120"/>
      <w:jc w:val="both"/>
    </w:pPr>
    <w:rPr>
      <w:rFonts w:ascii="Times New Roman" w:hAnsi="Times New Roman" w:cs="Times New Roman"/>
      <w:iCs/>
      <w:color w:val="auto"/>
      <w:sz w:val="23"/>
      <w:szCs w:val="23"/>
    </w:rPr>
  </w:style>
  <w:style w:type="character" w:customStyle="1" w:styleId="DefaultChar">
    <w:name w:val="Default Char"/>
    <w:basedOn w:val="Standardnpsmoodstavce"/>
    <w:link w:val="Default"/>
    <w:rsid w:val="00154B73"/>
    <w:rPr>
      <w:rFonts w:ascii="Times New Roman" w:hAnsi="Times New Roman" w:cs="Times New Roman"/>
      <w:color w:val="000000"/>
      <w:sz w:val="24"/>
      <w:szCs w:val="24"/>
    </w:rPr>
  </w:style>
  <w:style w:type="character" w:customStyle="1" w:styleId="K-Nadpis3Char">
    <w:name w:val="K-Nadpis3 Char"/>
    <w:basedOn w:val="DefaultChar"/>
    <w:link w:val="K-Nadpis3"/>
    <w:rsid w:val="00154B73"/>
    <w:rPr>
      <w:rFonts w:ascii="Times New Roman" w:hAnsi="Times New Roman" w:cs="Times New Roman"/>
      <w:b/>
      <w:color w:val="000000"/>
      <w:sz w:val="24"/>
      <w:szCs w:val="23"/>
    </w:rPr>
  </w:style>
  <w:style w:type="paragraph" w:customStyle="1" w:styleId="K-TextInfo">
    <w:name w:val="K-Text_Info"/>
    <w:basedOn w:val="Default"/>
    <w:link w:val="K-TextInfoChar"/>
    <w:qFormat/>
    <w:rsid w:val="00ED337B"/>
    <w:pPr>
      <w:spacing w:after="120"/>
      <w:jc w:val="both"/>
    </w:pPr>
    <w:rPr>
      <w:i/>
      <w:iCs/>
      <w:color w:val="2196FF" w:themeColor="text2" w:themeTint="99"/>
      <w:sz w:val="23"/>
      <w:szCs w:val="23"/>
    </w:rPr>
  </w:style>
  <w:style w:type="character" w:customStyle="1" w:styleId="K-TextChar">
    <w:name w:val="K-Text Char"/>
    <w:basedOn w:val="Standardnpsmoodstavce"/>
    <w:link w:val="K-Text"/>
    <w:rsid w:val="006F1BEA"/>
    <w:rPr>
      <w:rFonts w:ascii="Times New Roman" w:hAnsi="Times New Roman" w:cs="Times New Roman"/>
      <w:iCs/>
      <w:sz w:val="23"/>
      <w:szCs w:val="23"/>
    </w:rPr>
  </w:style>
  <w:style w:type="paragraph" w:customStyle="1" w:styleId="K-Tabulka">
    <w:name w:val="K-Tabulka"/>
    <w:basedOn w:val="Default"/>
    <w:link w:val="K-TabulkaChar"/>
    <w:qFormat/>
    <w:rsid w:val="00ED337B"/>
    <w:pPr>
      <w:spacing w:after="120"/>
      <w:jc w:val="both"/>
    </w:pPr>
    <w:rPr>
      <w:b/>
      <w:bCs/>
      <w:color w:val="auto"/>
      <w:sz w:val="23"/>
      <w:szCs w:val="23"/>
    </w:rPr>
  </w:style>
  <w:style w:type="character" w:customStyle="1" w:styleId="K-TextInfoChar">
    <w:name w:val="K-Text_Info Char"/>
    <w:basedOn w:val="DefaultChar"/>
    <w:link w:val="K-TextInfo"/>
    <w:rsid w:val="00ED337B"/>
    <w:rPr>
      <w:rFonts w:ascii="Times New Roman" w:hAnsi="Times New Roman" w:cs="Times New Roman"/>
      <w:i/>
      <w:iCs/>
      <w:color w:val="2196FF" w:themeColor="text2" w:themeTint="99"/>
      <w:sz w:val="23"/>
      <w:szCs w:val="23"/>
    </w:rPr>
  </w:style>
  <w:style w:type="paragraph" w:customStyle="1" w:styleId="K-TextPozn">
    <w:name w:val="K-Text_Pozn"/>
    <w:basedOn w:val="Textpoznpodarou"/>
    <w:link w:val="K-TextPoznChar"/>
    <w:qFormat/>
    <w:rsid w:val="00A87B13"/>
    <w:rPr>
      <w:rFonts w:ascii="Times New Roman" w:hAnsi="Times New Roman" w:cs="Times New Roman"/>
    </w:rPr>
  </w:style>
  <w:style w:type="character" w:customStyle="1" w:styleId="K-TabulkaChar">
    <w:name w:val="K-Tabulka Char"/>
    <w:basedOn w:val="DefaultChar"/>
    <w:link w:val="K-Tabulka"/>
    <w:rsid w:val="00ED337B"/>
    <w:rPr>
      <w:rFonts w:ascii="Times New Roman" w:hAnsi="Times New Roman" w:cs="Times New Roman"/>
      <w:b/>
      <w:bCs/>
      <w:color w:val="000000"/>
      <w:sz w:val="23"/>
      <w:szCs w:val="23"/>
    </w:rPr>
  </w:style>
  <w:style w:type="character" w:customStyle="1" w:styleId="K-TextPoznChar">
    <w:name w:val="K-Text_Pozn Char"/>
    <w:basedOn w:val="TextpoznpodarouChar"/>
    <w:link w:val="K-TextPozn"/>
    <w:rsid w:val="00A87B13"/>
    <w:rPr>
      <w:rFonts w:ascii="Times New Roman" w:hAnsi="Times New Roman" w:cs="Times New Roman"/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111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1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14A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1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14A"/>
    <w:rPr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14A"/>
    <w:rPr>
      <w:rFonts w:ascii="Segoe UI" w:hAnsi="Segoe UI" w:cs="Segoe UI"/>
      <w:color w:val="000000" w:themeColor="text1"/>
      <w:sz w:val="18"/>
      <w:szCs w:val="18"/>
    </w:rPr>
  </w:style>
  <w:style w:type="table" w:styleId="Mkatabulky">
    <w:name w:val="Table Grid"/>
    <w:aliases w:val="SGS Table Basic 1,CV table"/>
    <w:basedOn w:val="Normlntabulka"/>
    <w:uiPriority w:val="39"/>
    <w:rsid w:val="00852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Body">
    <w:name w:val="00 Body"/>
    <w:basedOn w:val="Normln"/>
    <w:link w:val="00BodyChar"/>
    <w:qFormat/>
    <w:rsid w:val="00880A08"/>
    <w:pPr>
      <w:spacing w:before="180" w:after="180" w:line="264" w:lineRule="auto"/>
    </w:pPr>
    <w:rPr>
      <w:rFonts w:ascii="Arial (Body)" w:eastAsia="Times New Roman" w:hAnsi="Arial (Body)" w:cs="Times New Roman"/>
      <w:color w:val="auto"/>
      <w:szCs w:val="20"/>
      <w:lang w:val="en-US"/>
    </w:rPr>
  </w:style>
  <w:style w:type="character" w:customStyle="1" w:styleId="00BodyChar">
    <w:name w:val="00 Body Char"/>
    <w:basedOn w:val="Standardnpsmoodstavce"/>
    <w:link w:val="00Body"/>
    <w:rsid w:val="00880A08"/>
    <w:rPr>
      <w:rFonts w:ascii="Arial (Body)" w:eastAsia="Times New Roman" w:hAnsi="Arial (Body)" w:cs="Times New Roman"/>
      <w:szCs w:val="20"/>
      <w:lang w:val="en-US"/>
    </w:rPr>
  </w:style>
  <w:style w:type="paragraph" w:styleId="Titulek">
    <w:name w:val="caption"/>
    <w:basedOn w:val="Normln"/>
    <w:next w:val="Normln"/>
    <w:link w:val="TitulekChar"/>
    <w:unhideWhenUsed/>
    <w:qFormat/>
    <w:rsid w:val="00512795"/>
    <w:pPr>
      <w:spacing w:after="200" w:line="240" w:lineRule="auto"/>
    </w:pPr>
    <w:rPr>
      <w:i/>
      <w:iCs/>
      <w:color w:val="004B8D" w:themeColor="text2"/>
      <w:sz w:val="18"/>
      <w:szCs w:val="18"/>
    </w:rPr>
  </w:style>
  <w:style w:type="character" w:customStyle="1" w:styleId="TitulekChar">
    <w:name w:val="Titulek Char"/>
    <w:link w:val="Titulek"/>
    <w:rsid w:val="00512795"/>
    <w:rPr>
      <w:i/>
      <w:iCs/>
      <w:color w:val="004B8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eps.cz/cs/novinka/maf-cz-prinasi-hodnoceni-zdrojove-primerenosti-cr-do-roku-2040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Způsobilé výdaje</c:v>
                </c:pt>
              </c:strCache>
            </c:strRef>
          </c:tx>
          <c:spPr>
            <a:solidFill>
              <a:srgbClr val="FFC000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List1!$B$2:$B$5</c:f>
              <c:numCache>
                <c:formatCode>#,##0.0</c:formatCode>
                <c:ptCount val="4"/>
                <c:pt idx="0">
                  <c:v>1290.169316</c:v>
                </c:pt>
                <c:pt idx="1">
                  <c:v>544.058764</c:v>
                </c:pt>
                <c:pt idx="2">
                  <c:v>1970.9014024999999</c:v>
                </c:pt>
                <c:pt idx="3">
                  <c:v>1668.3940130000001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C2-4419-A849-A394F6ED5E45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Výše dotace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List1!$A$2:$A$5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List1!$C$2:$C$5</c:f>
              <c:numCache>
                <c:formatCode>#,##0.0</c:formatCode>
                <c:ptCount val="4"/>
                <c:pt idx="0">
                  <c:v>389.02816100000001</c:v>
                </c:pt>
                <c:pt idx="1">
                  <c:v>193.25833580000003</c:v>
                </c:pt>
                <c:pt idx="2">
                  <c:v>802.09787076999999</c:v>
                </c:pt>
                <c:pt idx="3">
                  <c:v>513.11729379999997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7C2-4419-A849-A394F6ED5E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6125712"/>
        <c:axId val="376126104"/>
      </c:barChart>
      <c:catAx>
        <c:axId val="376125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76126104"/>
        <c:crosses val="autoZero"/>
        <c:auto val="1"/>
        <c:lblAlgn val="ctr"/>
        <c:lblOffset val="100"/>
        <c:noMultiLvlLbl val="0"/>
      </c:catAx>
      <c:valAx>
        <c:axId val="376126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prstDash val="sysDash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b="0">
                    <a:solidFill>
                      <a:sysClr val="windowText" lastClr="000000"/>
                    </a:solidFill>
                  </a:rPr>
                  <a:t>mil.</a:t>
                </a:r>
                <a:r>
                  <a:rPr lang="cs-CZ" b="0" baseline="0">
                    <a:solidFill>
                      <a:sysClr val="windowText" lastClr="000000"/>
                    </a:solidFill>
                  </a:rPr>
                  <a:t> Kč</a:t>
                </a:r>
                <a:endParaRPr lang="cs-CZ" b="0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76125712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0410628019323662E-2"/>
          <c:y val="6.8452613339767057E-2"/>
          <c:w val="0.91749685990338159"/>
          <c:h val="0.72191579116677285"/>
        </c:manualLayout>
      </c:layout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Elektřina</c:v>
                </c:pt>
              </c:strCache>
            </c:strRef>
          </c:tx>
          <c:spPr>
            <a:ln w="22225" cap="rnd">
              <a:solidFill>
                <a:schemeClr val="accent5">
                  <a:lumMod val="40000"/>
                  <a:lumOff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solidFill>
                  <a:schemeClr val="accent5">
                    <a:lumMod val="40000"/>
                    <a:lumOff val="60000"/>
                  </a:schemeClr>
                </a:solidFill>
              </a:ln>
              <a:effectLst/>
            </c:spPr>
          </c:marker>
          <c:cat>
            <c:numRef>
              <c:f>List1!$A$2:$A$16</c:f>
              <c:numCache>
                <c:formatCode>0</c:formatCode>
                <c:ptCount val="1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</c:numCache>
            </c:numRef>
          </c:cat>
          <c:val>
            <c:numRef>
              <c:f>List1!$B$2:$B$16</c:f>
              <c:numCache>
                <c:formatCode>0.00%</c:formatCode>
                <c:ptCount val="15"/>
                <c:pt idx="0">
                  <c:v>3.6926114604355069E-2</c:v>
                </c:pt>
                <c:pt idx="1">
                  <c:v>3.7820348603560532E-2</c:v>
                </c:pt>
                <c:pt idx="2">
                  <c:v>4.0961024588628742E-2</c:v>
                </c:pt>
                <c:pt idx="3">
                  <c:v>4.6208857962275793E-2</c:v>
                </c:pt>
                <c:pt idx="4">
                  <c:v>5.1821972295224387E-2</c:v>
                </c:pt>
                <c:pt idx="5">
                  <c:v>6.3784216902292842E-2</c:v>
                </c:pt>
                <c:pt idx="6">
                  <c:v>7.5158187896580839E-2</c:v>
                </c:pt>
                <c:pt idx="7">
                  <c:v>0.10609865402523448</c:v>
                </c:pt>
                <c:pt idx="8">
                  <c:v>0.11666672107613246</c:v>
                </c:pt>
                <c:pt idx="9">
                  <c:v>0.12781433194144307</c:v>
                </c:pt>
                <c:pt idx="10">
                  <c:v>0.13890213562021264</c:v>
                </c:pt>
                <c:pt idx="11">
                  <c:v>0.14072138802356504</c:v>
                </c:pt>
                <c:pt idx="12">
                  <c:v>0.13614869199689417</c:v>
                </c:pt>
                <c:pt idx="13">
                  <c:v>0.13654016300446237</c:v>
                </c:pt>
                <c:pt idx="14">
                  <c:v>0.13711294247777928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A78-40CE-9CA0-81CA43920E01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Doprava</c:v>
                </c:pt>
              </c:strCache>
            </c:strRef>
          </c:tx>
          <c:spPr>
            <a:ln w="22225" cap="rnd">
              <a:solidFill>
                <a:srgbClr val="FFC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2"/>
              </a:solidFill>
              <a:ln w="9525">
                <a:solidFill>
                  <a:srgbClr val="FFC000"/>
                </a:solidFill>
              </a:ln>
              <a:effectLst/>
            </c:spPr>
          </c:marker>
          <c:cat>
            <c:numRef>
              <c:f>List1!$A$2:$A$16</c:f>
              <c:numCache>
                <c:formatCode>0</c:formatCode>
                <c:ptCount val="1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</c:numCache>
            </c:numRef>
          </c:cat>
          <c:val>
            <c:numRef>
              <c:f>List1!$C$2:$C$16</c:f>
              <c:numCache>
                <c:formatCode>0.00%</c:formatCode>
                <c:ptCount val="15"/>
                <c:pt idx="0">
                  <c:v>1.085030318222641E-2</c:v>
                </c:pt>
                <c:pt idx="1">
                  <c:v>9.9118434903058376E-3</c:v>
                </c:pt>
                <c:pt idx="2">
                  <c:v>9.6801119730708964E-3</c:v>
                </c:pt>
                <c:pt idx="3">
                  <c:v>9.484780802405033E-3</c:v>
                </c:pt>
                <c:pt idx="4">
                  <c:v>2.7488025605183392E-2</c:v>
                </c:pt>
                <c:pt idx="5">
                  <c:v>4.2188237459882393E-2</c:v>
                </c:pt>
                <c:pt idx="6">
                  <c:v>5.1235025651128009E-2</c:v>
                </c:pt>
                <c:pt idx="7">
                  <c:v>1.1809866067480383E-2</c:v>
                </c:pt>
                <c:pt idx="8">
                  <c:v>6.1479818634916944E-2</c:v>
                </c:pt>
                <c:pt idx="9">
                  <c:v>6.3444845440571135E-2</c:v>
                </c:pt>
                <c:pt idx="10">
                  <c:v>6.9013372567863773E-2</c:v>
                </c:pt>
                <c:pt idx="11">
                  <c:v>6.4525429218355745E-2</c:v>
                </c:pt>
                <c:pt idx="12">
                  <c:v>6.4277397774513897E-2</c:v>
                </c:pt>
                <c:pt idx="13">
                  <c:v>6.5693873364137637E-2</c:v>
                </c:pt>
                <c:pt idx="14">
                  <c:v>6.5235068408536448E-2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0A78-40CE-9CA0-81CA43920E01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Vytápění a chlazení</c:v>
                </c:pt>
              </c:strCache>
            </c:strRef>
          </c:tx>
          <c:spPr>
            <a:ln w="2222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2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numRef>
              <c:f>List1!$A$2:$A$16</c:f>
              <c:numCache>
                <c:formatCode>0</c:formatCode>
                <c:ptCount val="1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</c:numCache>
            </c:numRef>
          </c:cat>
          <c:val>
            <c:numRef>
              <c:f>List1!$D$2:$D$16</c:f>
              <c:numCache>
                <c:formatCode>0.00%</c:formatCode>
                <c:ptCount val="15"/>
                <c:pt idx="0">
                  <c:v>9.9201961913517392E-2</c:v>
                </c:pt>
                <c:pt idx="1">
                  <c:v>0.10840099334867768</c:v>
                </c:pt>
                <c:pt idx="2">
                  <c:v>0.11237092847000014</c:v>
                </c:pt>
                <c:pt idx="3">
                  <c:v>0.1236916977593821</c:v>
                </c:pt>
                <c:pt idx="4">
                  <c:v>0.12920512959881655</c:v>
                </c:pt>
                <c:pt idx="5">
                  <c:v>0.14262475246742723</c:v>
                </c:pt>
                <c:pt idx="6">
                  <c:v>0.14096901334081738</c:v>
                </c:pt>
                <c:pt idx="7">
                  <c:v>0.15387436926457618</c:v>
                </c:pt>
                <c:pt idx="8">
                  <c:v>0.16251621033771246</c:v>
                </c:pt>
                <c:pt idx="9">
                  <c:v>0.17711854639256597</c:v>
                </c:pt>
                <c:pt idx="10">
                  <c:v>0.19534531320489615</c:v>
                </c:pt>
                <c:pt idx="11">
                  <c:v>0.19792030727508966</c:v>
                </c:pt>
                <c:pt idx="12">
                  <c:v>0.19885603836012564</c:v>
                </c:pt>
                <c:pt idx="13">
                  <c:v>0.19728429353752638</c:v>
                </c:pt>
                <c:pt idx="14">
                  <c:v>0.20649000395055345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0A78-40CE-9CA0-81CA43920E01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Celkem</c:v>
                </c:pt>
              </c:strCache>
            </c:strRef>
          </c:tx>
          <c:spPr>
            <a:ln w="22225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2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numRef>
              <c:f>List1!$A$2:$A$16</c:f>
              <c:numCache>
                <c:formatCode>0</c:formatCode>
                <c:ptCount val="15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</c:numCache>
            </c:numRef>
          </c:cat>
          <c:val>
            <c:numRef>
              <c:f>List1!$E$2:$E$16</c:f>
              <c:numCache>
                <c:formatCode>0.00%</c:formatCode>
                <c:ptCount val="15"/>
                <c:pt idx="0">
                  <c:v>6.7663550129728273E-2</c:v>
                </c:pt>
                <c:pt idx="1">
                  <c:v>7.1143075388163071E-2</c:v>
                </c:pt>
                <c:pt idx="2">
                  <c:v>7.3582365834004015E-2</c:v>
                </c:pt>
                <c:pt idx="3">
                  <c:v>7.8861251936114499E-2</c:v>
                </c:pt>
                <c:pt idx="4">
                  <c:v>8.6744722385266024E-2</c:v>
                </c:pt>
                <c:pt idx="5">
                  <c:v>9.9783595910523132E-2</c:v>
                </c:pt>
                <c:pt idx="6">
                  <c:v>0.1051376040937151</c:v>
                </c:pt>
                <c:pt idx="7">
                  <c:v>0.10944778435425527</c:v>
                </c:pt>
                <c:pt idx="8">
                  <c:v>0.12815701890392586</c:v>
                </c:pt>
                <c:pt idx="9">
                  <c:v>0.13931016726723897</c:v>
                </c:pt>
                <c:pt idx="10">
                  <c:v>0.15078357406525275</c:v>
                </c:pt>
                <c:pt idx="11">
                  <c:v>0.15073329922480674</c:v>
                </c:pt>
                <c:pt idx="12">
                  <c:v>0.14930338791299086</c:v>
                </c:pt>
                <c:pt idx="13">
                  <c:v>0.14802729054056712</c:v>
                </c:pt>
                <c:pt idx="14">
                  <c:v>0.15149605973279845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0A78-40CE-9CA0-81CA43920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7571632"/>
        <c:axId val="247569280"/>
      </c:lineChart>
      <c:catAx>
        <c:axId val="247571632"/>
        <c:scaling>
          <c:orientation val="minMax"/>
        </c:scaling>
        <c:delete val="0"/>
        <c:axPos val="b"/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bg1">
                <a:lumMod val="65000"/>
              </a:schemeClr>
            </a:solidFill>
            <a:round/>
          </a:ln>
          <a:effectLst/>
        </c:spPr>
        <c:txPr>
          <a:bodyPr rot="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47569280"/>
        <c:crosses val="autoZero"/>
        <c:auto val="1"/>
        <c:lblAlgn val="ctr"/>
        <c:lblOffset val="100"/>
        <c:noMultiLvlLbl val="0"/>
      </c:catAx>
      <c:valAx>
        <c:axId val="247569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ysDash"/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solidFill>
              <a:schemeClr val="bg1">
                <a:lumMod val="6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4757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430355237552147"/>
          <c:y val="0.9262246397473296"/>
          <c:w val="0.69854970400955541"/>
          <c:h val="4.90711538461538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cs-CZ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MPO-B">
    <a:dk1>
      <a:sysClr val="windowText" lastClr="000000"/>
    </a:dk1>
    <a:lt1>
      <a:srgbClr val="FFFFFF"/>
    </a:lt1>
    <a:dk2>
      <a:srgbClr val="004B8D"/>
    </a:dk2>
    <a:lt2>
      <a:srgbClr val="FFFFFF"/>
    </a:lt2>
    <a:accent1>
      <a:srgbClr val="B9E0F7"/>
    </a:accent1>
    <a:accent2>
      <a:srgbClr val="13B5F4"/>
    </a:accent2>
    <a:accent3>
      <a:srgbClr val="0096D6"/>
    </a:accent3>
    <a:accent4>
      <a:srgbClr val="004B8D"/>
    </a:accent4>
    <a:accent5>
      <a:srgbClr val="E31B23"/>
    </a:accent5>
    <a:accent6>
      <a:srgbClr val="B5121B"/>
    </a:accent6>
    <a:hlink>
      <a:srgbClr val="13B5F4"/>
    </a:hlink>
    <a:folHlink>
      <a:srgbClr val="E31B23"/>
    </a:folHlink>
  </a:clrScheme>
  <a:fontScheme name="Kancelář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0668E3FACC0A4D909754AED2896FA5" ma:contentTypeVersion="4" ma:contentTypeDescription="Vytvoří nový dokument" ma:contentTypeScope="" ma:versionID="fcbcc0d7da2afc7dfd1f8eb0d8167e9f">
  <xsd:schema xmlns:xsd="http://www.w3.org/2001/XMLSchema" xmlns:xs="http://www.w3.org/2001/XMLSchema" xmlns:p="http://schemas.microsoft.com/office/2006/metadata/properties" xmlns:ns2="c901dcab-5c60-4e8e-adc9-0c7b361f0e15" targetNamespace="http://schemas.microsoft.com/office/2006/metadata/properties" ma:root="true" ma:fieldsID="389c65f3a199d6c2ceef1705ce39bdd1" ns2:_="">
    <xsd:import namespace="c901dcab-5c60-4e8e-adc9-0c7b361f0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1dcab-5c60-4e8e-adc9-0c7b361f0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8C370-B4C4-4077-A8D7-1D49DA33B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1dcab-5c60-4e8e-adc9-0c7b361f0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DF5E84-47A9-4C74-9832-7DADC55C9F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B1758E-458E-400C-A4E9-7E535E591BF2}">
  <ds:schemaRefs>
    <ds:schemaRef ds:uri="http://purl.org/dc/elements/1.1/"/>
    <ds:schemaRef ds:uri="http://schemas.microsoft.com/office/2006/metadata/properties"/>
    <ds:schemaRef ds:uri="http://purl.org/dc/terms/"/>
    <ds:schemaRef ds:uri="295e6b08-c03f-4e1d-b56f-d1230bb11cb2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B664EA7-CFFD-44C6-8830-BB5F1535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62C5850F.dotm</Template>
  <TotalTime>3</TotalTime>
  <Pages>11</Pages>
  <Words>3933</Words>
  <Characters>23210</Characters>
  <Application>Microsoft Office Word</Application>
  <DocSecurity>0</DocSecurity>
  <Lines>193</Lines>
  <Paragraphs>54</Paragraphs>
  <ScaleCrop>false</ScaleCrop>
  <Company>Ministerstvo průmyslu a obchodu</Company>
  <LinksUpToDate>false</LinksUpToDate>
  <CharactersWithSpaces>27089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Pápai Adam</dc:creator>
  <cp:keywords/>
  <dc:description/>
  <cp:lastModifiedBy>Hronza Martin</cp:lastModifiedBy>
  <cp:revision>28</cp:revision>
  <dcterms:created xsi:type="dcterms:W3CDTF">2020-12-01T08:36:00Z</dcterms:created>
  <dcterms:modified xsi:type="dcterms:W3CDTF">2021-01-28T12:20:00Z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0x0101008E0668E3FACC0A4D909754AED2896FA5</vt:lpwstr>
  </property>
</Properties>
</file>