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7EC5" w14:textId="39155555" w:rsidR="002C20CF" w:rsidRPr="00ED337B" w:rsidRDefault="00012967" w:rsidP="00154B73">
      <w:pPr>
        <w:pStyle w:val="K-Nadpis1"/>
      </w:pPr>
      <w:r>
        <w:t>4.3</w:t>
      </w:r>
      <w:r w:rsidR="00154B73">
        <w:t xml:space="preserve"> </w:t>
      </w:r>
      <w:r w:rsidR="00477FB6">
        <w:t xml:space="preserve">Digitální </w:t>
      </w:r>
      <w:proofErr w:type="gramStart"/>
      <w:r w:rsidR="00477FB6">
        <w:t xml:space="preserve">přístup  </w:t>
      </w:r>
      <w:r w:rsidR="63019576">
        <w:t>k</w:t>
      </w:r>
      <w:proofErr w:type="gramEnd"/>
      <w:r w:rsidR="63019576">
        <w:t xml:space="preserve"> </w:t>
      </w:r>
      <w:r w:rsidR="00477FB6">
        <w:t>archiváliím</w:t>
      </w:r>
      <w:r w:rsidR="00751051">
        <w:t xml:space="preserve"> </w:t>
      </w:r>
      <w:r w:rsidR="007B01EA">
        <w:t>(MV)</w:t>
      </w:r>
    </w:p>
    <w:p w14:paraId="00F5B6F2" w14:textId="570D07A4" w:rsidR="002C20CF" w:rsidRPr="00ED337B" w:rsidRDefault="002C20CF" w:rsidP="002C4FCC">
      <w:pPr>
        <w:pStyle w:val="Nadpis2"/>
        <w:rPr>
          <w:rFonts w:ascii="Times New Roman" w:hAnsi="Times New Roman" w:cs="Times New Roman"/>
          <w:sz w:val="28"/>
          <w:szCs w:val="28"/>
        </w:rPr>
      </w:pPr>
      <w:r w:rsidRPr="00ED337B">
        <w:rPr>
          <w:rStyle w:val="K-Nadpis2Char"/>
          <w:b/>
        </w:rPr>
        <w:t xml:space="preserve">1. </w:t>
      </w:r>
      <w:r w:rsidR="00EF374D" w:rsidRPr="00ED337B">
        <w:rPr>
          <w:rStyle w:val="K-Nadpis2Char"/>
          <w:b/>
        </w:rPr>
        <w:t>Popis</w:t>
      </w:r>
      <w:r w:rsidRPr="00ED337B">
        <w:rPr>
          <w:rStyle w:val="K-Nadpis2Char"/>
          <w:b/>
        </w:rPr>
        <w:t xml:space="preserve"> </w:t>
      </w:r>
      <w:r w:rsidR="00EF374D" w:rsidRPr="00ED337B">
        <w:rPr>
          <w:rStyle w:val="K-Nadpis2Char"/>
          <w:b/>
        </w:rPr>
        <w:t>komponenty</w:t>
      </w:r>
    </w:p>
    <w:p w14:paraId="0D6DBCF2" w14:textId="3C32DFC6" w:rsidR="00751051"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abulkaChar"/>
        </w:rPr>
      </w:pPr>
      <w:r w:rsidRPr="0D86B27A">
        <w:rPr>
          <w:rStyle w:val="K-TabulkaChar"/>
        </w:rPr>
        <w:t xml:space="preserve">Souhrnný box </w:t>
      </w:r>
      <w:r w:rsidR="0091766D" w:rsidRPr="0D86B27A">
        <w:rPr>
          <w:rStyle w:val="K-TabulkaChar"/>
        </w:rPr>
        <w:t xml:space="preserve">pro </w:t>
      </w:r>
      <w:r w:rsidR="00154B73" w:rsidRPr="0D86B27A">
        <w:rPr>
          <w:rStyle w:val="K-TabulkaChar"/>
        </w:rPr>
        <w:t xml:space="preserve">komponentu </w:t>
      </w:r>
      <w:r w:rsidR="00012967" w:rsidRPr="0D86B27A">
        <w:rPr>
          <w:rStyle w:val="K-TabulkaChar"/>
        </w:rPr>
        <w:t xml:space="preserve">4.3 </w:t>
      </w:r>
      <w:r w:rsidR="00751051" w:rsidRPr="0D86B27A">
        <w:rPr>
          <w:rStyle w:val="K-TabulkaChar"/>
        </w:rPr>
        <w:t xml:space="preserve">Digitální </w:t>
      </w:r>
      <w:proofErr w:type="gramStart"/>
      <w:r w:rsidR="00751051" w:rsidRPr="0D86B27A">
        <w:rPr>
          <w:rStyle w:val="K-TabulkaChar"/>
        </w:rPr>
        <w:t>přístup  k</w:t>
      </w:r>
      <w:proofErr w:type="gramEnd"/>
      <w:r w:rsidR="00751051" w:rsidRPr="0D86B27A">
        <w:rPr>
          <w:rStyle w:val="K-TabulkaChar"/>
        </w:rPr>
        <w:t xml:space="preserve"> archiváliím</w:t>
      </w:r>
    </w:p>
    <w:p w14:paraId="4AD0A2FD" w14:textId="775B5690" w:rsidR="00EF374D" w:rsidRPr="002E19BA"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b/>
        </w:rPr>
        <w:t>Oblast politiky/obor zájmu:</w:t>
      </w:r>
      <w:r w:rsidR="0015052B">
        <w:rPr>
          <w:rStyle w:val="K-TextChar"/>
          <w:b/>
        </w:rPr>
        <w:t xml:space="preserve"> </w:t>
      </w:r>
      <w:r w:rsidR="00EE5549">
        <w:rPr>
          <w:rStyle w:val="K-TextChar"/>
          <w:bCs/>
        </w:rPr>
        <w:t>Veřejná</w:t>
      </w:r>
      <w:r w:rsidR="00012967" w:rsidRPr="001A3EE2">
        <w:rPr>
          <w:rStyle w:val="K-TextChar"/>
          <w:bCs/>
        </w:rPr>
        <w:t xml:space="preserve"> správa</w:t>
      </w:r>
      <w:r w:rsidR="00EE5549">
        <w:rPr>
          <w:rStyle w:val="K-TextChar"/>
          <w:bCs/>
        </w:rPr>
        <w:t xml:space="preserve"> na úseku archivnictví</w:t>
      </w:r>
      <w:r w:rsidR="00012967" w:rsidRPr="001A3EE2">
        <w:rPr>
          <w:rStyle w:val="K-TextChar"/>
          <w:bCs/>
        </w:rPr>
        <w:t xml:space="preserve">, </w:t>
      </w:r>
      <w:r w:rsidR="00AE47B2" w:rsidRPr="001A3EE2">
        <w:rPr>
          <w:rStyle w:val="K-TextChar"/>
          <w:bCs/>
        </w:rPr>
        <w:t>digitaliza</w:t>
      </w:r>
      <w:r w:rsidR="00C21D9C">
        <w:rPr>
          <w:rStyle w:val="K-TextChar"/>
          <w:bCs/>
        </w:rPr>
        <w:t>ce</w:t>
      </w:r>
    </w:p>
    <w:p w14:paraId="3AD27182" w14:textId="3A231A7A" w:rsidR="001A3EE2" w:rsidRPr="005C0523"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InfoChar"/>
          <w:bCs/>
          <w:i w:val="0"/>
          <w:iCs w:val="0"/>
          <w:color w:val="auto"/>
        </w:rPr>
      </w:pPr>
      <w:r w:rsidRPr="00095EBD">
        <w:rPr>
          <w:rStyle w:val="K-TextChar"/>
          <w:b/>
        </w:rPr>
        <w:t>Cíl:</w:t>
      </w:r>
      <w:r w:rsidR="00095EBD" w:rsidRPr="000003BB">
        <w:rPr>
          <w:rStyle w:val="K-TextChar"/>
          <w:bCs/>
        </w:rPr>
        <w:t xml:space="preserve"> </w:t>
      </w:r>
      <w:bookmarkStart w:id="0" w:name="_Hlk58337765"/>
      <w:r w:rsidR="000003BB" w:rsidRPr="000003BB">
        <w:rPr>
          <w:rStyle w:val="K-TextChar"/>
          <w:bCs/>
        </w:rPr>
        <w:t xml:space="preserve">Cílem komponenty je </w:t>
      </w:r>
      <w:r w:rsidR="00BE17C8" w:rsidRPr="000003BB">
        <w:rPr>
          <w:rStyle w:val="K-TextChar"/>
          <w:bCs/>
        </w:rPr>
        <w:t>parciální naplnění reformy</w:t>
      </w:r>
      <w:r w:rsidR="000003BB">
        <w:rPr>
          <w:rStyle w:val="K-TextChar"/>
          <w:bCs/>
        </w:rPr>
        <w:t xml:space="preserve"> v oblasti</w:t>
      </w:r>
      <w:r w:rsidR="00BE17C8" w:rsidRPr="000003BB">
        <w:rPr>
          <w:rStyle w:val="K-TextChar"/>
          <w:bCs/>
        </w:rPr>
        <w:t xml:space="preserve"> digitalizace archivnictví</w:t>
      </w:r>
      <w:r w:rsidR="00AE3458">
        <w:rPr>
          <w:rStyle w:val="K-TextChar"/>
          <w:bCs/>
        </w:rPr>
        <w:t xml:space="preserve">, která si klade za </w:t>
      </w:r>
      <w:bookmarkStart w:id="1" w:name="_Hlk59180894"/>
      <w:r w:rsidR="00AE3458">
        <w:rPr>
          <w:rStyle w:val="K-TextChar"/>
          <w:bCs/>
        </w:rPr>
        <w:t>cíl</w:t>
      </w:r>
      <w:r w:rsidR="00AE3458">
        <w:rPr>
          <w:rStyle w:val="K-TextChar"/>
          <w:b/>
        </w:rPr>
        <w:t xml:space="preserve"> </w:t>
      </w:r>
      <w:r w:rsidR="00BF5AB4">
        <w:rPr>
          <w:bCs/>
          <w:iCs/>
          <w:sz w:val="23"/>
          <w:szCs w:val="23"/>
        </w:rPr>
        <w:t xml:space="preserve">zajistit </w:t>
      </w:r>
      <w:r w:rsidR="00477FB6">
        <w:rPr>
          <w:bCs/>
          <w:iCs/>
          <w:sz w:val="23"/>
          <w:szCs w:val="23"/>
        </w:rPr>
        <w:t xml:space="preserve">optimální podmínky přístupu </w:t>
      </w:r>
      <w:r w:rsidR="002649E3">
        <w:rPr>
          <w:bCs/>
          <w:iCs/>
          <w:sz w:val="23"/>
          <w:szCs w:val="23"/>
        </w:rPr>
        <w:t xml:space="preserve">širší </w:t>
      </w:r>
      <w:r w:rsidR="00477FB6">
        <w:rPr>
          <w:bCs/>
          <w:iCs/>
          <w:sz w:val="23"/>
          <w:szCs w:val="23"/>
        </w:rPr>
        <w:t>veřejnosti</w:t>
      </w:r>
      <w:r w:rsidR="0064174C">
        <w:rPr>
          <w:bCs/>
          <w:iCs/>
          <w:sz w:val="23"/>
          <w:szCs w:val="23"/>
        </w:rPr>
        <w:t xml:space="preserve"> i orgánů státní správy a samosprávy </w:t>
      </w:r>
      <w:r w:rsidR="00477FB6">
        <w:rPr>
          <w:bCs/>
          <w:iCs/>
          <w:sz w:val="23"/>
          <w:szCs w:val="23"/>
        </w:rPr>
        <w:t xml:space="preserve">k uloženým archiváliím v digitální podobě a </w:t>
      </w:r>
      <w:r w:rsidR="00BF5AB4">
        <w:rPr>
          <w:bCs/>
          <w:iCs/>
          <w:sz w:val="23"/>
          <w:szCs w:val="23"/>
        </w:rPr>
        <w:t>zajistit</w:t>
      </w:r>
      <w:r w:rsidR="005C0523" w:rsidRPr="005C0523">
        <w:rPr>
          <w:bCs/>
          <w:iCs/>
          <w:sz w:val="23"/>
          <w:szCs w:val="23"/>
        </w:rPr>
        <w:t xml:space="preserve"> </w:t>
      </w:r>
      <w:r w:rsidR="00BF5AB4">
        <w:rPr>
          <w:bCs/>
          <w:iCs/>
          <w:sz w:val="23"/>
          <w:szCs w:val="23"/>
        </w:rPr>
        <w:t>řádnou</w:t>
      </w:r>
      <w:r w:rsidR="00477FB6">
        <w:rPr>
          <w:bCs/>
          <w:iCs/>
          <w:sz w:val="23"/>
          <w:szCs w:val="23"/>
        </w:rPr>
        <w:t xml:space="preserve"> </w:t>
      </w:r>
      <w:r w:rsidR="005C0523" w:rsidRPr="005C0523">
        <w:rPr>
          <w:bCs/>
          <w:iCs/>
          <w:sz w:val="23"/>
          <w:szCs w:val="23"/>
        </w:rPr>
        <w:t>péč</w:t>
      </w:r>
      <w:r w:rsidR="00BF5AB4">
        <w:rPr>
          <w:bCs/>
          <w:iCs/>
          <w:sz w:val="23"/>
          <w:szCs w:val="23"/>
        </w:rPr>
        <w:t>i</w:t>
      </w:r>
      <w:r w:rsidR="005C0523" w:rsidRPr="005C0523">
        <w:rPr>
          <w:bCs/>
          <w:iCs/>
          <w:sz w:val="23"/>
          <w:szCs w:val="23"/>
        </w:rPr>
        <w:t xml:space="preserve"> státu o archiválie v digitální podobě</w:t>
      </w:r>
      <w:r w:rsidR="00477FB6">
        <w:rPr>
          <w:bCs/>
          <w:iCs/>
          <w:sz w:val="23"/>
          <w:szCs w:val="23"/>
        </w:rPr>
        <w:t xml:space="preserve">. </w:t>
      </w:r>
      <w:r w:rsidR="0041213E">
        <w:rPr>
          <w:bCs/>
          <w:iCs/>
          <w:sz w:val="23"/>
          <w:szCs w:val="23"/>
        </w:rPr>
        <w:t xml:space="preserve">Za účelem dosažení </w:t>
      </w:r>
      <w:r w:rsidR="00477FB6">
        <w:rPr>
          <w:bCs/>
          <w:iCs/>
          <w:sz w:val="23"/>
          <w:szCs w:val="23"/>
        </w:rPr>
        <w:t xml:space="preserve">cíle </w:t>
      </w:r>
      <w:r w:rsidR="0041213E">
        <w:rPr>
          <w:bCs/>
          <w:iCs/>
          <w:sz w:val="23"/>
          <w:szCs w:val="23"/>
        </w:rPr>
        <w:t xml:space="preserve">bude zvýšena úložná kapacita </w:t>
      </w:r>
      <w:r w:rsidR="00C54FC7">
        <w:rPr>
          <w:bCs/>
          <w:iCs/>
          <w:sz w:val="23"/>
          <w:szCs w:val="23"/>
        </w:rPr>
        <w:t xml:space="preserve">digitálních archiválií </w:t>
      </w:r>
      <w:r w:rsidR="0041213E">
        <w:rPr>
          <w:bCs/>
          <w:iCs/>
          <w:sz w:val="23"/>
          <w:szCs w:val="23"/>
        </w:rPr>
        <w:t>v</w:t>
      </w:r>
      <w:r w:rsidR="00D578C5">
        <w:rPr>
          <w:bCs/>
          <w:iCs/>
          <w:sz w:val="23"/>
          <w:szCs w:val="23"/>
        </w:rPr>
        <w:t> </w:t>
      </w:r>
      <w:r w:rsidR="0041213E">
        <w:rPr>
          <w:bCs/>
          <w:iCs/>
          <w:sz w:val="23"/>
          <w:szCs w:val="23"/>
        </w:rPr>
        <w:t>řádech</w:t>
      </w:r>
      <w:r w:rsidR="00D578C5">
        <w:rPr>
          <w:bCs/>
          <w:iCs/>
          <w:sz w:val="23"/>
          <w:szCs w:val="23"/>
        </w:rPr>
        <w:t xml:space="preserve"> </w:t>
      </w:r>
      <w:proofErr w:type="spellStart"/>
      <w:r w:rsidR="0041213E">
        <w:rPr>
          <w:bCs/>
          <w:iCs/>
          <w:sz w:val="23"/>
          <w:szCs w:val="23"/>
        </w:rPr>
        <w:t>petabajtů</w:t>
      </w:r>
      <w:proofErr w:type="spellEnd"/>
      <w:r w:rsidR="0041213E">
        <w:rPr>
          <w:bCs/>
          <w:iCs/>
          <w:sz w:val="23"/>
          <w:szCs w:val="23"/>
        </w:rPr>
        <w:t xml:space="preserve"> a budou zajištěny optimální technologické a bezpečnostní podmínky</w:t>
      </w:r>
      <w:r w:rsidR="00AF3391">
        <w:rPr>
          <w:bCs/>
          <w:iCs/>
          <w:sz w:val="23"/>
          <w:szCs w:val="23"/>
        </w:rPr>
        <w:t>, a to vždy s respektem ke klimatickým cílům</w:t>
      </w:r>
      <w:r w:rsidR="00C279E4">
        <w:rPr>
          <w:bCs/>
          <w:iCs/>
          <w:sz w:val="23"/>
          <w:szCs w:val="23"/>
        </w:rPr>
        <w:t>.</w:t>
      </w:r>
      <w:r w:rsidR="003979F8">
        <w:rPr>
          <w:bCs/>
          <w:iCs/>
          <w:sz w:val="23"/>
          <w:szCs w:val="23"/>
        </w:rPr>
        <w:t xml:space="preserve"> </w:t>
      </w:r>
      <w:r w:rsidR="008249A5" w:rsidRPr="008249A5">
        <w:rPr>
          <w:bCs/>
          <w:iCs/>
          <w:sz w:val="23"/>
          <w:szCs w:val="23"/>
        </w:rPr>
        <w:t xml:space="preserve">Součástí řešení je vybudování </w:t>
      </w:r>
      <w:r w:rsidR="00571154">
        <w:rPr>
          <w:bCs/>
          <w:iCs/>
          <w:sz w:val="23"/>
          <w:szCs w:val="23"/>
        </w:rPr>
        <w:t xml:space="preserve">nového depotního bloku Národního archivu, kde bude vybudována kapacita pro analogové dokumenty, ale také </w:t>
      </w:r>
      <w:r w:rsidR="008249A5" w:rsidRPr="008249A5">
        <w:rPr>
          <w:bCs/>
          <w:iCs/>
          <w:sz w:val="23"/>
          <w:szCs w:val="23"/>
        </w:rPr>
        <w:t>digitalizační pracoviště pro převod tradičních archiválií do digitální podoby</w:t>
      </w:r>
      <w:r w:rsidR="008249A5">
        <w:rPr>
          <w:bCs/>
          <w:iCs/>
          <w:sz w:val="23"/>
          <w:szCs w:val="23"/>
        </w:rPr>
        <w:t xml:space="preserve">. </w:t>
      </w:r>
    </w:p>
    <w:bookmarkEnd w:id="0"/>
    <w:bookmarkEnd w:id="1"/>
    <w:p w14:paraId="2B3D262C" w14:textId="1F1974D5" w:rsidR="00EF374D" w:rsidRPr="00095EB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095EBD">
        <w:rPr>
          <w:rStyle w:val="K-TextChar"/>
          <w:b/>
        </w:rPr>
        <w:t>Reformy a/nebo investice:</w:t>
      </w:r>
      <w:r w:rsidR="00095EBD" w:rsidRPr="00095EBD">
        <w:rPr>
          <w:rStyle w:val="K-TextChar"/>
          <w:b/>
        </w:rPr>
        <w:t xml:space="preserve"> </w:t>
      </w:r>
    </w:p>
    <w:p w14:paraId="04B30DC4" w14:textId="52A23655" w:rsidR="00603DA9" w:rsidRDefault="001A3EE2" w:rsidP="001A3EE2">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1A3EE2">
        <w:rPr>
          <w:rStyle w:val="K-TextChar"/>
          <w:iCs w:val="0"/>
        </w:rPr>
        <w:t>1.</w:t>
      </w:r>
      <w:r>
        <w:rPr>
          <w:rStyle w:val="K-TextChar"/>
        </w:rPr>
        <w:t xml:space="preserve"> </w:t>
      </w:r>
      <w:r w:rsidR="000317AE">
        <w:rPr>
          <w:rStyle w:val="K-TextChar"/>
        </w:rPr>
        <w:t xml:space="preserve"> </w:t>
      </w:r>
      <w:r w:rsidR="00C0462D">
        <w:rPr>
          <w:rStyle w:val="K-TextChar"/>
        </w:rPr>
        <w:t xml:space="preserve">Zlepšení podmínek digitálního přístupu </w:t>
      </w:r>
      <w:r w:rsidR="002649E3">
        <w:rPr>
          <w:rStyle w:val="K-TextChar"/>
        </w:rPr>
        <w:t>širší</w:t>
      </w:r>
      <w:r w:rsidR="00C0462D">
        <w:rPr>
          <w:rStyle w:val="K-TextChar"/>
        </w:rPr>
        <w:t xml:space="preserve"> veřejnosti k uloženým archiváliím</w:t>
      </w:r>
    </w:p>
    <w:p w14:paraId="21C07C85" w14:textId="1495DB81" w:rsidR="00CA39F7" w:rsidRPr="00095EBD" w:rsidRDefault="0099184D" w:rsidP="001A3EE2">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Reforma představuje</w:t>
      </w:r>
      <w:r w:rsidR="007B01EA">
        <w:rPr>
          <w:rStyle w:val="K-TextChar"/>
        </w:rPr>
        <w:t xml:space="preserve"> zlepšení podmínek dálkového přístupu </w:t>
      </w:r>
      <w:r w:rsidR="002649E3">
        <w:rPr>
          <w:rStyle w:val="K-TextChar"/>
        </w:rPr>
        <w:t>širší</w:t>
      </w:r>
      <w:r w:rsidR="007B01EA">
        <w:rPr>
          <w:rStyle w:val="K-TextChar"/>
        </w:rPr>
        <w:t xml:space="preserve"> veřejnosti</w:t>
      </w:r>
      <w:r w:rsidR="00751051">
        <w:rPr>
          <w:rStyle w:val="K-TextChar"/>
        </w:rPr>
        <w:t xml:space="preserve"> k digitálním archiváliím</w:t>
      </w:r>
      <w:r w:rsidR="007B01EA">
        <w:rPr>
          <w:rStyle w:val="K-TextChar"/>
        </w:rPr>
        <w:t xml:space="preserve"> prostřednictvím</w:t>
      </w:r>
      <w:r>
        <w:rPr>
          <w:rStyle w:val="K-TextChar"/>
        </w:rPr>
        <w:t xml:space="preserve"> vybudování digitální infrastruktury v podobě hlavního úložiště informačního systému Národního digitálního archivu</w:t>
      </w:r>
      <w:r w:rsidR="009D36E5">
        <w:rPr>
          <w:rStyle w:val="K-TextChar"/>
        </w:rPr>
        <w:t xml:space="preserve"> (dále jen IS NDA)</w:t>
      </w:r>
      <w:r>
        <w:rPr>
          <w:rStyle w:val="K-TextChar"/>
        </w:rPr>
        <w:t>, který Národní archiv provozuje pro celou síť státních archivů.</w:t>
      </w:r>
      <w:r w:rsidR="009D36E5">
        <w:rPr>
          <w:rStyle w:val="K-TextChar"/>
        </w:rPr>
        <w:t xml:space="preserve"> </w:t>
      </w:r>
      <w:r w:rsidR="008249A5" w:rsidRPr="008249A5">
        <w:rPr>
          <w:bCs/>
          <w:iCs/>
          <w:sz w:val="23"/>
          <w:szCs w:val="23"/>
        </w:rPr>
        <w:t>Součástí řešení je vybudování digitalizačního pracoviště pro převod tradičních archiválií do digitální podoby</w:t>
      </w:r>
      <w:r w:rsidR="008249A5">
        <w:rPr>
          <w:bCs/>
          <w:iCs/>
          <w:sz w:val="23"/>
          <w:szCs w:val="23"/>
        </w:rPr>
        <w:t xml:space="preserve">. </w:t>
      </w:r>
      <w:r w:rsidR="00993CCB">
        <w:rPr>
          <w:bCs/>
          <w:iCs/>
          <w:sz w:val="23"/>
          <w:szCs w:val="23"/>
        </w:rPr>
        <w:t>Digitalizační pracoviště i hlavní úložiště IS NDA bude umístěno v nově vybudovaném</w:t>
      </w:r>
      <w:r w:rsidR="00DA5880" w:rsidRPr="00DA5880">
        <w:rPr>
          <w:bCs/>
          <w:iCs/>
          <w:sz w:val="23"/>
          <w:szCs w:val="23"/>
        </w:rPr>
        <w:t xml:space="preserve"> 4. depotním bloku archivního areálu na Chodovci</w:t>
      </w:r>
      <w:r w:rsidR="004A7B75">
        <w:rPr>
          <w:bCs/>
          <w:iCs/>
          <w:sz w:val="23"/>
          <w:szCs w:val="23"/>
        </w:rPr>
        <w:t xml:space="preserve">, jehož vybudování je nezbytnou součástí uvedeného řešení digitalizace archivnictví. </w:t>
      </w:r>
      <w:r w:rsidR="009D36E5">
        <w:rPr>
          <w:rStyle w:val="K-TextChar"/>
        </w:rPr>
        <w:t xml:space="preserve">Vybudováním </w:t>
      </w:r>
      <w:r w:rsidR="008249A5">
        <w:rPr>
          <w:rStyle w:val="K-TextChar"/>
        </w:rPr>
        <w:t>výše uvedeného</w:t>
      </w:r>
      <w:r w:rsidR="000D7B36">
        <w:rPr>
          <w:rStyle w:val="K-TextChar"/>
        </w:rPr>
        <w:t xml:space="preserve"> </w:t>
      </w:r>
      <w:r w:rsidR="009D36E5">
        <w:rPr>
          <w:rStyle w:val="K-TextChar"/>
        </w:rPr>
        <w:t>doj</w:t>
      </w:r>
      <w:r w:rsidR="000D7B36">
        <w:rPr>
          <w:rStyle w:val="K-TextChar"/>
        </w:rPr>
        <w:t>d</w:t>
      </w:r>
      <w:r w:rsidR="009D36E5">
        <w:rPr>
          <w:rStyle w:val="K-TextChar"/>
        </w:rPr>
        <w:t xml:space="preserve">e k navýšení úložné kapacity pro archiválie v digitální podobě na 10 </w:t>
      </w:r>
      <w:proofErr w:type="spellStart"/>
      <w:r w:rsidR="009D36E5">
        <w:rPr>
          <w:rStyle w:val="K-TextChar"/>
        </w:rPr>
        <w:t>petabajtů</w:t>
      </w:r>
      <w:proofErr w:type="spellEnd"/>
      <w:r w:rsidR="009D36E5">
        <w:rPr>
          <w:rStyle w:val="K-TextChar"/>
        </w:rPr>
        <w:t xml:space="preserve">, čímž </w:t>
      </w:r>
      <w:r w:rsidR="008249A5">
        <w:rPr>
          <w:rStyle w:val="K-TextChar"/>
        </w:rPr>
        <w:t>bude navýšen počet</w:t>
      </w:r>
      <w:r w:rsidR="00C54FC7">
        <w:rPr>
          <w:rStyle w:val="K-TextChar"/>
        </w:rPr>
        <w:t xml:space="preserve"> archiválií v digitální podobě přístupných dálkovým přístupem nejen </w:t>
      </w:r>
      <w:r w:rsidR="002649E3">
        <w:rPr>
          <w:rStyle w:val="K-TextChar"/>
        </w:rPr>
        <w:t>širší</w:t>
      </w:r>
      <w:r w:rsidR="00C54FC7">
        <w:rPr>
          <w:rStyle w:val="K-TextChar"/>
        </w:rPr>
        <w:t xml:space="preserve"> veřejnosti, ale také orgánům státní správy i samosprávy.</w:t>
      </w:r>
      <w:r w:rsidR="008D5B0D">
        <w:rPr>
          <w:rStyle w:val="K-TextChar"/>
        </w:rPr>
        <w:t xml:space="preserve"> Zpřístupnění většího množství archiválií v digitální podob</w:t>
      </w:r>
      <w:r w:rsidR="008249A5">
        <w:rPr>
          <w:rStyle w:val="K-TextChar"/>
        </w:rPr>
        <w:t>ě</w:t>
      </w:r>
      <w:r w:rsidR="008D5B0D">
        <w:rPr>
          <w:rStyle w:val="K-TextChar"/>
        </w:rPr>
        <w:t xml:space="preserve"> </w:t>
      </w:r>
      <w:r w:rsidR="008249A5">
        <w:rPr>
          <w:rStyle w:val="K-TextChar"/>
        </w:rPr>
        <w:t>předejde</w:t>
      </w:r>
      <w:r w:rsidR="008D5B0D">
        <w:rPr>
          <w:rStyle w:val="K-TextChar"/>
        </w:rPr>
        <w:t xml:space="preserve"> v budoucnu komplikacím spojený</w:t>
      </w:r>
      <w:r w:rsidR="001E713E">
        <w:rPr>
          <w:rStyle w:val="K-TextChar"/>
        </w:rPr>
        <w:t>ch</w:t>
      </w:r>
      <w:r w:rsidR="008D5B0D">
        <w:rPr>
          <w:rStyle w:val="K-TextChar"/>
        </w:rPr>
        <w:t xml:space="preserve"> s neočekávaným uzavřením prostor Národního archivu jako v době pandemie Covid-19, </w:t>
      </w:r>
      <w:r w:rsidR="008249A5">
        <w:rPr>
          <w:rStyle w:val="K-TextChar"/>
        </w:rPr>
        <w:t>kdy</w:t>
      </w:r>
      <w:r w:rsidR="007D08E2">
        <w:rPr>
          <w:rStyle w:val="K-TextChar"/>
        </w:rPr>
        <w:t xml:space="preserve"> tak</w:t>
      </w:r>
      <w:r w:rsidR="008249A5">
        <w:rPr>
          <w:rStyle w:val="K-TextChar"/>
        </w:rPr>
        <w:t xml:space="preserve"> byl znemožněn přístup </w:t>
      </w:r>
      <w:r w:rsidR="001E713E">
        <w:rPr>
          <w:rStyle w:val="K-TextChar"/>
        </w:rPr>
        <w:t>veřejnosti</w:t>
      </w:r>
      <w:r w:rsidR="008D5B0D">
        <w:rPr>
          <w:rStyle w:val="K-TextChar"/>
        </w:rPr>
        <w:t xml:space="preserve"> k uloženým archiváliím.</w:t>
      </w:r>
    </w:p>
    <w:p w14:paraId="6423CF6C" w14:textId="7EAC847C" w:rsidR="002E19BA" w:rsidRPr="002E19BA"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b/>
        </w:rPr>
        <w:t>Odhadované náklad</w:t>
      </w:r>
      <w:r w:rsidR="00A87B13" w:rsidRPr="002E19BA">
        <w:rPr>
          <w:rStyle w:val="K-TextChar"/>
          <w:b/>
        </w:rPr>
        <w:t>y</w:t>
      </w:r>
      <w:r w:rsidRPr="002E19BA">
        <w:rPr>
          <w:rStyle w:val="K-TextChar"/>
          <w:b/>
        </w:rPr>
        <w:t>:</w:t>
      </w:r>
    </w:p>
    <w:p w14:paraId="4CD95D6B" w14:textId="20CD8639"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alokované prostředky v NPO činí </w:t>
      </w:r>
      <w:r w:rsidR="001A3EE2">
        <w:rPr>
          <w:rStyle w:val="K-TextChar"/>
        </w:rPr>
        <w:t>1,3</w:t>
      </w:r>
      <w:r w:rsidRPr="002E19BA">
        <w:rPr>
          <w:rStyle w:val="K-TextChar"/>
        </w:rPr>
        <w:t xml:space="preserve"> mld. Kč</w:t>
      </w:r>
    </w:p>
    <w:p w14:paraId="49E19D06" w14:textId="656A0BC0"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investiční výdaje na komponentu lze odhadnout na úrovni </w:t>
      </w:r>
      <w:r w:rsidR="001A3EE2">
        <w:rPr>
          <w:rStyle w:val="K-TextChar"/>
        </w:rPr>
        <w:t>1,3</w:t>
      </w:r>
      <w:r w:rsidRPr="002E19BA">
        <w:rPr>
          <w:rStyle w:val="K-TextChar"/>
        </w:rPr>
        <w:t xml:space="preserve"> mld. Kč.</w:t>
      </w:r>
    </w:p>
    <w:p w14:paraId="6F51D022" w14:textId="5704619B" w:rsidR="002E19BA" w:rsidRPr="00D5304B"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D5304B">
        <w:rPr>
          <w:rStyle w:val="K-TextChar"/>
        </w:rPr>
        <w:t xml:space="preserve">Veškeré uvedené projekty budou </w:t>
      </w:r>
      <w:proofErr w:type="spellStart"/>
      <w:r w:rsidRPr="00D5304B">
        <w:rPr>
          <w:rStyle w:val="K-TextChar"/>
        </w:rPr>
        <w:t>zasmluvněny</w:t>
      </w:r>
      <w:proofErr w:type="spellEnd"/>
      <w:r w:rsidRPr="00D5304B">
        <w:rPr>
          <w:rStyle w:val="K-TextChar"/>
        </w:rPr>
        <w:t xml:space="preserve"> nejpozději ve </w:t>
      </w:r>
      <w:r w:rsidR="001A3EE2" w:rsidRPr="00D5304B">
        <w:rPr>
          <w:rStyle w:val="K-TextChar"/>
        </w:rPr>
        <w:t>4Q</w:t>
      </w:r>
      <w:r w:rsidRPr="00D5304B">
        <w:rPr>
          <w:rStyle w:val="K-TextChar"/>
        </w:rPr>
        <w:t>202</w:t>
      </w:r>
      <w:r w:rsidR="000A1F3B">
        <w:rPr>
          <w:rStyle w:val="K-TextChar"/>
        </w:rPr>
        <w:t>3</w:t>
      </w:r>
      <w:r w:rsidRPr="00D5304B">
        <w:rPr>
          <w:rStyle w:val="K-TextChar"/>
        </w:rPr>
        <w:t>.</w:t>
      </w:r>
    </w:p>
    <w:p w14:paraId="224BC15D" w14:textId="2AA13B6B" w:rsidR="0015052B" w:rsidRPr="0015052B" w:rsidRDefault="002E19BA" w:rsidP="006F1BEA">
      <w:pPr>
        <w:pStyle w:val="Default"/>
        <w:pBdr>
          <w:top w:val="single" w:sz="4" w:space="1" w:color="auto"/>
          <w:left w:val="single" w:sz="4" w:space="4" w:color="auto"/>
          <w:bottom w:val="single" w:sz="4" w:space="1" w:color="auto"/>
          <w:right w:val="single" w:sz="4" w:space="4" w:color="auto"/>
        </w:pBdr>
        <w:spacing w:after="120"/>
        <w:jc w:val="both"/>
        <w:rPr>
          <w:iCs/>
          <w:sz w:val="23"/>
          <w:szCs w:val="23"/>
        </w:rPr>
      </w:pPr>
      <w:r w:rsidRPr="00D5304B">
        <w:rPr>
          <w:rStyle w:val="K-TextChar"/>
        </w:rPr>
        <w:t>Cca</w:t>
      </w:r>
      <w:r w:rsidR="00D5304B">
        <w:rPr>
          <w:rStyle w:val="K-TextChar"/>
        </w:rPr>
        <w:t xml:space="preserve"> 38 % z celkové alokace bude čerpáno do roku 2023,</w:t>
      </w:r>
      <w:r w:rsidRPr="00D5304B">
        <w:rPr>
          <w:rStyle w:val="K-TextChar"/>
        </w:rPr>
        <w:t xml:space="preserve"> </w:t>
      </w:r>
      <w:r w:rsidR="001A3EE2" w:rsidRPr="00D5304B">
        <w:rPr>
          <w:rStyle w:val="K-TextChar"/>
        </w:rPr>
        <w:t>62</w:t>
      </w:r>
      <w:r w:rsidRPr="00D5304B">
        <w:rPr>
          <w:rStyle w:val="K-TextChar"/>
        </w:rPr>
        <w:t xml:space="preserve"> % z celkové alokace bude čerpáno v</w:t>
      </w:r>
      <w:r w:rsidR="001A3EE2" w:rsidRPr="00D5304B">
        <w:rPr>
          <w:rStyle w:val="K-TextChar"/>
        </w:rPr>
        <w:t> letech</w:t>
      </w:r>
      <w:r w:rsidRPr="00D5304B">
        <w:rPr>
          <w:rStyle w:val="K-TextChar"/>
        </w:rPr>
        <w:t xml:space="preserve"> 2024</w:t>
      </w:r>
      <w:r w:rsidR="001A3EE2" w:rsidRPr="00D5304B">
        <w:rPr>
          <w:rStyle w:val="K-TextChar"/>
        </w:rPr>
        <w:t>-2025</w:t>
      </w:r>
      <w:r w:rsidRPr="00D5304B">
        <w:rPr>
          <w:rStyle w:val="K-TextChar"/>
        </w:rPr>
        <w:t>.</w:t>
      </w:r>
    </w:p>
    <w:p w14:paraId="124215C3" w14:textId="67A6E2AB" w:rsidR="0015052B" w:rsidRDefault="0015052B" w:rsidP="0015052B">
      <w:pPr>
        <w:pStyle w:val="K-Nadpis3"/>
      </w:pPr>
      <w:r w:rsidRPr="000C0598">
        <w:t xml:space="preserve">a) </w:t>
      </w:r>
      <w:r w:rsidR="00095EBD">
        <w:t>Detail</w:t>
      </w:r>
      <w:r>
        <w:t xml:space="preserve"> komponenty</w:t>
      </w:r>
    </w:p>
    <w:p w14:paraId="54EC3529" w14:textId="0ABD1068" w:rsidR="002C252C" w:rsidRDefault="0015052B" w:rsidP="00740B8D">
      <w:pPr>
        <w:pStyle w:val="K-Text"/>
      </w:pPr>
      <w:r>
        <w:t>Komponenta bude naplněna</w:t>
      </w:r>
      <w:r w:rsidR="00FC7457">
        <w:t xml:space="preserve"> reformou v oblasti veřejné správy na úseku archivnictví, kdy dojde k vybudování hlavního úložiště IS NDA, který umožňuje provést výběr digitálních archiválií a jejich trvalé </w:t>
      </w:r>
      <w:r w:rsidR="00A52300">
        <w:t xml:space="preserve">a </w:t>
      </w:r>
      <w:r w:rsidR="00FC7457">
        <w:t xml:space="preserve">bezpečné uložení a zároveň zpřístupnění </w:t>
      </w:r>
      <w:r w:rsidR="002649E3">
        <w:t>širší</w:t>
      </w:r>
      <w:r w:rsidR="00FC7457">
        <w:t xml:space="preserve"> veřejnosti, orgánům státní správy i samosprávy.</w:t>
      </w:r>
      <w:r w:rsidR="002C252C">
        <w:t xml:space="preserve"> </w:t>
      </w:r>
      <w:r w:rsidR="00751051">
        <w:t>Prostřednictvím IS NDA budou pro širokou veřejnost</w:t>
      </w:r>
      <w:r w:rsidR="00751051" w:rsidRPr="00751051">
        <w:t xml:space="preserve"> dostupné nástroje pro</w:t>
      </w:r>
      <w:r w:rsidR="00A52300">
        <w:t xml:space="preserve"> zpracování a</w:t>
      </w:r>
      <w:r w:rsidR="00751051" w:rsidRPr="00751051">
        <w:t xml:space="preserve"> přístup </w:t>
      </w:r>
      <w:r w:rsidR="00751051">
        <w:t xml:space="preserve">k datům, </w:t>
      </w:r>
      <w:r w:rsidR="00A52300">
        <w:t>jejichž správa a dlouhodobé uchování spadá do gesce</w:t>
      </w:r>
      <w:r w:rsidR="00751051">
        <w:t xml:space="preserve"> </w:t>
      </w:r>
      <w:r w:rsidR="00A52300">
        <w:t>Národního archivu.</w:t>
      </w:r>
      <w:r w:rsidR="008249A5">
        <w:t xml:space="preserve"> </w:t>
      </w:r>
      <w:r w:rsidR="002C252C">
        <w:t>IS NDA tak představuje pro-klientsky orientovaný nástroj, který zjednodušuje služby nejen občanům, ale také orgánům státní správy a samosprávy.</w:t>
      </w:r>
      <w:r w:rsidR="000B77DA" w:rsidRPr="000B77DA">
        <w:t xml:space="preserve"> </w:t>
      </w:r>
      <w:r w:rsidR="0086544C">
        <w:t xml:space="preserve">V rámci komponenty bude vybudován 4. depotní blok archivního areálu na Chodovci, kde bude umístěno nové digitalizační pracoviště </w:t>
      </w:r>
      <w:r w:rsidR="002904B1">
        <w:t>i</w:t>
      </w:r>
      <w:r w:rsidR="0086544C">
        <w:t xml:space="preserve"> h</w:t>
      </w:r>
      <w:r w:rsidR="000B77DA">
        <w:t>lavní úložiště IS NDA</w:t>
      </w:r>
      <w:r w:rsidR="0086544C">
        <w:t xml:space="preserve">, čímž bude zajištěno </w:t>
      </w:r>
      <w:r w:rsidR="000B77DA">
        <w:t>nejen trvalé a bezpečné umístění hlavního úložiště IS NDA, ale také navýšení kapacity pro analogové archiválie na 195 kilometrů.</w:t>
      </w:r>
    </w:p>
    <w:p w14:paraId="032B8AAC" w14:textId="1A3A982A" w:rsidR="00FC7457" w:rsidRDefault="008249A5" w:rsidP="00740B8D">
      <w:pPr>
        <w:pStyle w:val="K-Text"/>
      </w:pPr>
      <w:r w:rsidRPr="008249A5">
        <w:rPr>
          <w:bCs/>
        </w:rPr>
        <w:lastRenderedPageBreak/>
        <w:t xml:space="preserve">Součástí řešení je </w:t>
      </w:r>
      <w:r>
        <w:rPr>
          <w:bCs/>
          <w:iCs w:val="0"/>
        </w:rPr>
        <w:t xml:space="preserve">rovněž </w:t>
      </w:r>
      <w:r w:rsidRPr="008249A5">
        <w:rPr>
          <w:bCs/>
        </w:rPr>
        <w:t>vybudování digitalizačního pracoviště pro převod tradičních archiválií do digitální podoby</w:t>
      </w:r>
      <w:r>
        <w:rPr>
          <w:bCs/>
        </w:rPr>
        <w:t>.</w:t>
      </w:r>
      <w:r>
        <w:t xml:space="preserve"> </w:t>
      </w:r>
      <w:r w:rsidR="00751051">
        <w:t xml:space="preserve">Pro zlepšení dálkového přístupu </w:t>
      </w:r>
      <w:r w:rsidR="002649E3">
        <w:t>širší</w:t>
      </w:r>
      <w:r w:rsidR="00751051">
        <w:t xml:space="preserve"> veřejnosti bude </w:t>
      </w:r>
      <w:r w:rsidR="00A52300">
        <w:t xml:space="preserve">rovněž </w:t>
      </w:r>
      <w:r w:rsidR="00751051">
        <w:t>rozvíjena podpora digitální badatelny umožňující on-line přístup nejen k </w:t>
      </w:r>
      <w:proofErr w:type="spellStart"/>
      <w:r w:rsidR="00751051">
        <w:t>digitalizátům</w:t>
      </w:r>
      <w:proofErr w:type="spellEnd"/>
      <w:r w:rsidR="00751051">
        <w:t>, ale i k </w:t>
      </w:r>
      <w:proofErr w:type="spellStart"/>
      <w:r w:rsidR="00751051">
        <w:t>born-digital</w:t>
      </w:r>
      <w:proofErr w:type="spellEnd"/>
      <w:r w:rsidR="00751051">
        <w:t xml:space="preserve"> dokumentům.</w:t>
      </w:r>
    </w:p>
    <w:p w14:paraId="6FDB68D5" w14:textId="47C18EC2" w:rsidR="00C279E4" w:rsidRDefault="00C279E4" w:rsidP="00C279E4">
      <w:pPr>
        <w:pStyle w:val="K-Text"/>
      </w:pPr>
      <w:r>
        <w:rPr>
          <w:rStyle w:val="K-TextChar"/>
        </w:rPr>
        <w:t>Vybudováním hlavního úložiště IS NDA</w:t>
      </w:r>
      <w:r w:rsidR="008249A5">
        <w:rPr>
          <w:rStyle w:val="K-TextChar"/>
        </w:rPr>
        <w:t xml:space="preserve"> a digitalizačního pracoviště pro převod tradičních archiválií do digitální podoby</w:t>
      </w:r>
      <w:r>
        <w:rPr>
          <w:rStyle w:val="K-TextChar"/>
        </w:rPr>
        <w:t xml:space="preserve"> dojde</w:t>
      </w:r>
      <w:r w:rsidR="00A52300">
        <w:rPr>
          <w:rStyle w:val="K-TextChar"/>
        </w:rPr>
        <w:t xml:space="preserve"> </w:t>
      </w:r>
      <w:r>
        <w:rPr>
          <w:rStyle w:val="K-TextChar"/>
        </w:rPr>
        <w:t xml:space="preserve">k navýšení úložné kapacity pro archiválie v digitální podobě na 10 </w:t>
      </w:r>
      <w:proofErr w:type="spellStart"/>
      <w:r>
        <w:rPr>
          <w:rStyle w:val="K-TextChar"/>
        </w:rPr>
        <w:t>petabajtů</w:t>
      </w:r>
      <w:proofErr w:type="spellEnd"/>
      <w:r>
        <w:rPr>
          <w:rStyle w:val="K-TextChar"/>
        </w:rPr>
        <w:t xml:space="preserve">, čímž </w:t>
      </w:r>
      <w:r w:rsidR="008249A5">
        <w:rPr>
          <w:rStyle w:val="K-TextChar"/>
        </w:rPr>
        <w:t>bude navýšen</w:t>
      </w:r>
      <w:r>
        <w:rPr>
          <w:rStyle w:val="K-TextChar"/>
        </w:rPr>
        <w:t xml:space="preserve"> po</w:t>
      </w:r>
      <w:r w:rsidR="008249A5">
        <w:rPr>
          <w:rStyle w:val="K-TextChar"/>
        </w:rPr>
        <w:t>čet</w:t>
      </w:r>
      <w:r>
        <w:rPr>
          <w:rStyle w:val="K-TextChar"/>
        </w:rPr>
        <w:t xml:space="preserve"> archiválií v digitální podobě přístupných dálkovým přístupem nejen</w:t>
      </w:r>
      <w:r w:rsidR="002649E3">
        <w:rPr>
          <w:rStyle w:val="K-TextChar"/>
        </w:rPr>
        <w:t xml:space="preserve"> širší</w:t>
      </w:r>
      <w:r>
        <w:rPr>
          <w:rStyle w:val="K-TextChar"/>
        </w:rPr>
        <w:t xml:space="preserve"> veřejnosti, ale také orgánům státní správy i samosprávy. </w:t>
      </w:r>
      <w:r w:rsidR="002C252C" w:rsidRPr="00740B8D">
        <w:t xml:space="preserve">Proces digitalizace </w:t>
      </w:r>
      <w:r w:rsidR="002C252C">
        <w:t>archivnictví dále</w:t>
      </w:r>
      <w:r w:rsidR="002C252C" w:rsidRPr="00740B8D">
        <w:t xml:space="preserve"> </w:t>
      </w:r>
      <w:r w:rsidR="007D08E2" w:rsidRPr="00740B8D">
        <w:t>umožní</w:t>
      </w:r>
      <w:r w:rsidR="007D08E2">
        <w:t xml:space="preserve"> </w:t>
      </w:r>
      <w:r w:rsidR="002C252C" w:rsidRPr="00740B8D">
        <w:t xml:space="preserve">předkládání studijních kopií jak prezenčním, tak i dálkovým přístupem. Kromě zajištění bezpečnosti originálů </w:t>
      </w:r>
      <w:r w:rsidR="002C252C">
        <w:t xml:space="preserve">tak </w:t>
      </w:r>
      <w:r w:rsidR="002C252C" w:rsidRPr="00740B8D">
        <w:t>bude studium archiválií dostupné vstřícným způsobem široké veřejnosti.</w:t>
      </w:r>
      <w:r w:rsidR="002C252C">
        <w:t xml:space="preserve"> </w:t>
      </w:r>
    </w:p>
    <w:p w14:paraId="05498204" w14:textId="0EE68AAC" w:rsidR="00623AC5" w:rsidRDefault="00C279E4" w:rsidP="00740B8D">
      <w:pPr>
        <w:pStyle w:val="K-Text"/>
      </w:pPr>
      <w:r>
        <w:t xml:space="preserve">Komponenta je strategicky ukotvena v </w:t>
      </w:r>
      <w:r w:rsidRPr="00740B8D">
        <w:rPr>
          <w:i/>
          <w:iCs w:val="0"/>
        </w:rPr>
        <w:t>Koncepci rozvoje archivnictví v České republice na léta 2018 až 2025 s výhledem do roku 2035</w:t>
      </w:r>
      <w:r>
        <w:t xml:space="preserve"> schválené vládou ČR, která deklaruje potřebu dalšího rozvoje IS NDA a zajištění trvalého a bezpečného uložení</w:t>
      </w:r>
      <w:r w:rsidR="00D07552">
        <w:t xml:space="preserve"> digitálních archiválií a digitálních kopií tradičních archiválií</w:t>
      </w:r>
      <w:r>
        <w:t>.</w:t>
      </w:r>
      <w:r w:rsidR="00A52300">
        <w:t xml:space="preserve"> </w:t>
      </w:r>
    </w:p>
    <w:p w14:paraId="1E505E7D" w14:textId="3A090759" w:rsidR="002C20CF" w:rsidRPr="00ED337B" w:rsidRDefault="002C20CF" w:rsidP="002C4FCC">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00EF374D" w:rsidRPr="00ED337B">
        <w:rPr>
          <w:rStyle w:val="K-Nadpis2Char"/>
          <w:b/>
        </w:rPr>
        <w:t>Hlavní výzvy a cíle</w:t>
      </w:r>
    </w:p>
    <w:p w14:paraId="4357DEF3" w14:textId="6632691B" w:rsidR="002C20CF" w:rsidRDefault="002C20CF" w:rsidP="00CE0581">
      <w:pPr>
        <w:pStyle w:val="Default"/>
        <w:spacing w:after="120"/>
        <w:jc w:val="both"/>
        <w:rPr>
          <w:rStyle w:val="K-Nadpis3Char"/>
        </w:rPr>
      </w:pPr>
      <w:r w:rsidRPr="00ED337B">
        <w:rPr>
          <w:rStyle w:val="K-Nadpis3Char"/>
        </w:rPr>
        <w:t xml:space="preserve">a) </w:t>
      </w:r>
      <w:r w:rsidR="00EF374D" w:rsidRPr="00ED337B">
        <w:rPr>
          <w:rStyle w:val="K-Nadpis3Char"/>
        </w:rPr>
        <w:t>Hlavní výzvy</w:t>
      </w:r>
    </w:p>
    <w:p w14:paraId="3B24590D" w14:textId="77777777" w:rsidR="000424AF" w:rsidRDefault="00323FA3" w:rsidP="006F1BEA">
      <w:pPr>
        <w:pStyle w:val="K-Text"/>
      </w:pPr>
      <w:r>
        <w:t xml:space="preserve">S ohledem na </w:t>
      </w:r>
      <w:r w:rsidRPr="00740B8D">
        <w:rPr>
          <w:i/>
          <w:iCs w:val="0"/>
        </w:rPr>
        <w:t>Koncepci rozvoje archivnictví v České republice na léta 2018 až 2025 s výhledem do roku 2035</w:t>
      </w:r>
      <w:r>
        <w:t xml:space="preserve"> schválenou </w:t>
      </w:r>
      <w:r w:rsidRPr="00323FA3">
        <w:t>Usnesením Vlády ČR č. 551 ze dne 29. srpna 2018</w:t>
      </w:r>
      <w:r>
        <w:t xml:space="preserve"> je jednou z výzev současného archivnictví jeho digitalizace, resp. uchovávání archiválií v digitální podobě. Centrálním pracovištěm pro dlouhodob</w:t>
      </w:r>
      <w:r w:rsidR="006F36F0">
        <w:t>é</w:t>
      </w:r>
      <w:r>
        <w:t xml:space="preserve"> uchovávání archiválií v digitální podobě je Národní digitální archiv, jehož služby se dělí na služby pro </w:t>
      </w:r>
      <w:proofErr w:type="spellStart"/>
      <w:r>
        <w:t>předarchivní</w:t>
      </w:r>
      <w:proofErr w:type="spellEnd"/>
      <w:r>
        <w:t xml:space="preserve"> péči, služby související s uchováním dokumentů v digitální podobě, služby pro přístup k archiváliím/dokumentům/informacím a přidané služby. V oblasti uchovávání dokumentů zajišťuje Národní digitální archiv převzetí vybraných archiválií, kontrolu validity formátů a </w:t>
      </w:r>
      <w:proofErr w:type="spellStart"/>
      <w:r>
        <w:t>metadat</w:t>
      </w:r>
      <w:proofErr w:type="spellEnd"/>
      <w:r>
        <w:t xml:space="preserve"> a správu archiválií v digitální podobě z archivního hlediska.</w:t>
      </w:r>
    </w:p>
    <w:p w14:paraId="3F2B642D" w14:textId="126ADF97" w:rsidR="00323FA3" w:rsidRDefault="005B32BF" w:rsidP="006F1BEA">
      <w:pPr>
        <w:pStyle w:val="K-Text"/>
      </w:pPr>
      <w:r>
        <w:t>IS</w:t>
      </w:r>
      <w:r w:rsidR="00FB14BD">
        <w:t xml:space="preserve"> </w:t>
      </w:r>
      <w:r w:rsidR="00805D94">
        <w:t>NDA umožňuje provést výběr digitálních archiválií a jejich trvalé bezpečné uložení a zároveň zpřístupnění oprávněným osobám potažmo veřejnosti, v současné době je však jeho úložiště provozováno v pronajatých prostorách v Praze. Vzhledem ke skutečnosti, že Národní archiv provozuje</w:t>
      </w:r>
      <w:r w:rsidR="00FB14BD">
        <w:t xml:space="preserve"> </w:t>
      </w:r>
      <w:r>
        <w:t>IS</w:t>
      </w:r>
      <w:r w:rsidR="00805D94">
        <w:t xml:space="preserve"> NDA od roku 2015 pro celou síť státních archivů v ČR, je potřeba zajistit </w:t>
      </w:r>
      <w:r w:rsidR="00F87AA4">
        <w:t>potřebné</w:t>
      </w:r>
      <w:r w:rsidR="00805D94">
        <w:t xml:space="preserve"> technologické a bezpečnostní podmínky pro umístění hlavního úložiště. To má být vybudováno ve 4. depotním bloku areálu Národního archivu. </w:t>
      </w:r>
    </w:p>
    <w:p w14:paraId="1F12838E" w14:textId="7CEE4281" w:rsidR="00805D94" w:rsidRDefault="00805D94" w:rsidP="006F1BEA">
      <w:pPr>
        <w:pStyle w:val="K-Text"/>
      </w:pPr>
      <w:r>
        <w:t xml:space="preserve">Doposud byl </w:t>
      </w:r>
      <w:r w:rsidR="005B32BF">
        <w:t>IS</w:t>
      </w:r>
      <w:r>
        <w:t xml:space="preserve"> NDA společně s integrací nových modulů dodávaných v rámci veřejných zakázek prováděn vlastními zdroji Národního archivu. S ohledem na dynamiku trhu IT a na potřebu připravit variantu robustního řešení IS NDA, není zajištění vývoje vlastními zdroji Národního archivu </w:t>
      </w:r>
      <w:r w:rsidR="00D2245B">
        <w:t xml:space="preserve">nadále </w:t>
      </w:r>
      <w:r>
        <w:t>udržitelné.</w:t>
      </w:r>
      <w:r w:rsidR="001A7090" w:rsidRPr="001A7090">
        <w:t xml:space="preserve"> </w:t>
      </w:r>
      <w:r w:rsidR="001A7090">
        <w:t>S</w:t>
      </w:r>
      <w:r w:rsidR="00B273B1">
        <w:t xml:space="preserve"> pokračující digitalizací ve veřejné správě roste potřeba elektronizace dokumentů, tedy i budovat adekvátní úložiště pro tyto digitální dokumenty. </w:t>
      </w:r>
    </w:p>
    <w:p w14:paraId="5BA8FACD" w14:textId="77777777" w:rsidR="008249A5" w:rsidRDefault="002C20CF" w:rsidP="008249A5">
      <w:pPr>
        <w:pStyle w:val="K-Nadpis3"/>
      </w:pPr>
      <w:r w:rsidRPr="00ED337B">
        <w:t xml:space="preserve">b) </w:t>
      </w:r>
      <w:r w:rsidR="00EF374D" w:rsidRPr="00ED337B">
        <w:t>Cíle</w:t>
      </w:r>
      <w:r w:rsidRPr="00ED337B">
        <w:t xml:space="preserve"> </w:t>
      </w:r>
    </w:p>
    <w:p w14:paraId="3194AEB1" w14:textId="4EFF30A8" w:rsidR="008249A5" w:rsidRDefault="008249A5" w:rsidP="002C252C">
      <w:pPr>
        <w:pStyle w:val="K-Nadpis3"/>
        <w:spacing w:line="293" w:lineRule="auto"/>
        <w:rPr>
          <w:b w:val="0"/>
          <w:iCs/>
          <w:color w:val="auto"/>
          <w:sz w:val="23"/>
        </w:rPr>
      </w:pPr>
      <w:r>
        <w:rPr>
          <w:b w:val="0"/>
          <w:iCs/>
          <w:color w:val="auto"/>
          <w:sz w:val="23"/>
        </w:rPr>
        <w:t>Cílem je</w:t>
      </w:r>
      <w:r w:rsidRPr="008249A5">
        <w:rPr>
          <w:b w:val="0"/>
          <w:iCs/>
          <w:color w:val="auto"/>
          <w:sz w:val="23"/>
        </w:rPr>
        <w:t xml:space="preserve"> zajistit optimální podmínky přístupu širší veřejnosti k uloženým archiváliím </w:t>
      </w:r>
      <w:r w:rsidR="000424AF">
        <w:rPr>
          <w:b w:val="0"/>
          <w:iCs/>
          <w:color w:val="auto"/>
          <w:sz w:val="23"/>
        </w:rPr>
        <w:t xml:space="preserve">značného historického významu </w:t>
      </w:r>
      <w:r w:rsidRPr="008249A5">
        <w:rPr>
          <w:b w:val="0"/>
          <w:iCs/>
          <w:color w:val="auto"/>
          <w:sz w:val="23"/>
        </w:rPr>
        <w:t xml:space="preserve">v digitální podobě a zajistit řádnou péči státu o archiválie v digitální podobě. Za účelem dosažení cíle bude zvýšena úložná kapacita digitálních archiválií v řádech </w:t>
      </w:r>
      <w:proofErr w:type="spellStart"/>
      <w:r w:rsidRPr="008249A5">
        <w:rPr>
          <w:b w:val="0"/>
          <w:iCs/>
          <w:color w:val="auto"/>
          <w:sz w:val="23"/>
        </w:rPr>
        <w:t>petabajtů</w:t>
      </w:r>
      <w:proofErr w:type="spellEnd"/>
      <w:r w:rsidRPr="008249A5">
        <w:rPr>
          <w:b w:val="0"/>
          <w:iCs/>
          <w:color w:val="auto"/>
          <w:sz w:val="23"/>
        </w:rPr>
        <w:t xml:space="preserve"> a budou zajištěny optimální technologické a bezpečnostní podmínky, a to vždy s respektem ke klimatickým cílům. Součástí řešení je vybudování digitalizačního pracoviště pro převod tradičních archiválií do digitální podoby. Prostřednictvím dálkového přístupu tak bude umožněn přístup k většímu množství digitálních archiválií, a to nejen širší veřejnosti, ale také orgánům státní správy a samosprávy. </w:t>
      </w:r>
      <w:r w:rsidR="009A0B6E">
        <w:rPr>
          <w:b w:val="0"/>
          <w:iCs/>
          <w:color w:val="auto"/>
          <w:sz w:val="23"/>
        </w:rPr>
        <w:t>D</w:t>
      </w:r>
      <w:r w:rsidR="000B77DA">
        <w:rPr>
          <w:b w:val="0"/>
          <w:iCs/>
          <w:color w:val="auto"/>
          <w:sz w:val="23"/>
        </w:rPr>
        <w:t>igitalizační pracoviště a hlavní úložiště IS NDA bude umístěno v</w:t>
      </w:r>
      <w:r w:rsidR="009A0B6E">
        <w:rPr>
          <w:b w:val="0"/>
          <w:iCs/>
          <w:color w:val="auto"/>
          <w:sz w:val="23"/>
        </w:rPr>
        <w:t> nově vybudovaném</w:t>
      </w:r>
      <w:r w:rsidR="000B77DA">
        <w:rPr>
          <w:b w:val="0"/>
          <w:iCs/>
          <w:color w:val="auto"/>
          <w:sz w:val="23"/>
        </w:rPr>
        <w:t xml:space="preserve"> 4. depotním bloku archivního areálu na </w:t>
      </w:r>
      <w:r w:rsidR="000B77DA">
        <w:rPr>
          <w:b w:val="0"/>
          <w:iCs/>
          <w:color w:val="auto"/>
          <w:sz w:val="23"/>
        </w:rPr>
        <w:lastRenderedPageBreak/>
        <w:t>Chodovci, který bude vybudován s respektem ke klimatickým cílům, resp. budou dodrženy požadavky stanovené v nařízení EU o taxonomii.</w:t>
      </w:r>
    </w:p>
    <w:p w14:paraId="6CD31FED" w14:textId="2FFE7CD1" w:rsidR="007A2737" w:rsidRDefault="007A2737" w:rsidP="008249A5">
      <w:pPr>
        <w:pStyle w:val="K-Nadpis3"/>
        <w:keepNext/>
        <w:keepLines/>
      </w:pPr>
      <w:r>
        <w:t xml:space="preserve">c) </w:t>
      </w:r>
      <w:r w:rsidR="006C30EB" w:rsidRPr="006C30EB">
        <w:t>Národní strategický kontext</w:t>
      </w:r>
    </w:p>
    <w:p w14:paraId="7A7CC187" w14:textId="144BE1E5" w:rsidR="005119E2" w:rsidRPr="00AA2F77" w:rsidRDefault="00AA2F77" w:rsidP="007F08FE">
      <w:pPr>
        <w:pStyle w:val="K-TextInfo"/>
        <w:keepNext/>
        <w:keepLines/>
        <w:spacing w:line="293" w:lineRule="auto"/>
        <w:rPr>
          <w:i w:val="0"/>
          <w:iCs w:val="0"/>
          <w:color w:val="auto"/>
        </w:rPr>
      </w:pPr>
      <w:r>
        <w:rPr>
          <w:i w:val="0"/>
          <w:iCs w:val="0"/>
          <w:color w:val="auto"/>
        </w:rPr>
        <w:t>V oblasti digitalizace komponenta navazuje na projekt NDA II</w:t>
      </w:r>
      <w:r w:rsidR="006F36F0">
        <w:rPr>
          <w:i w:val="0"/>
          <w:iCs w:val="0"/>
          <w:color w:val="auto"/>
        </w:rPr>
        <w:t>,</w:t>
      </w:r>
      <w:r>
        <w:rPr>
          <w:i w:val="0"/>
          <w:iCs w:val="0"/>
          <w:color w:val="auto"/>
        </w:rPr>
        <w:t xml:space="preserve"> kofinancovan</w:t>
      </w:r>
      <w:r w:rsidR="006F36F0">
        <w:rPr>
          <w:i w:val="0"/>
          <w:iCs w:val="0"/>
          <w:color w:val="auto"/>
        </w:rPr>
        <w:t>ý</w:t>
      </w:r>
      <w:r>
        <w:rPr>
          <w:i w:val="0"/>
          <w:iCs w:val="0"/>
          <w:color w:val="auto"/>
        </w:rPr>
        <w:t xml:space="preserve"> z</w:t>
      </w:r>
      <w:r w:rsidR="007F08FE">
        <w:rPr>
          <w:i w:val="0"/>
          <w:iCs w:val="0"/>
          <w:color w:val="auto"/>
        </w:rPr>
        <w:t> </w:t>
      </w:r>
      <w:r>
        <w:rPr>
          <w:i w:val="0"/>
          <w:iCs w:val="0"/>
          <w:color w:val="auto"/>
        </w:rPr>
        <w:t>IROP</w:t>
      </w:r>
      <w:r w:rsidR="007F08FE">
        <w:rPr>
          <w:i w:val="0"/>
          <w:iCs w:val="0"/>
          <w:color w:val="auto"/>
        </w:rPr>
        <w:t xml:space="preserve">, </w:t>
      </w:r>
      <w:r w:rsidR="007F08FE" w:rsidRPr="007F08FE">
        <w:rPr>
          <w:i w:val="0"/>
          <w:iCs w:val="0"/>
          <w:color w:val="auto"/>
        </w:rPr>
        <w:t xml:space="preserve">jehož cílem bylo zvýšení stability, robustnosti, doplnění funkcionalit a zajištění kybernetické bezpečnosti. </w:t>
      </w:r>
      <w:r w:rsidR="002C252C" w:rsidRPr="007F08FE">
        <w:rPr>
          <w:i w:val="0"/>
          <w:iCs w:val="0"/>
          <w:color w:val="auto"/>
        </w:rPr>
        <w:t>IS NDA</w:t>
      </w:r>
      <w:r w:rsidR="007F08FE" w:rsidRPr="007F08FE">
        <w:rPr>
          <w:i w:val="0"/>
          <w:iCs w:val="0"/>
          <w:color w:val="auto"/>
        </w:rPr>
        <w:t xml:space="preserve"> </w:t>
      </w:r>
      <w:r w:rsidR="007F08FE">
        <w:rPr>
          <w:i w:val="0"/>
          <w:iCs w:val="0"/>
          <w:color w:val="auto"/>
        </w:rPr>
        <w:t>je</w:t>
      </w:r>
      <w:r w:rsidR="007F08FE" w:rsidRPr="007F08FE">
        <w:rPr>
          <w:i w:val="0"/>
          <w:iCs w:val="0"/>
          <w:color w:val="auto"/>
        </w:rPr>
        <w:t xml:space="preserve"> dále </w:t>
      </w:r>
      <w:r w:rsidR="007F08FE">
        <w:rPr>
          <w:i w:val="0"/>
          <w:iCs w:val="0"/>
          <w:color w:val="auto"/>
        </w:rPr>
        <w:t xml:space="preserve">na seznamu záměrů strategických projektů pro čerpání finančních prostředků ze Strukturálních fondů EU v rámci Smart </w:t>
      </w:r>
      <w:proofErr w:type="spellStart"/>
      <w:r w:rsidR="007F08FE">
        <w:rPr>
          <w:i w:val="0"/>
          <w:iCs w:val="0"/>
          <w:color w:val="auto"/>
        </w:rPr>
        <w:t>Administration</w:t>
      </w:r>
      <w:proofErr w:type="spellEnd"/>
      <w:r w:rsidR="007F08FE">
        <w:rPr>
          <w:i w:val="0"/>
          <w:iCs w:val="0"/>
          <w:color w:val="auto"/>
        </w:rPr>
        <w:t>, který byl schválen</w:t>
      </w:r>
      <w:r w:rsidR="007F08FE" w:rsidRPr="007F08FE">
        <w:rPr>
          <w:i w:val="0"/>
          <w:iCs w:val="0"/>
          <w:color w:val="auto"/>
        </w:rPr>
        <w:t xml:space="preserve"> </w:t>
      </w:r>
      <w:r w:rsidR="007F08FE" w:rsidRPr="001447E9">
        <w:rPr>
          <w:color w:val="auto"/>
        </w:rPr>
        <w:t>vládním</w:t>
      </w:r>
      <w:r w:rsidR="002C252C" w:rsidRPr="001447E9">
        <w:rPr>
          <w:color w:val="auto"/>
        </w:rPr>
        <w:t xml:space="preserve"> usnesení č. 536 ze 14. května 2008, o strategických projektových záměrech pro čerpání finančních prostředků ze strukturálních fondů Evropské unie v rámci Smart </w:t>
      </w:r>
      <w:proofErr w:type="spellStart"/>
      <w:r w:rsidR="002C252C" w:rsidRPr="001447E9">
        <w:rPr>
          <w:color w:val="auto"/>
        </w:rPr>
        <w:t>Administration</w:t>
      </w:r>
      <w:proofErr w:type="spellEnd"/>
      <w:r w:rsidR="007F08FE" w:rsidRPr="001447E9">
        <w:t xml:space="preserve"> </w:t>
      </w:r>
      <w:r w:rsidR="007F08FE" w:rsidRPr="001447E9">
        <w:rPr>
          <w:color w:val="auto"/>
        </w:rPr>
        <w:t>– příloha ke strategii Efektivní veřejná správa a přátelské veřejné služby</w:t>
      </w:r>
      <w:r w:rsidR="007F08FE">
        <w:rPr>
          <w:i w:val="0"/>
          <w:iCs w:val="0"/>
          <w:color w:val="auto"/>
        </w:rPr>
        <w:t xml:space="preserve">. </w:t>
      </w:r>
      <w:r w:rsidR="007F08FE" w:rsidRPr="007F08FE">
        <w:rPr>
          <w:i w:val="0"/>
          <w:iCs w:val="0"/>
          <w:color w:val="auto"/>
        </w:rPr>
        <w:t xml:space="preserve">Komponenta je strategicky ukotvena </w:t>
      </w:r>
      <w:r w:rsidR="007F08FE">
        <w:rPr>
          <w:i w:val="0"/>
          <w:iCs w:val="0"/>
          <w:color w:val="auto"/>
        </w:rPr>
        <w:t xml:space="preserve">rovněž </w:t>
      </w:r>
      <w:r w:rsidR="007F08FE" w:rsidRPr="007F08FE">
        <w:rPr>
          <w:i w:val="0"/>
          <w:iCs w:val="0"/>
          <w:color w:val="auto"/>
        </w:rPr>
        <w:t xml:space="preserve">v </w:t>
      </w:r>
      <w:r w:rsidR="007F08FE" w:rsidRPr="007F08FE">
        <w:rPr>
          <w:color w:val="auto"/>
        </w:rPr>
        <w:t>Koncepci rozvoje archivnictví v České republice na léta 2018 až 2025 s výhledem do roku 2035</w:t>
      </w:r>
      <w:r w:rsidR="007F08FE" w:rsidRPr="007F08FE">
        <w:rPr>
          <w:i w:val="0"/>
          <w:iCs w:val="0"/>
          <w:color w:val="auto"/>
        </w:rPr>
        <w:t xml:space="preserve"> schválené vládou ČR, která deklaruje potřebu dalšího rozvoje IS NDA a zajištění trvalého a bezpečného uložení digitálních archiválií a digitálních kopií tradičních archiválií.</w:t>
      </w:r>
    </w:p>
    <w:p w14:paraId="1C015FB3" w14:textId="77777777" w:rsidR="007A2737" w:rsidRDefault="007A2737" w:rsidP="007A2737">
      <w:pPr>
        <w:pStyle w:val="K-Nadpis3"/>
      </w:pPr>
      <w:r>
        <w:t xml:space="preserve">d) </w:t>
      </w:r>
      <w:r w:rsidRPr="007A2737">
        <w:t>Předchozí snahy</w:t>
      </w:r>
    </w:p>
    <w:p w14:paraId="3809665D" w14:textId="573CA9BE" w:rsidR="004E6019" w:rsidRPr="00ED337B" w:rsidRDefault="007A2737" w:rsidP="007C0788">
      <w:pPr>
        <w:pStyle w:val="K-Text"/>
      </w:pPr>
      <w:r w:rsidRPr="007A2737">
        <w:t>Komponenta</w:t>
      </w:r>
      <w:r w:rsidR="00AA2F77">
        <w:t xml:space="preserve"> v oblasti digitalizace</w:t>
      </w:r>
      <w:r w:rsidR="00D2245B">
        <w:t xml:space="preserve"> n</w:t>
      </w:r>
      <w:r w:rsidRPr="007A2737">
        <w:t xml:space="preserve">avazuje </w:t>
      </w:r>
      <w:r w:rsidR="00D2245B">
        <w:t>na předchozí postupný vývoj IS NDA</w:t>
      </w:r>
      <w:bookmarkStart w:id="2" w:name="_Hlk59182203"/>
      <w:r w:rsidR="00D2245B">
        <w:t xml:space="preserve">, jehož cílem bylo zvýšení stability, robustnosti, doplnění funkcionalit a zajištění kybernetické bezpečnosti. </w:t>
      </w:r>
      <w:bookmarkEnd w:id="2"/>
      <w:r w:rsidR="00D2245B">
        <w:t xml:space="preserve">V rámci projektu NDA II kofinancovaného z IROP, který končí 31. 12. 2020, došlo k navýšení kapacity a k vylepšení funkcionalit včetně napojení na Dohledové centrum </w:t>
      </w:r>
      <w:proofErr w:type="spellStart"/>
      <w:r w:rsidR="00D2245B">
        <w:t>eGovernmentu</w:t>
      </w:r>
      <w:proofErr w:type="spellEnd"/>
      <w:r w:rsidR="00D2245B">
        <w:t xml:space="preserve"> Ministerstva vnitra (</w:t>
      </w:r>
      <w:proofErr w:type="spellStart"/>
      <w:r w:rsidR="00D2245B">
        <w:t>DCeGOV</w:t>
      </w:r>
      <w:proofErr w:type="spellEnd"/>
      <w:r w:rsidR="00D2245B">
        <w:t>). Integrace nových modulů IS NDA dodávaných v rámci veřejných zakázek byla prováděna vlastními zdroji Národního archivu.</w:t>
      </w:r>
    </w:p>
    <w:p w14:paraId="5BA8CBEF" w14:textId="77777777" w:rsidR="002C20CF" w:rsidRPr="00ED337B" w:rsidRDefault="002C20CF" w:rsidP="00143076">
      <w:pPr>
        <w:pStyle w:val="K-Nadpis2"/>
      </w:pPr>
      <w:r w:rsidRPr="00ED337B">
        <w:t xml:space="preserve">3. </w:t>
      </w:r>
      <w:r w:rsidR="00AF3BAB" w:rsidRPr="00ED337B">
        <w:t>Popis reforem</w:t>
      </w:r>
      <w:r w:rsidR="009C04D3" w:rsidRPr="00ED337B">
        <w:t xml:space="preserve"> a investic</w:t>
      </w:r>
      <w:r w:rsidR="00AF3BAB" w:rsidRPr="00ED337B">
        <w:t xml:space="preserve"> k</w:t>
      </w:r>
      <w:r w:rsidRPr="00ED337B">
        <w:t>omponent</w:t>
      </w:r>
      <w:r w:rsidR="00AF3BAB" w:rsidRPr="00ED337B">
        <w:t>y</w:t>
      </w:r>
      <w:r w:rsidRPr="00ED337B">
        <w:t xml:space="preserve"> </w:t>
      </w:r>
    </w:p>
    <w:p w14:paraId="1FCE690A" w14:textId="77E2CC02" w:rsidR="002E19BA" w:rsidRDefault="00D2245B" w:rsidP="00143076">
      <w:pPr>
        <w:pStyle w:val="K-Nadpis3"/>
        <w:keepNext/>
        <w:keepLines/>
      </w:pPr>
      <w:r>
        <w:t>a</w:t>
      </w:r>
      <w:r w:rsidR="000C0598">
        <w:t xml:space="preserve">) Popis </w:t>
      </w:r>
      <w:r w:rsidR="00C933A5">
        <w:t>reformy</w:t>
      </w:r>
    </w:p>
    <w:p w14:paraId="182A7AA4" w14:textId="1955D707" w:rsidR="00C96099" w:rsidRDefault="00C96099" w:rsidP="00143076">
      <w:pPr>
        <w:pStyle w:val="K-Tabulka"/>
        <w:keepNext/>
        <w:keepLines/>
      </w:pPr>
      <w:r w:rsidRPr="005B3F5C">
        <w:t xml:space="preserve">1. </w:t>
      </w:r>
      <w:r w:rsidR="00C279E4">
        <w:rPr>
          <w:rStyle w:val="K-TextChar"/>
        </w:rPr>
        <w:t xml:space="preserve">Zlepšení podmínek dálkového přístupu </w:t>
      </w:r>
      <w:r w:rsidR="002649E3">
        <w:rPr>
          <w:rStyle w:val="K-TextChar"/>
        </w:rPr>
        <w:t>širší</w:t>
      </w:r>
      <w:r w:rsidR="00C279E4">
        <w:rPr>
          <w:rStyle w:val="K-TextChar"/>
        </w:rPr>
        <w:t xml:space="preserve"> veřejnosti k uloženým archiváliím</w:t>
      </w:r>
      <w:r w:rsidR="00C279E4" w:rsidRPr="00AE47B2" w:rsidDel="00B54DC0">
        <w:rPr>
          <w:rStyle w:val="K-TextChar"/>
        </w:rPr>
        <w:t xml:space="preserve"> </w:t>
      </w:r>
    </w:p>
    <w:tbl>
      <w:tblPr>
        <w:tblStyle w:val="Mkatabulky"/>
        <w:tblW w:w="0" w:type="auto"/>
        <w:tblLook w:val="04A0" w:firstRow="1" w:lastRow="0" w:firstColumn="1" w:lastColumn="0" w:noHBand="0" w:noVBand="1"/>
      </w:tblPr>
      <w:tblGrid>
        <w:gridCol w:w="2405"/>
        <w:gridCol w:w="7223"/>
      </w:tblGrid>
      <w:tr w:rsidR="00C96099" w14:paraId="1EE1EABD" w14:textId="77777777" w:rsidTr="13E60CBD">
        <w:tc>
          <w:tcPr>
            <w:tcW w:w="2405" w:type="dxa"/>
          </w:tcPr>
          <w:p w14:paraId="30AFAAF7" w14:textId="77777777" w:rsidR="00C96099" w:rsidRPr="00852465" w:rsidRDefault="00C96099" w:rsidP="005018A5">
            <w:pPr>
              <w:pStyle w:val="K-Text"/>
              <w:jc w:val="left"/>
            </w:pPr>
            <w:r w:rsidRPr="00852465">
              <w:t>Výzva</w:t>
            </w:r>
          </w:p>
        </w:tc>
        <w:tc>
          <w:tcPr>
            <w:tcW w:w="7223" w:type="dxa"/>
          </w:tcPr>
          <w:p w14:paraId="5E3E80D9" w14:textId="071F977F" w:rsidR="00C96099" w:rsidRPr="004E36D6" w:rsidRDefault="004E36D6" w:rsidP="005018A5">
            <w:pPr>
              <w:pStyle w:val="K-TextInfo"/>
              <w:rPr>
                <w:i w:val="0"/>
                <w:iCs w:val="0"/>
                <w:color w:val="auto"/>
              </w:rPr>
            </w:pPr>
            <w:r w:rsidRPr="004E36D6">
              <w:rPr>
                <w:i w:val="0"/>
                <w:iCs w:val="0"/>
                <w:color w:val="auto"/>
              </w:rPr>
              <w:t>Digitalizace archivnictví</w:t>
            </w:r>
          </w:p>
        </w:tc>
      </w:tr>
      <w:tr w:rsidR="00C96099" w14:paraId="114F659C" w14:textId="77777777" w:rsidTr="13E60CBD">
        <w:tc>
          <w:tcPr>
            <w:tcW w:w="2405" w:type="dxa"/>
          </w:tcPr>
          <w:p w14:paraId="5BF70955" w14:textId="77777777" w:rsidR="00C96099" w:rsidRPr="00852465" w:rsidRDefault="00C96099" w:rsidP="005018A5">
            <w:pPr>
              <w:pStyle w:val="K-Text"/>
              <w:jc w:val="left"/>
            </w:pPr>
            <w:r>
              <w:t>Cíl</w:t>
            </w:r>
          </w:p>
        </w:tc>
        <w:tc>
          <w:tcPr>
            <w:tcW w:w="7223" w:type="dxa"/>
          </w:tcPr>
          <w:p w14:paraId="2F2DF652" w14:textId="3E38DD7A" w:rsidR="00C96099" w:rsidRPr="00C84F4A" w:rsidRDefault="00B273B1" w:rsidP="005018A5">
            <w:pPr>
              <w:pStyle w:val="K-TextInfo"/>
              <w:rPr>
                <w:i w:val="0"/>
                <w:iCs w:val="0"/>
              </w:rPr>
            </w:pPr>
            <w:r w:rsidRPr="00B273B1">
              <w:rPr>
                <w:i w:val="0"/>
                <w:iCs w:val="0"/>
                <w:color w:val="auto"/>
              </w:rPr>
              <w:t xml:space="preserve">Reforma představuje zlepšení podmínek dálkového přístupu širší veřejnosti k digitálním archiváliím prostřednictvím vybudování digitální infrastruktury v podobě hlavního úložiště informačního systému Národního digitálního archivu (dále jen IS NDA), který Národní archiv provozuje pro celou síť státních archivů. Součástí řešení je rovněž vybudování digitalizačního pracoviště pro převod tradičních archiválií do digitální podoby. </w:t>
            </w:r>
            <w:r w:rsidR="00ED5C27" w:rsidRPr="00ED5C27">
              <w:rPr>
                <w:i w:val="0"/>
                <w:iCs w:val="0"/>
                <w:color w:val="auto"/>
              </w:rPr>
              <w:t>Digitalizační pracoviště i hlavní úložiště IS NDA bude umístěno v nově vybudovaném 4. depotním bloku archivního areálu na Chodovci, jehož vybudování je nezbytnou součástí uvedeného řešení digitalizace archivnictví</w:t>
            </w:r>
            <w:r w:rsidR="00ED5C27">
              <w:rPr>
                <w:i w:val="0"/>
                <w:iCs w:val="0"/>
                <w:color w:val="auto"/>
              </w:rPr>
              <w:t>.</w:t>
            </w:r>
            <w:r w:rsidR="00993CCB">
              <w:rPr>
                <w:i w:val="0"/>
                <w:iCs w:val="0"/>
                <w:color w:val="auto"/>
              </w:rPr>
              <w:t xml:space="preserve"> </w:t>
            </w:r>
            <w:r w:rsidR="00DA5880">
              <w:rPr>
                <w:i w:val="0"/>
                <w:iCs w:val="0"/>
                <w:color w:val="auto"/>
              </w:rPr>
              <w:t xml:space="preserve">Vybudováním výše </w:t>
            </w:r>
            <w:r w:rsidRPr="00B273B1">
              <w:rPr>
                <w:i w:val="0"/>
                <w:iCs w:val="0"/>
                <w:color w:val="auto"/>
              </w:rPr>
              <w:t xml:space="preserve">uvedeného dojde k navýšení úložné kapacity pro archiválie v digitální podobě na 10 </w:t>
            </w:r>
            <w:proofErr w:type="spellStart"/>
            <w:r w:rsidRPr="00B273B1">
              <w:rPr>
                <w:i w:val="0"/>
                <w:iCs w:val="0"/>
                <w:color w:val="auto"/>
              </w:rPr>
              <w:t>petabajtů</w:t>
            </w:r>
            <w:proofErr w:type="spellEnd"/>
            <w:r w:rsidRPr="00B273B1">
              <w:rPr>
                <w:i w:val="0"/>
                <w:iCs w:val="0"/>
                <w:color w:val="auto"/>
              </w:rPr>
              <w:t>, čímž bude navýšen počet archiválií v digitální podobě přístupných dálkovým přístupem nejen širší veřejnosti, ale také orgánům státní správy i samosprávy. Zpřístupnění většího množství archiválií v digitální podobě předejde v budoucnu komplikacím spojený</w:t>
            </w:r>
            <w:r w:rsidR="000424AF">
              <w:rPr>
                <w:i w:val="0"/>
                <w:iCs w:val="0"/>
                <w:color w:val="auto"/>
              </w:rPr>
              <w:t>m</w:t>
            </w:r>
            <w:r w:rsidRPr="00B273B1">
              <w:rPr>
                <w:i w:val="0"/>
                <w:iCs w:val="0"/>
                <w:color w:val="auto"/>
              </w:rPr>
              <w:t xml:space="preserve"> s neočekávaným uzavřením prostor Národního archivu jako v době pandemie Covid-19, kdy byl znemožněn přístup veřejnosti k uloženým archiváliím.</w:t>
            </w:r>
          </w:p>
        </w:tc>
      </w:tr>
      <w:tr w:rsidR="00C96099" w14:paraId="5C365FE9" w14:textId="77777777" w:rsidTr="13E60CBD">
        <w:tc>
          <w:tcPr>
            <w:tcW w:w="2405" w:type="dxa"/>
          </w:tcPr>
          <w:p w14:paraId="2DF9BF88" w14:textId="77777777" w:rsidR="00C96099" w:rsidRPr="00852465" w:rsidRDefault="00C96099" w:rsidP="005018A5">
            <w:pPr>
              <w:pStyle w:val="K-Text"/>
              <w:jc w:val="left"/>
            </w:pPr>
            <w:r w:rsidRPr="00852465">
              <w:t>Implementace</w:t>
            </w:r>
          </w:p>
        </w:tc>
        <w:tc>
          <w:tcPr>
            <w:tcW w:w="7223" w:type="dxa"/>
          </w:tcPr>
          <w:p w14:paraId="61357E2D" w14:textId="0CEAC9CB" w:rsidR="00C96099" w:rsidRPr="00F63B98" w:rsidRDefault="00F63B98" w:rsidP="005018A5">
            <w:pPr>
              <w:pStyle w:val="K-TextInfo"/>
              <w:rPr>
                <w:i w:val="0"/>
                <w:iCs w:val="0"/>
                <w:color w:val="auto"/>
              </w:rPr>
            </w:pPr>
            <w:r>
              <w:rPr>
                <w:i w:val="0"/>
                <w:iCs w:val="0"/>
                <w:color w:val="auto"/>
              </w:rPr>
              <w:t>Národní archiv</w:t>
            </w:r>
            <w:r w:rsidR="00966A9C">
              <w:rPr>
                <w:i w:val="0"/>
                <w:iCs w:val="0"/>
                <w:color w:val="auto"/>
              </w:rPr>
              <w:t>, Ministerstvo vnitra</w:t>
            </w:r>
          </w:p>
        </w:tc>
      </w:tr>
      <w:tr w:rsidR="00C96099" w14:paraId="4A3DC733" w14:textId="77777777" w:rsidTr="13E60CBD">
        <w:trPr>
          <w:trHeight w:val="70"/>
        </w:trPr>
        <w:tc>
          <w:tcPr>
            <w:tcW w:w="2405" w:type="dxa"/>
          </w:tcPr>
          <w:p w14:paraId="2D0A4623" w14:textId="77777777" w:rsidR="00C96099" w:rsidRPr="00852465" w:rsidRDefault="00C96099" w:rsidP="005018A5">
            <w:pPr>
              <w:pStyle w:val="K-Text"/>
              <w:jc w:val="left"/>
            </w:pPr>
            <w:r>
              <w:t>Spolupráce a z</w:t>
            </w:r>
            <w:r w:rsidRPr="00852465">
              <w:t>apojení zúčastněných stran</w:t>
            </w:r>
          </w:p>
        </w:tc>
        <w:tc>
          <w:tcPr>
            <w:tcW w:w="7223" w:type="dxa"/>
          </w:tcPr>
          <w:p w14:paraId="7E31740B" w14:textId="0B1B8FAD" w:rsidR="00C96099" w:rsidRPr="00F63B98" w:rsidRDefault="00F63B98" w:rsidP="005018A5">
            <w:pPr>
              <w:pStyle w:val="K-TextInfo"/>
              <w:rPr>
                <w:i w:val="0"/>
                <w:iCs w:val="0"/>
              </w:rPr>
            </w:pPr>
            <w:r>
              <w:rPr>
                <w:i w:val="0"/>
                <w:iCs w:val="0"/>
                <w:color w:val="auto"/>
              </w:rPr>
              <w:t>Národní archiv, Ministerstvo vnitra</w:t>
            </w:r>
            <w:r w:rsidR="00C96099" w:rsidRPr="00F63B98">
              <w:rPr>
                <w:i w:val="0"/>
                <w:iCs w:val="0"/>
                <w:color w:val="auto"/>
              </w:rPr>
              <w:t xml:space="preserve"> </w:t>
            </w:r>
          </w:p>
        </w:tc>
      </w:tr>
      <w:tr w:rsidR="00C96099" w14:paraId="05BCE861" w14:textId="77777777" w:rsidTr="13E60CBD">
        <w:tc>
          <w:tcPr>
            <w:tcW w:w="2405" w:type="dxa"/>
          </w:tcPr>
          <w:p w14:paraId="3F0FDD73" w14:textId="77777777" w:rsidR="00C96099" w:rsidRPr="00852465" w:rsidRDefault="00C96099" w:rsidP="005018A5">
            <w:pPr>
              <w:pStyle w:val="K-Text"/>
              <w:jc w:val="left"/>
            </w:pPr>
            <w:r w:rsidRPr="00852465">
              <w:lastRenderedPageBreak/>
              <w:t>Překážky</w:t>
            </w:r>
            <w:r>
              <w:t xml:space="preserve"> a rizika</w:t>
            </w:r>
          </w:p>
        </w:tc>
        <w:tc>
          <w:tcPr>
            <w:tcW w:w="7223" w:type="dxa"/>
          </w:tcPr>
          <w:p w14:paraId="56C8134A" w14:textId="4406B8EE" w:rsidR="00C96099" w:rsidRDefault="00D32BD2" w:rsidP="13E60CBD">
            <w:pPr>
              <w:pStyle w:val="K-TextInfo"/>
              <w:numPr>
                <w:ilvl w:val="0"/>
                <w:numId w:val="28"/>
              </w:numPr>
              <w:rPr>
                <w:i w:val="0"/>
                <w:iCs w:val="0"/>
                <w:color w:val="000000" w:themeColor="text1"/>
              </w:rPr>
            </w:pPr>
            <w:r w:rsidRPr="13E60CBD">
              <w:rPr>
                <w:i w:val="0"/>
                <w:iCs w:val="0"/>
                <w:color w:val="auto"/>
              </w:rPr>
              <w:t>Technické (p</w:t>
            </w:r>
            <w:r w:rsidR="00724BEB" w:rsidRPr="13E60CBD">
              <w:rPr>
                <w:i w:val="0"/>
                <w:iCs w:val="0"/>
                <w:color w:val="auto"/>
              </w:rPr>
              <w:t xml:space="preserve">rodloužení lhůty pro získání stavebního povolení; </w:t>
            </w:r>
            <w:r w:rsidR="004E36D6" w:rsidRPr="13E60CBD">
              <w:rPr>
                <w:i w:val="0"/>
                <w:iCs w:val="0"/>
                <w:color w:val="auto"/>
              </w:rPr>
              <w:t>prodloužení lhůty pro získání kolaudačního rozhodnutí</w:t>
            </w:r>
            <w:r w:rsidR="00340BD0" w:rsidRPr="13E60CBD">
              <w:rPr>
                <w:i w:val="0"/>
                <w:iCs w:val="0"/>
                <w:color w:val="auto"/>
              </w:rPr>
              <w:t>; nedodržení harmonogramu prací</w:t>
            </w:r>
            <w:r w:rsidRPr="13E60CBD">
              <w:rPr>
                <w:i w:val="0"/>
                <w:iCs w:val="0"/>
                <w:color w:val="auto"/>
              </w:rPr>
              <w:t>)</w:t>
            </w:r>
          </w:p>
          <w:p w14:paraId="5EAF4A29" w14:textId="0329B337" w:rsidR="00D32BD2" w:rsidRPr="00724BEB" w:rsidRDefault="00D32BD2" w:rsidP="13E60CBD">
            <w:pPr>
              <w:pStyle w:val="K-TextInfo"/>
              <w:numPr>
                <w:ilvl w:val="0"/>
                <w:numId w:val="28"/>
              </w:numPr>
              <w:rPr>
                <w:i w:val="0"/>
                <w:iCs w:val="0"/>
                <w:color w:val="000000" w:themeColor="text1"/>
              </w:rPr>
            </w:pPr>
            <w:r w:rsidRPr="13E60CBD">
              <w:rPr>
                <w:i w:val="0"/>
                <w:iCs w:val="0"/>
                <w:color w:val="auto"/>
              </w:rPr>
              <w:t>Veřejné zakázky (</w:t>
            </w:r>
            <w:proofErr w:type="spellStart"/>
            <w:r w:rsidRPr="13E60CBD">
              <w:rPr>
                <w:i w:val="0"/>
                <w:iCs w:val="0"/>
                <w:color w:val="auto"/>
              </w:rPr>
              <w:t>nevysoutěžení</w:t>
            </w:r>
            <w:proofErr w:type="spellEnd"/>
            <w:r w:rsidRPr="13E60CBD">
              <w:rPr>
                <w:i w:val="0"/>
                <w:iCs w:val="0"/>
                <w:color w:val="auto"/>
              </w:rPr>
              <w:t xml:space="preserve"> dodavatele IS NDA</w:t>
            </w:r>
            <w:r w:rsidR="00340BD0" w:rsidRPr="13E60CBD">
              <w:rPr>
                <w:i w:val="0"/>
                <w:iCs w:val="0"/>
                <w:color w:val="auto"/>
              </w:rPr>
              <w:t xml:space="preserve">; </w:t>
            </w:r>
            <w:proofErr w:type="spellStart"/>
            <w:r w:rsidR="00340BD0" w:rsidRPr="13E60CBD">
              <w:rPr>
                <w:i w:val="0"/>
                <w:iCs w:val="0"/>
                <w:color w:val="auto"/>
              </w:rPr>
              <w:t>nevysoutěžení</w:t>
            </w:r>
            <w:proofErr w:type="spellEnd"/>
            <w:r w:rsidR="00340BD0" w:rsidRPr="13E60CBD">
              <w:rPr>
                <w:i w:val="0"/>
                <w:iCs w:val="0"/>
                <w:color w:val="auto"/>
              </w:rPr>
              <w:t xml:space="preserve"> dodavatele projektové dokumentace, dodavatele stavby</w:t>
            </w:r>
            <w:r w:rsidRPr="13E60CBD">
              <w:rPr>
                <w:i w:val="0"/>
                <w:iCs w:val="0"/>
                <w:color w:val="auto"/>
              </w:rPr>
              <w:t>)</w:t>
            </w:r>
          </w:p>
        </w:tc>
      </w:tr>
      <w:tr w:rsidR="00C96099" w14:paraId="5DCC73F4" w14:textId="77777777" w:rsidTr="13E60CBD">
        <w:tc>
          <w:tcPr>
            <w:tcW w:w="2405" w:type="dxa"/>
          </w:tcPr>
          <w:p w14:paraId="3B2B90C7" w14:textId="77777777" w:rsidR="00C96099" w:rsidRPr="00852465" w:rsidRDefault="00C96099" w:rsidP="005018A5">
            <w:pPr>
              <w:pStyle w:val="K-Text"/>
              <w:jc w:val="left"/>
            </w:pPr>
            <w:r w:rsidRPr="00852465">
              <w:t xml:space="preserve">Cílové skupiny populace a </w:t>
            </w:r>
            <w:r>
              <w:t>ekonomické</w:t>
            </w:r>
            <w:r w:rsidRPr="00852465">
              <w:t xml:space="preserve"> subjekty</w:t>
            </w:r>
          </w:p>
        </w:tc>
        <w:tc>
          <w:tcPr>
            <w:tcW w:w="7223" w:type="dxa"/>
          </w:tcPr>
          <w:p w14:paraId="1248CFBE" w14:textId="63D74EFF" w:rsidR="00C96099" w:rsidRDefault="00D5304B" w:rsidP="13E60CBD">
            <w:pPr>
              <w:pStyle w:val="K-TextInfo"/>
              <w:numPr>
                <w:ilvl w:val="0"/>
                <w:numId w:val="26"/>
              </w:numPr>
              <w:rPr>
                <w:i w:val="0"/>
                <w:iCs w:val="0"/>
                <w:color w:val="000000" w:themeColor="text1"/>
              </w:rPr>
            </w:pPr>
            <w:r w:rsidRPr="13E60CBD">
              <w:rPr>
                <w:i w:val="0"/>
                <w:iCs w:val="0"/>
                <w:color w:val="auto"/>
              </w:rPr>
              <w:t>O</w:t>
            </w:r>
            <w:r w:rsidR="00F87AA4" w:rsidRPr="13E60CBD">
              <w:rPr>
                <w:i w:val="0"/>
                <w:iCs w:val="0"/>
                <w:color w:val="auto"/>
              </w:rPr>
              <w:t>bčané</w:t>
            </w:r>
          </w:p>
          <w:p w14:paraId="115DFD56" w14:textId="60202ADA" w:rsidR="00F87AA4" w:rsidRPr="004E36D6" w:rsidRDefault="00F87AA4" w:rsidP="13E60CBD">
            <w:pPr>
              <w:pStyle w:val="K-TextInfo"/>
              <w:numPr>
                <w:ilvl w:val="0"/>
                <w:numId w:val="26"/>
              </w:numPr>
              <w:rPr>
                <w:i w:val="0"/>
                <w:iCs w:val="0"/>
                <w:color w:val="000000" w:themeColor="text1"/>
              </w:rPr>
            </w:pPr>
            <w:r w:rsidRPr="13E60CBD">
              <w:rPr>
                <w:i w:val="0"/>
                <w:iCs w:val="0"/>
                <w:color w:val="auto"/>
              </w:rPr>
              <w:t>Orgány státní správy a samosprávy</w:t>
            </w:r>
          </w:p>
        </w:tc>
      </w:tr>
      <w:tr w:rsidR="00C96099" w14:paraId="4DCE4A5C" w14:textId="77777777" w:rsidTr="13E60CBD">
        <w:tc>
          <w:tcPr>
            <w:tcW w:w="2405" w:type="dxa"/>
          </w:tcPr>
          <w:p w14:paraId="07893BD3" w14:textId="77777777" w:rsidR="00C96099" w:rsidRPr="00852465" w:rsidRDefault="00C96099" w:rsidP="005018A5">
            <w:pPr>
              <w:pStyle w:val="K-Text"/>
              <w:jc w:val="left"/>
            </w:pPr>
            <w:r>
              <w:t>Souhrnné náklady realizace financované z RRF za celé období</w:t>
            </w:r>
          </w:p>
        </w:tc>
        <w:tc>
          <w:tcPr>
            <w:tcW w:w="7223" w:type="dxa"/>
          </w:tcPr>
          <w:p w14:paraId="36C8BB82" w14:textId="17DFE8FA" w:rsidR="00C96099" w:rsidRPr="00F63B98" w:rsidRDefault="00F63B98" w:rsidP="005018A5">
            <w:pPr>
              <w:pStyle w:val="K-TextInfo"/>
              <w:rPr>
                <w:i w:val="0"/>
                <w:iCs w:val="0"/>
              </w:rPr>
            </w:pPr>
            <w:r>
              <w:rPr>
                <w:i w:val="0"/>
                <w:iCs w:val="0"/>
                <w:color w:val="auto"/>
              </w:rPr>
              <w:t>1,3 mld. Kč</w:t>
            </w:r>
            <w:r w:rsidR="00C96099" w:rsidRPr="00F63B98">
              <w:rPr>
                <w:i w:val="0"/>
                <w:iCs w:val="0"/>
                <w:color w:val="auto"/>
              </w:rPr>
              <w:t xml:space="preserve"> </w:t>
            </w:r>
          </w:p>
        </w:tc>
      </w:tr>
      <w:tr w:rsidR="00C96099" w14:paraId="7B6F2909" w14:textId="77777777" w:rsidTr="13E60CBD">
        <w:tc>
          <w:tcPr>
            <w:tcW w:w="2405" w:type="dxa"/>
          </w:tcPr>
          <w:p w14:paraId="7E0786FB" w14:textId="77777777" w:rsidR="00C96099" w:rsidRPr="00852465" w:rsidRDefault="00C96099" w:rsidP="005018A5">
            <w:pPr>
              <w:pStyle w:val="K-Text"/>
              <w:jc w:val="left"/>
            </w:pPr>
            <w:r w:rsidRPr="00852465">
              <w:t>Dodržování pravidel státní podpory</w:t>
            </w:r>
          </w:p>
        </w:tc>
        <w:tc>
          <w:tcPr>
            <w:tcW w:w="7223" w:type="dxa"/>
          </w:tcPr>
          <w:p w14:paraId="01D24A0B" w14:textId="50F15841" w:rsidR="00C96099" w:rsidRPr="00F63B98" w:rsidRDefault="0087400F" w:rsidP="005018A5">
            <w:pPr>
              <w:pStyle w:val="K-TextInfo"/>
              <w:rPr>
                <w:i w:val="0"/>
                <w:iCs w:val="0"/>
              </w:rPr>
            </w:pPr>
            <w:r>
              <w:rPr>
                <w:i w:val="0"/>
                <w:iCs w:val="0"/>
                <w:color w:val="auto"/>
              </w:rPr>
              <w:t>Není relevantní</w:t>
            </w:r>
          </w:p>
        </w:tc>
      </w:tr>
      <w:tr w:rsidR="00C96099" w14:paraId="2EAB3354" w14:textId="77777777" w:rsidTr="13E60CBD">
        <w:tc>
          <w:tcPr>
            <w:tcW w:w="2405" w:type="dxa"/>
          </w:tcPr>
          <w:p w14:paraId="72864271" w14:textId="77777777" w:rsidR="00C96099" w:rsidRPr="00852465" w:rsidRDefault="00C96099" w:rsidP="005018A5">
            <w:pPr>
              <w:pStyle w:val="K-Text"/>
              <w:jc w:val="left"/>
            </w:pPr>
            <w:r>
              <w:t>Uveďte dobu implementace</w:t>
            </w:r>
          </w:p>
        </w:tc>
        <w:tc>
          <w:tcPr>
            <w:tcW w:w="7223" w:type="dxa"/>
          </w:tcPr>
          <w:p w14:paraId="54C2482B" w14:textId="7D460B28" w:rsidR="00F63B98" w:rsidRDefault="00F63B98" w:rsidP="005018A5">
            <w:pPr>
              <w:pStyle w:val="K-TextInfo"/>
              <w:rPr>
                <w:i w:val="0"/>
                <w:iCs w:val="0"/>
                <w:color w:val="auto"/>
              </w:rPr>
            </w:pPr>
            <w:r>
              <w:rPr>
                <w:i w:val="0"/>
                <w:iCs w:val="0"/>
                <w:color w:val="auto"/>
              </w:rPr>
              <w:t xml:space="preserve">Doba realizace: </w:t>
            </w:r>
            <w:r w:rsidR="00CF5B67">
              <w:rPr>
                <w:i w:val="0"/>
                <w:iCs w:val="0"/>
                <w:color w:val="auto"/>
              </w:rPr>
              <w:t>36 měsíců</w:t>
            </w:r>
          </w:p>
          <w:p w14:paraId="23AFE9DB" w14:textId="250AD033" w:rsidR="00C96099" w:rsidRPr="00F63B98" w:rsidRDefault="00F63B98" w:rsidP="005018A5">
            <w:pPr>
              <w:pStyle w:val="K-TextInfo"/>
              <w:rPr>
                <w:i w:val="0"/>
                <w:iCs w:val="0"/>
              </w:rPr>
            </w:pPr>
            <w:r w:rsidRPr="00F63B98">
              <w:rPr>
                <w:i w:val="0"/>
                <w:iCs w:val="0"/>
                <w:color w:val="auto"/>
              </w:rPr>
              <w:t>Dokončení: Q</w:t>
            </w:r>
            <w:r w:rsidR="00AE3458">
              <w:rPr>
                <w:i w:val="0"/>
                <w:iCs w:val="0"/>
                <w:color w:val="auto"/>
              </w:rPr>
              <w:t>2</w:t>
            </w:r>
            <w:r w:rsidRPr="00F63B98">
              <w:rPr>
                <w:i w:val="0"/>
                <w:iCs w:val="0"/>
                <w:color w:val="auto"/>
              </w:rPr>
              <w:t xml:space="preserve"> 2026</w:t>
            </w:r>
            <w:r w:rsidR="00C96099" w:rsidRPr="00F63B98">
              <w:rPr>
                <w:i w:val="0"/>
                <w:iCs w:val="0"/>
                <w:color w:val="auto"/>
              </w:rPr>
              <w:t xml:space="preserve"> </w:t>
            </w:r>
          </w:p>
        </w:tc>
      </w:tr>
    </w:tbl>
    <w:p w14:paraId="57CF0167" w14:textId="77777777" w:rsidR="000C0598" w:rsidRPr="00ED337B" w:rsidRDefault="000C0598" w:rsidP="006F1BEA">
      <w:pPr>
        <w:pStyle w:val="K-Text"/>
      </w:pPr>
    </w:p>
    <w:p w14:paraId="3B75BCF6" w14:textId="6A4AE58C" w:rsidR="002C20CF" w:rsidRDefault="002C20CF" w:rsidP="00154B73">
      <w:pPr>
        <w:pStyle w:val="K-Nadpis2"/>
      </w:pPr>
      <w:r w:rsidRPr="00ED337B">
        <w:t xml:space="preserve">4. </w:t>
      </w:r>
      <w:r w:rsidR="002D2B80" w:rsidRPr="00ED337B">
        <w:t>Zelené a digitální rozměry k</w:t>
      </w:r>
      <w:r w:rsidRPr="00ED337B">
        <w:t>omponent</w:t>
      </w:r>
      <w:r w:rsidR="002D2B80" w:rsidRPr="00ED337B">
        <w:t>y</w:t>
      </w:r>
      <w:r w:rsidRPr="00ED337B">
        <w:t xml:space="preserve"> </w:t>
      </w:r>
    </w:p>
    <w:p w14:paraId="433B2805" w14:textId="5AA64FB3" w:rsidR="004226AD" w:rsidRDefault="00097E6B" w:rsidP="00143076">
      <w:pPr>
        <w:pStyle w:val="K-Text"/>
      </w:pPr>
      <w:r>
        <w:t xml:space="preserve">Komponenta </w:t>
      </w:r>
      <w:r w:rsidR="00C933A5">
        <w:t>respektuje</w:t>
      </w:r>
      <w:r>
        <w:t xml:space="preserve"> nová pravidla pro udržitelné financování, resp., bude v souladu s nařízením EU o </w:t>
      </w:r>
      <w:r w:rsidR="00BB4D55">
        <w:t>taxonomii</w:t>
      </w:r>
      <w:r>
        <w:t xml:space="preserve">. Z šesti stanovených </w:t>
      </w:r>
      <w:r w:rsidR="007610C1">
        <w:t>klimatických</w:t>
      </w:r>
      <w:r>
        <w:t xml:space="preserve"> cílů komponenta bude naplňovat hned tři cíle: </w:t>
      </w:r>
      <w:r w:rsidR="004226AD" w:rsidRPr="004226AD">
        <w:t>zmírňování změny klimatu</w:t>
      </w:r>
      <w:r w:rsidR="004226AD">
        <w:t xml:space="preserve"> (</w:t>
      </w:r>
      <w:proofErr w:type="spellStart"/>
      <w:r w:rsidR="004226AD">
        <w:t>mitigace</w:t>
      </w:r>
      <w:proofErr w:type="spellEnd"/>
      <w:r w:rsidR="004226AD">
        <w:t xml:space="preserve">); </w:t>
      </w:r>
      <w:r w:rsidR="004226AD" w:rsidRPr="004226AD">
        <w:t>udržitelné využívání a ochrana vodních a mořských zdrojů</w:t>
      </w:r>
      <w:r w:rsidR="004226AD">
        <w:t xml:space="preserve">; </w:t>
      </w:r>
      <w:r w:rsidR="004226AD" w:rsidRPr="004226AD">
        <w:t>prevence a omezování znečištění</w:t>
      </w:r>
      <w:r w:rsidR="004226AD">
        <w:t xml:space="preserve">. </w:t>
      </w:r>
    </w:p>
    <w:p w14:paraId="47C44494" w14:textId="394C784C" w:rsidR="004226AD" w:rsidRDefault="004226AD" w:rsidP="00143076">
      <w:pPr>
        <w:pStyle w:val="K-Text"/>
      </w:pPr>
      <w:r>
        <w:t xml:space="preserve">V oblasti </w:t>
      </w:r>
      <w:proofErr w:type="spellStart"/>
      <w:r>
        <w:t>mitigace</w:t>
      </w:r>
      <w:proofErr w:type="spellEnd"/>
      <w:r>
        <w:t xml:space="preserve"> bude mít </w:t>
      </w:r>
      <w:r w:rsidR="00C933A5">
        <w:t xml:space="preserve">komponenta </w:t>
      </w:r>
      <w:r>
        <w:t>pozitivní dopad a přispěje k naplnění cíle stanoveného v Pařížské dohodě. Výstavba 4. depotního bloku</w:t>
      </w:r>
      <w:r w:rsidR="00C933A5">
        <w:t>, v němž bude uloženo hlavní úložiště IS NDA,</w:t>
      </w:r>
      <w:r>
        <w:t xml:space="preserve"> bude plně v souladu s národní a evropskou legislativou, dle směrnice Evropského parlamentu a Rady 2010/31/EU </w:t>
      </w:r>
      <w:r w:rsidR="008E5164">
        <w:t xml:space="preserve">a doporučení Komise (EU) 2016/1318 </w:t>
      </w:r>
      <w:r>
        <w:t>se bude jednat o budovu s téměř nulovou spotřebou energie</w:t>
      </w:r>
      <w:r w:rsidR="008E5164">
        <w:t xml:space="preserve">. Splnění jednotlivých požadavků se bude řídit vyhláškou č. 264/2020, </w:t>
      </w:r>
      <w:r w:rsidR="008E5164" w:rsidRPr="008E5164">
        <w:t>o energetické náročnosti budov</w:t>
      </w:r>
      <w:r w:rsidR="008E5164">
        <w:t xml:space="preserve">. </w:t>
      </w:r>
      <w:r w:rsidR="001C3945">
        <w:t xml:space="preserve">Komponenta přispěje k naplnění cíle EU v oblasti klimatu do roku 2030, neboť </w:t>
      </w:r>
      <w:r w:rsidR="00CF5B67">
        <w:t xml:space="preserve">bude </w:t>
      </w:r>
      <w:r w:rsidR="008E5164">
        <w:t>cílit na</w:t>
      </w:r>
      <w:r w:rsidR="00CF5B67">
        <w:t xml:space="preserve"> výstavu</w:t>
      </w:r>
      <w:r w:rsidR="008E5164">
        <w:t xml:space="preserve"> klimaticky neutrální</w:t>
      </w:r>
      <w:r w:rsidR="00CF5B67">
        <w:t>ho</w:t>
      </w:r>
      <w:r w:rsidR="008E5164">
        <w:t xml:space="preserve"> datové</w:t>
      </w:r>
      <w:r w:rsidR="00CF5B67">
        <w:t>ho</w:t>
      </w:r>
      <w:r w:rsidR="008E5164">
        <w:t xml:space="preserve"> centr</w:t>
      </w:r>
      <w:r w:rsidR="00CF5B67">
        <w:t>a</w:t>
      </w:r>
      <w:r w:rsidR="008E5164">
        <w:t>.</w:t>
      </w:r>
    </w:p>
    <w:p w14:paraId="2F125F8A" w14:textId="45AFC62A" w:rsidR="00440CDC" w:rsidRDefault="00440CDC" w:rsidP="00143076">
      <w:pPr>
        <w:pStyle w:val="K-Text"/>
      </w:pPr>
      <w:r>
        <w:t>Dále bude</w:t>
      </w:r>
      <w:r w:rsidR="00CF5B67">
        <w:t xml:space="preserve"> </w:t>
      </w:r>
      <w:r w:rsidR="00C933A5">
        <w:t xml:space="preserve">komponenta </w:t>
      </w:r>
      <w:r w:rsidR="00CF5B67">
        <w:t>naplňovat</w:t>
      </w:r>
      <w:r>
        <w:t xml:space="preserve"> dle</w:t>
      </w:r>
      <w:r w:rsidR="008E5164">
        <w:t xml:space="preserve"> technické přílo</w:t>
      </w:r>
      <w:r>
        <w:t>hy</w:t>
      </w:r>
      <w:r w:rsidR="008E5164">
        <w:t xml:space="preserve"> k nařízení o </w:t>
      </w:r>
      <w:r w:rsidR="00BB4D55">
        <w:t>taxonomii</w:t>
      </w:r>
      <w:r w:rsidR="00CF5B67">
        <w:t xml:space="preserve"> </w:t>
      </w:r>
      <w:r w:rsidR="008E5164">
        <w:t xml:space="preserve">v oblasti udržitelného využívání a ochrany vodních a mořských zdrojů požadavek na udržitelné </w:t>
      </w:r>
      <w:r>
        <w:t xml:space="preserve">využívání vody. Všechny relevantní vodní aplikace umístěné v budově se budou nacházet v horních dvou třídách spotřeby dle energetického štítku EU. </w:t>
      </w:r>
    </w:p>
    <w:p w14:paraId="1FDC70A6" w14:textId="56829603" w:rsidR="004226AD" w:rsidRDefault="00440CDC" w:rsidP="00143076">
      <w:pPr>
        <w:pStyle w:val="K-Text"/>
      </w:pPr>
      <w:r>
        <w:t>V oblasti prevence a omezování znečištění nebude docházet ke znečištění, naopak v kontextu Pařížské dohody dojde k efektivnímu využití obnovitelných zdrojů</w:t>
      </w:r>
      <w:r w:rsidR="001C3945">
        <w:t xml:space="preserve">. V budově bude využíváno odpadní teplo k přípravě horké vody či temperování budovy. </w:t>
      </w:r>
      <w:r w:rsidR="00CF5B67">
        <w:t>Rovněž</w:t>
      </w:r>
      <w:r w:rsidR="001C3945">
        <w:t xml:space="preserve"> je plánováno využití r</w:t>
      </w:r>
      <w:r w:rsidR="001C3945" w:rsidRPr="001C3945">
        <w:t xml:space="preserve">ekuperace v kombinaci s </w:t>
      </w:r>
      <w:proofErr w:type="spellStart"/>
      <w:r w:rsidR="001C3945" w:rsidRPr="001C3945">
        <w:t>fotovoltaikou</w:t>
      </w:r>
      <w:proofErr w:type="spellEnd"/>
      <w:r w:rsidR="001C3945" w:rsidRPr="001C3945">
        <w:t>.</w:t>
      </w:r>
    </w:p>
    <w:p w14:paraId="5AA6DC3B" w14:textId="4BB5E728" w:rsidR="005119E2" w:rsidRPr="00F87D69" w:rsidRDefault="00CF5B67" w:rsidP="00F87D69">
      <w:pPr>
        <w:pStyle w:val="K-Text"/>
      </w:pPr>
      <w:r>
        <w:t>V rámci</w:t>
      </w:r>
      <w:r w:rsidR="001C3945">
        <w:t xml:space="preserve"> komponenty</w:t>
      </w:r>
      <w:r w:rsidR="00C933A5">
        <w:t xml:space="preserve"> budou zajištěny optimální technologické a bezpečnostní podmínky</w:t>
      </w:r>
      <w:r w:rsidR="001C3945">
        <w:t xml:space="preserve"> pro umístění hlavního úložiště </w:t>
      </w:r>
      <w:r w:rsidR="00C933A5">
        <w:t xml:space="preserve">IS NDA. Z </w:t>
      </w:r>
      <w:r w:rsidR="006E6FB4">
        <w:t xml:space="preserve">hlediska </w:t>
      </w:r>
      <w:r w:rsidR="006E6FB4" w:rsidRPr="006E6FB4">
        <w:t>Indexu digitální ekonomiky a společnosti (DESI)</w:t>
      </w:r>
      <w:r w:rsidR="006E6FB4">
        <w:t xml:space="preserve"> komponenta přispěje k posílení digitální konektivity a integraci digitálních technologií.</w:t>
      </w:r>
      <w:r w:rsidR="00BB4D55">
        <w:t xml:space="preserve"> V oblasti digitalizace bude v rámci </w:t>
      </w:r>
      <w:r>
        <w:t>komponenty</w:t>
      </w:r>
      <w:r w:rsidR="00BB4D55">
        <w:t xml:space="preserve"> provedena technologická obměna </w:t>
      </w:r>
      <w:r w:rsidR="005B32BF">
        <w:t>IS</w:t>
      </w:r>
      <w:r w:rsidR="00BB4D55">
        <w:t xml:space="preserve"> NDA, kdy bude mimo jiné pořízen specializovaný software pro dlouhodobou archivaci, který nahradí stávající IS NDA</w:t>
      </w:r>
      <w:r>
        <w:t>.</w:t>
      </w:r>
      <w:bookmarkStart w:id="3" w:name="_GoBack"/>
      <w:bookmarkEnd w:id="3"/>
      <w:r w:rsidR="00095EBD" w:rsidRPr="00ED337B">
        <w:rPr>
          <w:b/>
          <w:bCs/>
        </w:rPr>
        <w:t xml:space="preserve"> </w:t>
      </w:r>
    </w:p>
    <w:sectPr w:rsidR="005119E2" w:rsidRPr="00F87D69" w:rsidSect="00CC5E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909CE" w14:textId="77777777" w:rsidR="00C851E7" w:rsidRDefault="00C851E7" w:rsidP="00677FE0">
      <w:pPr>
        <w:spacing w:after="0" w:line="240" w:lineRule="auto"/>
      </w:pPr>
      <w:r>
        <w:separator/>
      </w:r>
    </w:p>
  </w:endnote>
  <w:endnote w:type="continuationSeparator" w:id="0">
    <w:p w14:paraId="1E82ACB2" w14:textId="77777777" w:rsidR="00C851E7" w:rsidRDefault="00C851E7"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7291E" w14:textId="77777777" w:rsidR="00C851E7" w:rsidRDefault="00C851E7" w:rsidP="00677FE0">
      <w:pPr>
        <w:spacing w:after="0" w:line="240" w:lineRule="auto"/>
      </w:pPr>
      <w:r>
        <w:separator/>
      </w:r>
    </w:p>
  </w:footnote>
  <w:footnote w:type="continuationSeparator" w:id="0">
    <w:p w14:paraId="79318235" w14:textId="77777777" w:rsidR="00C851E7" w:rsidRDefault="00C851E7" w:rsidP="00677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316F8"/>
    <w:multiLevelType w:val="hybridMultilevel"/>
    <w:tmpl w:val="3320A8B2"/>
    <w:numStyleLink w:val="VariantaB-odrky"/>
  </w:abstractNum>
  <w:abstractNum w:abstractNumId="3" w15:restartNumberingAfterBreak="0">
    <w:nsid w:val="1615572B"/>
    <w:multiLevelType w:val="hybridMultilevel"/>
    <w:tmpl w:val="3320A8B2"/>
    <w:styleLink w:val="VariantaB-odrky"/>
    <w:lvl w:ilvl="0" w:tplc="8E922004">
      <w:start w:val="1"/>
      <w:numFmt w:val="bullet"/>
      <w:pStyle w:val="SeznamsodrkamiB"/>
      <w:lvlText w:val="—"/>
      <w:lvlJc w:val="left"/>
      <w:pPr>
        <w:ind w:left="357" w:hanging="357"/>
      </w:pPr>
      <w:rPr>
        <w:rFonts w:ascii="Calibri" w:hAnsi="Calibri" w:hint="default"/>
        <w:sz w:val="16"/>
      </w:rPr>
    </w:lvl>
    <w:lvl w:ilvl="1" w:tplc="AC9C6F28">
      <w:start w:val="1"/>
      <w:numFmt w:val="bullet"/>
      <w:pStyle w:val="SeznamsodrkamiB2"/>
      <w:lvlText w:val=""/>
      <w:lvlJc w:val="left"/>
      <w:pPr>
        <w:ind w:left="714" w:hanging="357"/>
      </w:pPr>
      <w:rPr>
        <w:rFonts w:ascii="Wingdings" w:hAnsi="Wingdings" w:hint="default"/>
        <w:sz w:val="14"/>
      </w:rPr>
    </w:lvl>
    <w:lvl w:ilvl="2" w:tplc="AE76954E">
      <w:start w:val="1"/>
      <w:numFmt w:val="bullet"/>
      <w:pStyle w:val="SeznamsodrkamiB3"/>
      <w:lvlText w:val=""/>
      <w:lvlJc w:val="left"/>
      <w:pPr>
        <w:ind w:left="1071" w:hanging="357"/>
      </w:pPr>
      <w:rPr>
        <w:rFonts w:ascii="Wingdings 2" w:hAnsi="Wingdings 2" w:hint="default"/>
      </w:rPr>
    </w:lvl>
    <w:lvl w:ilvl="3" w:tplc="5726CC78">
      <w:start w:val="1"/>
      <w:numFmt w:val="bullet"/>
      <w:pStyle w:val="SeznamsodrkamiB4"/>
      <w:lvlText w:val=""/>
      <w:lvlJc w:val="left"/>
      <w:pPr>
        <w:ind w:left="1428" w:hanging="357"/>
      </w:pPr>
      <w:rPr>
        <w:rFonts w:ascii="Wingdings 2" w:hAnsi="Wingdings 2" w:hint="default"/>
      </w:rPr>
    </w:lvl>
    <w:lvl w:ilvl="4" w:tplc="D4287B14">
      <w:start w:val="1"/>
      <w:numFmt w:val="bullet"/>
      <w:pStyle w:val="SeznamsodrkamiB5"/>
      <w:lvlText w:val=""/>
      <w:lvlJc w:val="left"/>
      <w:pPr>
        <w:ind w:left="1785" w:hanging="357"/>
      </w:pPr>
      <w:rPr>
        <w:rFonts w:ascii="Wingdings 2" w:hAnsi="Wingdings 2" w:hint="default"/>
      </w:rPr>
    </w:lvl>
    <w:lvl w:ilvl="5" w:tplc="2878DF56">
      <w:start w:val="1"/>
      <w:numFmt w:val="bullet"/>
      <w:lvlText w:val=""/>
      <w:lvlJc w:val="left"/>
      <w:pPr>
        <w:ind w:left="2142" w:hanging="357"/>
      </w:pPr>
      <w:rPr>
        <w:rFonts w:ascii="Wingdings 2" w:hAnsi="Wingdings 2" w:cs="Times New Roman" w:hint="default"/>
      </w:rPr>
    </w:lvl>
    <w:lvl w:ilvl="6" w:tplc="609CC214">
      <w:start w:val="1"/>
      <w:numFmt w:val="bullet"/>
      <w:lvlText w:val=""/>
      <w:lvlJc w:val="left"/>
      <w:pPr>
        <w:ind w:left="2499" w:hanging="357"/>
      </w:pPr>
      <w:rPr>
        <w:rFonts w:ascii="Wingdings 2" w:hAnsi="Wingdings 2" w:cs="Times New Roman" w:hint="default"/>
      </w:rPr>
    </w:lvl>
    <w:lvl w:ilvl="7" w:tplc="26061660">
      <w:start w:val="1"/>
      <w:numFmt w:val="bullet"/>
      <w:lvlText w:val=""/>
      <w:lvlJc w:val="left"/>
      <w:pPr>
        <w:ind w:left="2856" w:hanging="357"/>
      </w:pPr>
      <w:rPr>
        <w:rFonts w:ascii="Wingdings 2" w:hAnsi="Wingdings 2" w:cs="Times New Roman" w:hint="default"/>
      </w:rPr>
    </w:lvl>
    <w:lvl w:ilvl="8" w:tplc="B038C614">
      <w:start w:val="1"/>
      <w:numFmt w:val="bullet"/>
      <w:lvlText w:val=""/>
      <w:lvlJc w:val="left"/>
      <w:pPr>
        <w:ind w:left="3213" w:hanging="357"/>
      </w:pPr>
      <w:rPr>
        <w:rFonts w:ascii="Wingdings 2" w:hAnsi="Wingdings 2" w:cs="Times New Roman" w:hint="default"/>
      </w:rPr>
    </w:lvl>
  </w:abstractNum>
  <w:abstractNum w:abstractNumId="4" w15:restartNumberingAfterBreak="0">
    <w:nsid w:val="191872DA"/>
    <w:multiLevelType w:val="multilevel"/>
    <w:tmpl w:val="E8A48D7C"/>
    <w:numStyleLink w:val="VariantaA-sla"/>
  </w:abstractNum>
  <w:abstractNum w:abstractNumId="5"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9A5EA2"/>
    <w:multiLevelType w:val="multilevel"/>
    <w:tmpl w:val="E8BAE50A"/>
    <w:numStyleLink w:val="VariantaA-odrky"/>
  </w:abstractNum>
  <w:abstractNum w:abstractNumId="9"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034454"/>
    <w:multiLevelType w:val="hybridMultilevel"/>
    <w:tmpl w:val="2006DEB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141021"/>
    <w:multiLevelType w:val="hybridMultilevel"/>
    <w:tmpl w:val="39504116"/>
    <w:lvl w:ilvl="0" w:tplc="E9CE3EA4">
      <w:start w:val="1"/>
      <w:numFmt w:val="bullet"/>
      <w:lvlText w:val=""/>
      <w:lvlJc w:val="left"/>
      <w:pPr>
        <w:ind w:left="720" w:hanging="360"/>
      </w:pPr>
      <w:rPr>
        <w:rFonts w:ascii="Symbol" w:hAnsi="Symbol" w:hint="default"/>
      </w:rPr>
    </w:lvl>
    <w:lvl w:ilvl="1" w:tplc="E9CE3EA4">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89775E"/>
    <w:multiLevelType w:val="hybridMultilevel"/>
    <w:tmpl w:val="0D8ABE32"/>
    <w:styleLink w:val="VariantaB-sla"/>
    <w:lvl w:ilvl="0" w:tplc="2484511E">
      <w:start w:val="1"/>
      <w:numFmt w:val="decimal"/>
      <w:pStyle w:val="slovanseznamB"/>
      <w:lvlText w:val="%1)"/>
      <w:lvlJc w:val="left"/>
      <w:pPr>
        <w:ind w:left="360" w:hanging="360"/>
      </w:pPr>
      <w:rPr>
        <w:rFonts w:hint="default"/>
      </w:rPr>
    </w:lvl>
    <w:lvl w:ilvl="1" w:tplc="72BE4DDA">
      <w:start w:val="1"/>
      <w:numFmt w:val="lowerLetter"/>
      <w:pStyle w:val="slovanseznamB2"/>
      <w:lvlText w:val="%2)"/>
      <w:lvlJc w:val="left"/>
      <w:pPr>
        <w:ind w:left="720" w:hanging="360"/>
      </w:pPr>
      <w:rPr>
        <w:rFonts w:hint="default"/>
      </w:rPr>
    </w:lvl>
    <w:lvl w:ilvl="2" w:tplc="01D00060">
      <w:start w:val="1"/>
      <w:numFmt w:val="lowerRoman"/>
      <w:pStyle w:val="slovanseznamB3"/>
      <w:lvlText w:val="%3)"/>
      <w:lvlJc w:val="left"/>
      <w:pPr>
        <w:ind w:left="1080" w:hanging="360"/>
      </w:pPr>
      <w:rPr>
        <w:rFonts w:hint="default"/>
      </w:rPr>
    </w:lvl>
    <w:lvl w:ilvl="3" w:tplc="9CD6318E">
      <w:start w:val="1"/>
      <w:numFmt w:val="decimal"/>
      <w:pStyle w:val="slovanseznamB4"/>
      <w:lvlText w:val="(%4)"/>
      <w:lvlJc w:val="left"/>
      <w:pPr>
        <w:ind w:left="1440" w:hanging="360"/>
      </w:pPr>
      <w:rPr>
        <w:rFonts w:hint="default"/>
      </w:rPr>
    </w:lvl>
    <w:lvl w:ilvl="4" w:tplc="67ACAF22">
      <w:start w:val="1"/>
      <w:numFmt w:val="lowerLetter"/>
      <w:pStyle w:val="slovanseznamB5"/>
      <w:lvlText w:val="(%5)"/>
      <w:lvlJc w:val="left"/>
      <w:pPr>
        <w:ind w:left="1800" w:hanging="360"/>
      </w:pPr>
      <w:rPr>
        <w:rFonts w:hint="default"/>
      </w:rPr>
    </w:lvl>
    <w:lvl w:ilvl="5" w:tplc="3C6A1698">
      <w:start w:val="1"/>
      <w:numFmt w:val="lowerRoman"/>
      <w:lvlText w:val="(%6)"/>
      <w:lvlJc w:val="left"/>
      <w:pPr>
        <w:ind w:left="2160" w:hanging="360"/>
      </w:pPr>
      <w:rPr>
        <w:rFonts w:hint="default"/>
      </w:rPr>
    </w:lvl>
    <w:lvl w:ilvl="6" w:tplc="02FE0214">
      <w:start w:val="1"/>
      <w:numFmt w:val="decimal"/>
      <w:lvlText w:val="%7."/>
      <w:lvlJc w:val="left"/>
      <w:pPr>
        <w:ind w:left="2520" w:hanging="360"/>
      </w:pPr>
      <w:rPr>
        <w:rFonts w:hint="default"/>
      </w:rPr>
    </w:lvl>
    <w:lvl w:ilvl="7" w:tplc="2A9AA03E">
      <w:start w:val="1"/>
      <w:numFmt w:val="lowerLetter"/>
      <w:lvlText w:val="%8."/>
      <w:lvlJc w:val="left"/>
      <w:pPr>
        <w:ind w:left="2880" w:hanging="360"/>
      </w:pPr>
      <w:rPr>
        <w:rFonts w:hint="default"/>
      </w:rPr>
    </w:lvl>
    <w:lvl w:ilvl="8" w:tplc="19FC2DEA">
      <w:start w:val="1"/>
      <w:numFmt w:val="lowerRoman"/>
      <w:lvlText w:val="%9."/>
      <w:lvlJc w:val="left"/>
      <w:pPr>
        <w:ind w:left="3240" w:hanging="360"/>
      </w:pPr>
      <w:rPr>
        <w:rFonts w:hint="default"/>
      </w:rPr>
    </w:lvl>
  </w:abstractNum>
  <w:abstractNum w:abstractNumId="16"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AE3501"/>
    <w:multiLevelType w:val="hybridMultilevel"/>
    <w:tmpl w:val="B1266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2" w15:restartNumberingAfterBreak="0">
    <w:nsid w:val="5AF35F43"/>
    <w:multiLevelType w:val="hybridMultilevel"/>
    <w:tmpl w:val="0D8ABE32"/>
    <w:numStyleLink w:val="VariantaB-sla"/>
  </w:abstractNum>
  <w:abstractNum w:abstractNumId="23" w15:restartNumberingAfterBreak="0">
    <w:nsid w:val="612D3EE7"/>
    <w:multiLevelType w:val="hybridMultilevel"/>
    <w:tmpl w:val="C59A4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6EE1436"/>
    <w:multiLevelType w:val="hybridMultilevel"/>
    <w:tmpl w:val="DB0E2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5"/>
  </w:num>
  <w:num w:numId="4">
    <w:abstractNumId w:val="0"/>
  </w:num>
  <w:num w:numId="5">
    <w:abstractNumId w:val="22"/>
  </w:num>
  <w:num w:numId="6">
    <w:abstractNumId w:val="8"/>
  </w:num>
  <w:num w:numId="7">
    <w:abstractNumId w:val="4"/>
  </w:num>
  <w:num w:numId="8">
    <w:abstractNumId w:val="2"/>
  </w:num>
  <w:num w:numId="9">
    <w:abstractNumId w:val="16"/>
  </w:num>
  <w:num w:numId="10">
    <w:abstractNumId w:val="11"/>
  </w:num>
  <w:num w:numId="11">
    <w:abstractNumId w:val="6"/>
  </w:num>
  <w:num w:numId="12">
    <w:abstractNumId w:val="24"/>
  </w:num>
  <w:num w:numId="13">
    <w:abstractNumId w:val="18"/>
  </w:num>
  <w:num w:numId="14">
    <w:abstractNumId w:val="25"/>
  </w:num>
  <w:num w:numId="15">
    <w:abstractNumId w:val="27"/>
  </w:num>
  <w:num w:numId="16">
    <w:abstractNumId w:val="17"/>
  </w:num>
  <w:num w:numId="17">
    <w:abstractNumId w:val="1"/>
  </w:num>
  <w:num w:numId="18">
    <w:abstractNumId w:val="5"/>
  </w:num>
  <w:num w:numId="19">
    <w:abstractNumId w:val="9"/>
  </w:num>
  <w:num w:numId="20">
    <w:abstractNumId w:val="20"/>
  </w:num>
  <w:num w:numId="21">
    <w:abstractNumId w:val="7"/>
  </w:num>
  <w:num w:numId="22">
    <w:abstractNumId w:val="10"/>
  </w:num>
  <w:num w:numId="23">
    <w:abstractNumId w:val="13"/>
  </w:num>
  <w:num w:numId="24">
    <w:abstractNumId w:val="19"/>
  </w:num>
  <w:num w:numId="25">
    <w:abstractNumId w:val="12"/>
  </w:num>
  <w:num w:numId="26">
    <w:abstractNumId w:val="23"/>
  </w:num>
  <w:num w:numId="27">
    <w:abstractNumId w:val="14"/>
  </w:num>
  <w:num w:numId="2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CF"/>
    <w:rsid w:val="000003BB"/>
    <w:rsid w:val="00012967"/>
    <w:rsid w:val="00015306"/>
    <w:rsid w:val="00022FD0"/>
    <w:rsid w:val="0002674B"/>
    <w:rsid w:val="00030685"/>
    <w:rsid w:val="000317AE"/>
    <w:rsid w:val="0004162E"/>
    <w:rsid w:val="000424AF"/>
    <w:rsid w:val="00042913"/>
    <w:rsid w:val="0004786B"/>
    <w:rsid w:val="0005626E"/>
    <w:rsid w:val="00063405"/>
    <w:rsid w:val="00070134"/>
    <w:rsid w:val="00071CA1"/>
    <w:rsid w:val="000809B9"/>
    <w:rsid w:val="00081843"/>
    <w:rsid w:val="00083DF4"/>
    <w:rsid w:val="00090B40"/>
    <w:rsid w:val="00095A0A"/>
    <w:rsid w:val="00095EBD"/>
    <w:rsid w:val="00097E6B"/>
    <w:rsid w:val="000A1F3B"/>
    <w:rsid w:val="000B1B3D"/>
    <w:rsid w:val="000B77DA"/>
    <w:rsid w:val="000C0598"/>
    <w:rsid w:val="000C4CAF"/>
    <w:rsid w:val="000C620B"/>
    <w:rsid w:val="000D4682"/>
    <w:rsid w:val="000D652B"/>
    <w:rsid w:val="000D7B36"/>
    <w:rsid w:val="000E2207"/>
    <w:rsid w:val="00121485"/>
    <w:rsid w:val="001268B0"/>
    <w:rsid w:val="00143076"/>
    <w:rsid w:val="001447E9"/>
    <w:rsid w:val="0015052B"/>
    <w:rsid w:val="00154B73"/>
    <w:rsid w:val="0016110B"/>
    <w:rsid w:val="001745AA"/>
    <w:rsid w:val="0018051B"/>
    <w:rsid w:val="001A3EE2"/>
    <w:rsid w:val="001A7090"/>
    <w:rsid w:val="001B1E4A"/>
    <w:rsid w:val="001B58AA"/>
    <w:rsid w:val="001C3945"/>
    <w:rsid w:val="001C4DFD"/>
    <w:rsid w:val="001D27C0"/>
    <w:rsid w:val="001E713E"/>
    <w:rsid w:val="001E74C3"/>
    <w:rsid w:val="001F6937"/>
    <w:rsid w:val="00207AAB"/>
    <w:rsid w:val="00207FC3"/>
    <w:rsid w:val="00220DE3"/>
    <w:rsid w:val="002424D3"/>
    <w:rsid w:val="00242F75"/>
    <w:rsid w:val="0025290D"/>
    <w:rsid w:val="00260372"/>
    <w:rsid w:val="00262DAF"/>
    <w:rsid w:val="002649E3"/>
    <w:rsid w:val="00285AED"/>
    <w:rsid w:val="002904B1"/>
    <w:rsid w:val="002C20CF"/>
    <w:rsid w:val="002C252C"/>
    <w:rsid w:val="002C4FCC"/>
    <w:rsid w:val="002D2B80"/>
    <w:rsid w:val="002E19BA"/>
    <w:rsid w:val="002E2442"/>
    <w:rsid w:val="002E6515"/>
    <w:rsid w:val="002F0E8C"/>
    <w:rsid w:val="00301FC6"/>
    <w:rsid w:val="00304970"/>
    <w:rsid w:val="00310FA0"/>
    <w:rsid w:val="00320481"/>
    <w:rsid w:val="00323FA3"/>
    <w:rsid w:val="003250CB"/>
    <w:rsid w:val="00332BD1"/>
    <w:rsid w:val="00333A9E"/>
    <w:rsid w:val="00340BD0"/>
    <w:rsid w:val="00351CAF"/>
    <w:rsid w:val="00363201"/>
    <w:rsid w:val="0039063C"/>
    <w:rsid w:val="003979F8"/>
    <w:rsid w:val="003A46A8"/>
    <w:rsid w:val="003A51AA"/>
    <w:rsid w:val="003B0E92"/>
    <w:rsid w:val="003B565A"/>
    <w:rsid w:val="003C13FA"/>
    <w:rsid w:val="003C4290"/>
    <w:rsid w:val="003D00A1"/>
    <w:rsid w:val="003D3067"/>
    <w:rsid w:val="003E7BBF"/>
    <w:rsid w:val="003F7913"/>
    <w:rsid w:val="00400D1A"/>
    <w:rsid w:val="0041213E"/>
    <w:rsid w:val="0041427F"/>
    <w:rsid w:val="004226AD"/>
    <w:rsid w:val="00440CDC"/>
    <w:rsid w:val="004509E5"/>
    <w:rsid w:val="00477FB6"/>
    <w:rsid w:val="00486FB9"/>
    <w:rsid w:val="00493245"/>
    <w:rsid w:val="004A7B75"/>
    <w:rsid w:val="004B73C6"/>
    <w:rsid w:val="004C212A"/>
    <w:rsid w:val="004C5B86"/>
    <w:rsid w:val="004E36D6"/>
    <w:rsid w:val="004E6019"/>
    <w:rsid w:val="00500232"/>
    <w:rsid w:val="005015C4"/>
    <w:rsid w:val="00504668"/>
    <w:rsid w:val="00504DF6"/>
    <w:rsid w:val="005119E2"/>
    <w:rsid w:val="00536992"/>
    <w:rsid w:val="005455E1"/>
    <w:rsid w:val="005502BD"/>
    <w:rsid w:val="00556787"/>
    <w:rsid w:val="005654FB"/>
    <w:rsid w:val="00571154"/>
    <w:rsid w:val="005718E3"/>
    <w:rsid w:val="00582276"/>
    <w:rsid w:val="00586036"/>
    <w:rsid w:val="005A2E68"/>
    <w:rsid w:val="005B0632"/>
    <w:rsid w:val="005B32BF"/>
    <w:rsid w:val="005B3F5C"/>
    <w:rsid w:val="005C0523"/>
    <w:rsid w:val="005C2560"/>
    <w:rsid w:val="005C4AD7"/>
    <w:rsid w:val="005D1A33"/>
    <w:rsid w:val="005E0102"/>
    <w:rsid w:val="005F7585"/>
    <w:rsid w:val="00603DA9"/>
    <w:rsid w:val="00605759"/>
    <w:rsid w:val="00612496"/>
    <w:rsid w:val="00623AC5"/>
    <w:rsid w:val="0064174C"/>
    <w:rsid w:val="00650C6C"/>
    <w:rsid w:val="00652FE6"/>
    <w:rsid w:val="00660826"/>
    <w:rsid w:val="00667898"/>
    <w:rsid w:val="00677FE0"/>
    <w:rsid w:val="006953C3"/>
    <w:rsid w:val="006B6764"/>
    <w:rsid w:val="006B6FBA"/>
    <w:rsid w:val="006C30EB"/>
    <w:rsid w:val="006D04EF"/>
    <w:rsid w:val="006E0EF7"/>
    <w:rsid w:val="006E2FB0"/>
    <w:rsid w:val="006E6FB4"/>
    <w:rsid w:val="006F1BEA"/>
    <w:rsid w:val="006F36F0"/>
    <w:rsid w:val="006F37D2"/>
    <w:rsid w:val="006F3EB7"/>
    <w:rsid w:val="007057F6"/>
    <w:rsid w:val="007102D2"/>
    <w:rsid w:val="007111B2"/>
    <w:rsid w:val="00712D72"/>
    <w:rsid w:val="00713948"/>
    <w:rsid w:val="00724BEB"/>
    <w:rsid w:val="0072734C"/>
    <w:rsid w:val="007330B7"/>
    <w:rsid w:val="00740B8D"/>
    <w:rsid w:val="00741CFD"/>
    <w:rsid w:val="00751051"/>
    <w:rsid w:val="00753A27"/>
    <w:rsid w:val="007610C1"/>
    <w:rsid w:val="00766847"/>
    <w:rsid w:val="007834E3"/>
    <w:rsid w:val="0079342A"/>
    <w:rsid w:val="007A1B4D"/>
    <w:rsid w:val="007A2737"/>
    <w:rsid w:val="007B01EA"/>
    <w:rsid w:val="007B4949"/>
    <w:rsid w:val="007C0788"/>
    <w:rsid w:val="007C6A25"/>
    <w:rsid w:val="007D08E2"/>
    <w:rsid w:val="007E55C0"/>
    <w:rsid w:val="007E55EB"/>
    <w:rsid w:val="007F08FE"/>
    <w:rsid w:val="007F0BC6"/>
    <w:rsid w:val="00804620"/>
    <w:rsid w:val="00805D94"/>
    <w:rsid w:val="008249A5"/>
    <w:rsid w:val="00831374"/>
    <w:rsid w:val="008409C5"/>
    <w:rsid w:val="00852465"/>
    <w:rsid w:val="00857580"/>
    <w:rsid w:val="008636E4"/>
    <w:rsid w:val="00865238"/>
    <w:rsid w:val="0086544C"/>
    <w:rsid w:val="00866685"/>
    <w:rsid w:val="008667BF"/>
    <w:rsid w:val="0087400F"/>
    <w:rsid w:val="00884BE4"/>
    <w:rsid w:val="00887B60"/>
    <w:rsid w:val="00895645"/>
    <w:rsid w:val="008A4A5C"/>
    <w:rsid w:val="008A73EF"/>
    <w:rsid w:val="008A7851"/>
    <w:rsid w:val="008C3782"/>
    <w:rsid w:val="008D4A32"/>
    <w:rsid w:val="008D593A"/>
    <w:rsid w:val="008D5B0D"/>
    <w:rsid w:val="008E5164"/>
    <w:rsid w:val="008E7760"/>
    <w:rsid w:val="008F5BA5"/>
    <w:rsid w:val="00913D8D"/>
    <w:rsid w:val="0091766D"/>
    <w:rsid w:val="00922001"/>
    <w:rsid w:val="00922C17"/>
    <w:rsid w:val="00924715"/>
    <w:rsid w:val="009325EA"/>
    <w:rsid w:val="00941EE9"/>
    <w:rsid w:val="00942DDD"/>
    <w:rsid w:val="009516A8"/>
    <w:rsid w:val="00966A9C"/>
    <w:rsid w:val="0097705C"/>
    <w:rsid w:val="0099184D"/>
    <w:rsid w:val="00993C5D"/>
    <w:rsid w:val="00993CCB"/>
    <w:rsid w:val="00996DF6"/>
    <w:rsid w:val="009A0B6E"/>
    <w:rsid w:val="009B503A"/>
    <w:rsid w:val="009C04D3"/>
    <w:rsid w:val="009D36E5"/>
    <w:rsid w:val="009F393D"/>
    <w:rsid w:val="009F7F46"/>
    <w:rsid w:val="00A000BF"/>
    <w:rsid w:val="00A0587E"/>
    <w:rsid w:val="00A24C1F"/>
    <w:rsid w:val="00A24E7D"/>
    <w:rsid w:val="00A275BC"/>
    <w:rsid w:val="00A356B5"/>
    <w:rsid w:val="00A464B4"/>
    <w:rsid w:val="00A52300"/>
    <w:rsid w:val="00A63D6B"/>
    <w:rsid w:val="00A84B52"/>
    <w:rsid w:val="00A8660F"/>
    <w:rsid w:val="00A87B13"/>
    <w:rsid w:val="00A95C48"/>
    <w:rsid w:val="00AA1B3F"/>
    <w:rsid w:val="00AA2F77"/>
    <w:rsid w:val="00AA3F0E"/>
    <w:rsid w:val="00AA7056"/>
    <w:rsid w:val="00AB31C6"/>
    <w:rsid w:val="00AB523B"/>
    <w:rsid w:val="00AD7E40"/>
    <w:rsid w:val="00AE3458"/>
    <w:rsid w:val="00AE47B2"/>
    <w:rsid w:val="00AF2980"/>
    <w:rsid w:val="00AF3391"/>
    <w:rsid w:val="00AF3BAB"/>
    <w:rsid w:val="00B03616"/>
    <w:rsid w:val="00B1114A"/>
    <w:rsid w:val="00B1477A"/>
    <w:rsid w:val="00B1729A"/>
    <w:rsid w:val="00B20993"/>
    <w:rsid w:val="00B273B1"/>
    <w:rsid w:val="00B31350"/>
    <w:rsid w:val="00B33950"/>
    <w:rsid w:val="00B42E96"/>
    <w:rsid w:val="00B50EE6"/>
    <w:rsid w:val="00B51C56"/>
    <w:rsid w:val="00B52185"/>
    <w:rsid w:val="00B54DC0"/>
    <w:rsid w:val="00B94A2A"/>
    <w:rsid w:val="00B9753A"/>
    <w:rsid w:val="00BB479C"/>
    <w:rsid w:val="00BB4D55"/>
    <w:rsid w:val="00BC4720"/>
    <w:rsid w:val="00BD0B80"/>
    <w:rsid w:val="00BD75A2"/>
    <w:rsid w:val="00BE17C8"/>
    <w:rsid w:val="00BF5AB4"/>
    <w:rsid w:val="00C0462D"/>
    <w:rsid w:val="00C0523E"/>
    <w:rsid w:val="00C2017A"/>
    <w:rsid w:val="00C2026B"/>
    <w:rsid w:val="00C20470"/>
    <w:rsid w:val="00C21D9C"/>
    <w:rsid w:val="00C232EC"/>
    <w:rsid w:val="00C279E4"/>
    <w:rsid w:val="00C34B2F"/>
    <w:rsid w:val="00C452C2"/>
    <w:rsid w:val="00C4641B"/>
    <w:rsid w:val="00C54FC7"/>
    <w:rsid w:val="00C56E83"/>
    <w:rsid w:val="00C6690E"/>
    <w:rsid w:val="00C703C5"/>
    <w:rsid w:val="00C805F2"/>
    <w:rsid w:val="00C84F4A"/>
    <w:rsid w:val="00C851E7"/>
    <w:rsid w:val="00C925FB"/>
    <w:rsid w:val="00C933A5"/>
    <w:rsid w:val="00C95115"/>
    <w:rsid w:val="00C96099"/>
    <w:rsid w:val="00C96EFE"/>
    <w:rsid w:val="00CA39F7"/>
    <w:rsid w:val="00CC5E40"/>
    <w:rsid w:val="00CE0581"/>
    <w:rsid w:val="00CF104D"/>
    <w:rsid w:val="00CF21D8"/>
    <w:rsid w:val="00CF3324"/>
    <w:rsid w:val="00CF5B67"/>
    <w:rsid w:val="00D07552"/>
    <w:rsid w:val="00D1569F"/>
    <w:rsid w:val="00D20B1E"/>
    <w:rsid w:val="00D2245B"/>
    <w:rsid w:val="00D22462"/>
    <w:rsid w:val="00D230AC"/>
    <w:rsid w:val="00D32489"/>
    <w:rsid w:val="00D32BD2"/>
    <w:rsid w:val="00D3349E"/>
    <w:rsid w:val="00D3386B"/>
    <w:rsid w:val="00D5304B"/>
    <w:rsid w:val="00D578C5"/>
    <w:rsid w:val="00D71EF7"/>
    <w:rsid w:val="00D73CB8"/>
    <w:rsid w:val="00D76F54"/>
    <w:rsid w:val="00DA5880"/>
    <w:rsid w:val="00DA7591"/>
    <w:rsid w:val="00DB6B87"/>
    <w:rsid w:val="00DB6F34"/>
    <w:rsid w:val="00DC646D"/>
    <w:rsid w:val="00DE0ED4"/>
    <w:rsid w:val="00DF48E9"/>
    <w:rsid w:val="00E10EB6"/>
    <w:rsid w:val="00E237E4"/>
    <w:rsid w:val="00E31784"/>
    <w:rsid w:val="00E32798"/>
    <w:rsid w:val="00E33CC8"/>
    <w:rsid w:val="00E51C91"/>
    <w:rsid w:val="00E56F24"/>
    <w:rsid w:val="00E6286D"/>
    <w:rsid w:val="00E667C1"/>
    <w:rsid w:val="00E67EEC"/>
    <w:rsid w:val="00EC3F88"/>
    <w:rsid w:val="00ED337B"/>
    <w:rsid w:val="00ED36D8"/>
    <w:rsid w:val="00ED5C27"/>
    <w:rsid w:val="00ED612A"/>
    <w:rsid w:val="00EE5549"/>
    <w:rsid w:val="00EE6BD7"/>
    <w:rsid w:val="00EF374D"/>
    <w:rsid w:val="00F0689D"/>
    <w:rsid w:val="00F1553E"/>
    <w:rsid w:val="00F3526D"/>
    <w:rsid w:val="00F36A11"/>
    <w:rsid w:val="00F4520B"/>
    <w:rsid w:val="00F63B98"/>
    <w:rsid w:val="00F662A3"/>
    <w:rsid w:val="00F8491A"/>
    <w:rsid w:val="00F87AA4"/>
    <w:rsid w:val="00F87D69"/>
    <w:rsid w:val="00F90DCF"/>
    <w:rsid w:val="00F930C4"/>
    <w:rsid w:val="00FB01B5"/>
    <w:rsid w:val="00FB14BD"/>
    <w:rsid w:val="00FB2FFA"/>
    <w:rsid w:val="00FC39F6"/>
    <w:rsid w:val="00FC7457"/>
    <w:rsid w:val="0D86B27A"/>
    <w:rsid w:val="13E60CBD"/>
    <w:rsid w:val="4482591A"/>
    <w:rsid w:val="63019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A87B13"/>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customStyle="1" w:styleId="Nevyeenzmnka1">
    <w:name w:val="Nevyřešená zmínka1"/>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5C0523"/>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customStyle="1" w:styleId="00Body">
    <w:name w:val="00 Body"/>
    <w:basedOn w:val="Normln"/>
    <w:link w:val="00BodyChar"/>
    <w:qFormat/>
    <w:rsid w:val="00143076"/>
    <w:pPr>
      <w:spacing w:before="180" w:after="180" w:line="264" w:lineRule="auto"/>
    </w:pPr>
    <w:rPr>
      <w:rFonts w:ascii="Arial (Body)" w:eastAsia="Times New Roman" w:hAnsi="Arial (Body)" w:cs="Times New Roman"/>
      <w:color w:val="auto"/>
      <w:szCs w:val="20"/>
      <w:lang w:val="en-US"/>
    </w:rPr>
  </w:style>
  <w:style w:type="character" w:customStyle="1" w:styleId="00BodyChar">
    <w:name w:val="00 Body Char"/>
    <w:basedOn w:val="Standardnpsmoodstavce"/>
    <w:link w:val="00Body"/>
    <w:rsid w:val="00143076"/>
    <w:rPr>
      <w:rFonts w:ascii="Arial (Body)" w:eastAsia="Times New Roman" w:hAnsi="Arial (Body)"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575282289">
      <w:bodyDiv w:val="1"/>
      <w:marLeft w:val="0"/>
      <w:marRight w:val="0"/>
      <w:marTop w:val="0"/>
      <w:marBottom w:val="0"/>
      <w:divBdr>
        <w:top w:val="none" w:sz="0" w:space="0" w:color="auto"/>
        <w:left w:val="none" w:sz="0" w:space="0" w:color="auto"/>
        <w:bottom w:val="none" w:sz="0" w:space="0" w:color="auto"/>
        <w:right w:val="none" w:sz="0" w:space="0" w:color="auto"/>
      </w:divBdr>
    </w:div>
    <w:div w:id="602539016">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37568163">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799569688">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 w:id="2099014574">
      <w:bodyDiv w:val="1"/>
      <w:marLeft w:val="0"/>
      <w:marRight w:val="0"/>
      <w:marTop w:val="0"/>
      <w:marBottom w:val="0"/>
      <w:divBdr>
        <w:top w:val="none" w:sz="0" w:space="0" w:color="auto"/>
        <w:left w:val="none" w:sz="0" w:space="0" w:color="auto"/>
        <w:bottom w:val="none" w:sz="0" w:space="0" w:color="auto"/>
        <w:right w:val="none" w:sz="0" w:space="0" w:color="auto"/>
      </w:divBdr>
    </w:div>
    <w:div w:id="21318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2.xml><?xml version="1.0" encoding="utf-8"?>
<ds:datastoreItem xmlns:ds="http://schemas.openxmlformats.org/officeDocument/2006/customXml" ds:itemID="{05B1758E-458E-400C-A4E9-7E535E591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8C370-B4C4-4077-A8D7-1D49DA33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71658-F741-4B45-871D-13F53CCE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149F3C6E.dotm</Template>
  <TotalTime>0</TotalTime>
  <Pages>4</Pages>
  <Words>1880</Words>
  <Characters>11096</Characters>
  <Application>Microsoft Office Word</Application>
  <DocSecurity>0</DocSecurity>
  <Lines>92</Lines>
  <Paragraphs>25</Paragraphs>
  <ScaleCrop>false</ScaleCrop>
  <Company>Ministerstvo průmyslu a obchodu</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Adam</dc:creator>
  <cp:keywords/>
  <dc:description/>
  <cp:lastModifiedBy>Hronza Martin</cp:lastModifiedBy>
  <cp:revision>5</cp:revision>
  <dcterms:created xsi:type="dcterms:W3CDTF">2020-12-30T09:47:00Z</dcterms:created>
  <dcterms:modified xsi:type="dcterms:W3CDTF">2021-01-28T12:11:00Z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