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05EE" w14:textId="77777777" w:rsidR="009F43F5" w:rsidRPr="00A92B33" w:rsidRDefault="009F43F5" w:rsidP="00A92B33">
      <w:pPr>
        <w:pStyle w:val="K-Nadpis1"/>
        <w:jc w:val="both"/>
      </w:pPr>
      <w:r w:rsidRPr="00A92B33">
        <w:t>1.8 Digitální přístup k justici (Ministerstvo spravedlnosti ČR)</w:t>
      </w:r>
    </w:p>
    <w:p w14:paraId="00F5B6F2" w14:textId="570D07A4" w:rsidR="002C20CF" w:rsidRPr="00A92B33" w:rsidRDefault="002C20CF" w:rsidP="00A92B33">
      <w:pPr>
        <w:pStyle w:val="Nadpis2"/>
        <w:jc w:val="both"/>
        <w:rPr>
          <w:rFonts w:ascii="Times New Roman" w:hAnsi="Times New Roman" w:cs="Times New Roman"/>
          <w:sz w:val="28"/>
          <w:szCs w:val="28"/>
        </w:rPr>
      </w:pPr>
      <w:r w:rsidRPr="00A92B33">
        <w:rPr>
          <w:rStyle w:val="K-Nadpis2Char"/>
          <w:b/>
        </w:rPr>
        <w:t xml:space="preserve">1. </w:t>
      </w:r>
      <w:r w:rsidR="00EF374D" w:rsidRPr="00A92B33">
        <w:rPr>
          <w:rStyle w:val="K-Nadpis2Char"/>
          <w:b/>
        </w:rPr>
        <w:t>Popis</w:t>
      </w:r>
      <w:r w:rsidRPr="00A92B33">
        <w:rPr>
          <w:rStyle w:val="K-Nadpis2Char"/>
          <w:b/>
        </w:rPr>
        <w:t xml:space="preserve"> </w:t>
      </w:r>
      <w:r w:rsidR="00EF374D" w:rsidRPr="00A92B33">
        <w:rPr>
          <w:rStyle w:val="K-Nadpis2Char"/>
          <w:b/>
        </w:rPr>
        <w:t>komponenty</w:t>
      </w:r>
    </w:p>
    <w:p w14:paraId="3288F2A0" w14:textId="265EEA74" w:rsidR="002C20CF" w:rsidRPr="00A92B33" w:rsidRDefault="00EF374D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A92B33">
        <w:rPr>
          <w:rStyle w:val="K-TabulkaChar"/>
        </w:rPr>
        <w:t xml:space="preserve">Souhrnný box </w:t>
      </w:r>
    </w:p>
    <w:p w14:paraId="4AD0A2FD" w14:textId="679F5F6B" w:rsidR="00EF374D" w:rsidRPr="00A92B33" w:rsidRDefault="00EF374D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b/>
        </w:rPr>
        <w:t>Oblast politiky/obor zájmu:</w:t>
      </w:r>
      <w:r w:rsidR="009F43F5" w:rsidRPr="00A92B33">
        <w:rPr>
          <w:rStyle w:val="K-TextChar"/>
          <w:b/>
        </w:rPr>
        <w:t xml:space="preserve"> </w:t>
      </w:r>
      <w:r w:rsidR="00787725">
        <w:rPr>
          <w:rStyle w:val="K-TextChar"/>
        </w:rPr>
        <w:t>eGover</w:t>
      </w:r>
      <w:r w:rsidR="00D6670A">
        <w:rPr>
          <w:rStyle w:val="K-TextChar"/>
        </w:rPr>
        <w:t>n</w:t>
      </w:r>
      <w:r w:rsidR="00787725">
        <w:rPr>
          <w:rStyle w:val="K-TextChar"/>
        </w:rPr>
        <w:t>ment</w:t>
      </w:r>
    </w:p>
    <w:p w14:paraId="3C4A9995" w14:textId="6FC58E19" w:rsidR="007513F7" w:rsidRPr="00A92B33" w:rsidRDefault="00EF374D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b/>
        </w:rPr>
        <w:t>Cíl:</w:t>
      </w:r>
      <w:r w:rsidR="00095EBD" w:rsidRPr="00A92B33">
        <w:rPr>
          <w:rStyle w:val="K-TextChar"/>
          <w:b/>
        </w:rPr>
        <w:t xml:space="preserve"> </w:t>
      </w:r>
      <w:r w:rsidR="00E57068" w:rsidRPr="00A92B33">
        <w:rPr>
          <w:rStyle w:val="K-TextChar"/>
        </w:rPr>
        <w:t xml:space="preserve">Cílem komponenty je dosáhnout moderní, efektivně fungující a transparentní justice s využitím informačních a komunikačních technologií. Komponenta cílí na posílení digitálního přístupu ke službám pro veřejnost </w:t>
      </w:r>
      <w:r w:rsidR="00E57068">
        <w:rPr>
          <w:rStyle w:val="K-TextChar"/>
        </w:rPr>
        <w:t>a na posílení digitální infrastruktury využívané zaměstnanci rezortu justice. Díky implementaci jednotlivých reforem a investicí bude justiční rezort mimo jiné schopen pružněji reagovat na výzvy spojené s nemožností fyzického přístupu zaměstnanců na pracoviště, aniž by klesla poskytovaná úroveň služeb.</w:t>
      </w:r>
    </w:p>
    <w:p w14:paraId="4E0111A4" w14:textId="77777777" w:rsidR="00D97E67" w:rsidRPr="00A92B33" w:rsidRDefault="00EF374D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A92B33">
        <w:rPr>
          <w:rStyle w:val="K-TextChar"/>
          <w:b/>
        </w:rPr>
        <w:t>Reformy a/nebo investice</w:t>
      </w:r>
      <w:r w:rsidRPr="00A92B33">
        <w:rPr>
          <w:rStyle w:val="K-TextChar"/>
          <w:b/>
          <w:vertAlign w:val="superscript"/>
        </w:rPr>
        <w:footnoteReference w:id="1"/>
      </w:r>
      <w:r w:rsidRPr="00A92B33">
        <w:rPr>
          <w:rStyle w:val="K-TextChar"/>
          <w:b/>
        </w:rPr>
        <w:t>:</w:t>
      </w:r>
      <w:r w:rsidR="00095EBD" w:rsidRPr="00A92B33">
        <w:rPr>
          <w:rStyle w:val="K-TextChar"/>
          <w:b/>
        </w:rPr>
        <w:t xml:space="preserve"> </w:t>
      </w:r>
    </w:p>
    <w:p w14:paraId="7B7AAB41" w14:textId="3FA8D611" w:rsidR="006F134F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>Komponenta se skládá ze šesti různých projektů, které jsou rozděleny do dvou skupin:</w:t>
      </w:r>
    </w:p>
    <w:p w14:paraId="6E712B8E" w14:textId="3A0BCC17" w:rsidR="00D97E67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  <w:u w:val="single"/>
        </w:rPr>
      </w:pPr>
      <w:r w:rsidRPr="00A92B33">
        <w:rPr>
          <w:rStyle w:val="K-TextChar"/>
          <w:b/>
          <w:u w:val="single"/>
        </w:rPr>
        <w:t>Digitální přístup ke službám pro veřejnost</w:t>
      </w:r>
    </w:p>
    <w:p w14:paraId="63EE206D" w14:textId="48EEFDBA" w:rsidR="00603DA9" w:rsidRPr="00A92B33" w:rsidRDefault="00603DA9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A92B33">
        <w:rPr>
          <w:rStyle w:val="K-TextChar"/>
          <w:b/>
        </w:rPr>
        <w:t xml:space="preserve">1. </w:t>
      </w:r>
      <w:r w:rsidR="004562DC" w:rsidRPr="00A92B33">
        <w:rPr>
          <w:rStyle w:val="K-TextChar"/>
          <w:b/>
        </w:rPr>
        <w:t>Reforma</w:t>
      </w:r>
      <w:r w:rsidR="000A47B6" w:rsidRPr="00A92B33">
        <w:rPr>
          <w:rStyle w:val="K-TextChar"/>
          <w:b/>
        </w:rPr>
        <w:t>:</w:t>
      </w:r>
      <w:r w:rsidR="006C23E0" w:rsidRPr="00A92B33">
        <w:rPr>
          <w:rStyle w:val="K-TextChar"/>
          <w:b/>
        </w:rPr>
        <w:t xml:space="preserve"> </w:t>
      </w:r>
      <w:r w:rsidR="006C23E0" w:rsidRPr="00A92B33">
        <w:rPr>
          <w:rStyle w:val="K-TextChar"/>
          <w:b/>
          <w:u w:val="single"/>
        </w:rPr>
        <w:t xml:space="preserve">Digitální </w:t>
      </w:r>
      <w:proofErr w:type="gramStart"/>
      <w:r w:rsidR="006C23E0" w:rsidRPr="00A92B33">
        <w:rPr>
          <w:rStyle w:val="K-TextChar"/>
          <w:b/>
          <w:u w:val="single"/>
        </w:rPr>
        <w:t>transformace</w:t>
      </w:r>
      <w:r w:rsidR="006570F5" w:rsidRPr="00A92B33">
        <w:rPr>
          <w:rStyle w:val="K-TextChar"/>
        </w:rPr>
        <w:t xml:space="preserve"> </w:t>
      </w:r>
      <w:r w:rsidR="00295991" w:rsidRPr="00A92B33">
        <w:rPr>
          <w:rStyle w:val="K-TextChar"/>
        </w:rPr>
        <w:t>- cílem</w:t>
      </w:r>
      <w:proofErr w:type="gramEnd"/>
      <w:r w:rsidR="00295991" w:rsidRPr="00A92B33">
        <w:rPr>
          <w:rStyle w:val="K-TextChar"/>
        </w:rPr>
        <w:t xml:space="preserve"> projektu je komplexní zhodnocení přínosů a potřeb digitalizace do resortu justice, vypracováním datové analýzy (resp. podrobné identifikace procesů), která bude sloužit jako základ pro navazující digitální projekty, jež budou na základě zjištění z analýzy mít za cíl efektivnější výkon činnosti (identifikování mezer, zajištění dostupnosti služeb apod.).</w:t>
      </w:r>
    </w:p>
    <w:p w14:paraId="415EE983" w14:textId="7C73E09C" w:rsidR="00603DA9" w:rsidRPr="00A92B33" w:rsidRDefault="00603DA9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A92B33">
        <w:rPr>
          <w:rStyle w:val="K-TextChar"/>
          <w:b/>
        </w:rPr>
        <w:t xml:space="preserve">2. </w:t>
      </w:r>
      <w:r w:rsidR="004562DC" w:rsidRPr="00A92B33">
        <w:rPr>
          <w:rStyle w:val="K-TextChar"/>
          <w:b/>
        </w:rPr>
        <w:t>Reforma</w:t>
      </w:r>
      <w:r w:rsidR="000A47B6" w:rsidRPr="00A92B33">
        <w:rPr>
          <w:rStyle w:val="K-TextChar"/>
          <w:b/>
        </w:rPr>
        <w:t>:</w:t>
      </w:r>
      <w:r w:rsidR="006C23E0" w:rsidRPr="00A92B33">
        <w:rPr>
          <w:rStyle w:val="K-TextChar"/>
          <w:b/>
        </w:rPr>
        <w:t xml:space="preserve"> </w:t>
      </w:r>
      <w:proofErr w:type="gramStart"/>
      <w:r w:rsidR="006C23E0" w:rsidRPr="00A92B33">
        <w:rPr>
          <w:rStyle w:val="K-TextChar"/>
          <w:b/>
          <w:u w:val="single"/>
        </w:rPr>
        <w:t>Web</w:t>
      </w:r>
      <w:proofErr w:type="gramEnd"/>
      <w:r w:rsidR="006C23E0" w:rsidRPr="00A92B33">
        <w:rPr>
          <w:rStyle w:val="K-TextChar"/>
          <w:b/>
          <w:u w:val="single"/>
        </w:rPr>
        <w:t xml:space="preserve"> justice</w:t>
      </w:r>
      <w:r w:rsidR="00295991" w:rsidRPr="00A92B33">
        <w:rPr>
          <w:rStyle w:val="K-TextChar"/>
        </w:rPr>
        <w:t xml:space="preserve"> - cílem projektu je vytvoření moderního a přehledného internetového portálu justice, který bude uživatelsky přívětivý.</w:t>
      </w:r>
    </w:p>
    <w:p w14:paraId="05E2A72E" w14:textId="31E3EB89" w:rsidR="00D97E67" w:rsidRPr="00A92B33" w:rsidRDefault="00603DA9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b/>
        </w:rPr>
        <w:t xml:space="preserve">3. </w:t>
      </w:r>
      <w:r w:rsidR="004562DC" w:rsidRPr="00A92B33">
        <w:rPr>
          <w:rStyle w:val="K-TextChar"/>
          <w:b/>
        </w:rPr>
        <w:t>Reforma</w:t>
      </w:r>
      <w:r w:rsidR="000A47B6" w:rsidRPr="00A92B33">
        <w:rPr>
          <w:rStyle w:val="K-TextChar"/>
          <w:b/>
        </w:rPr>
        <w:t>:</w:t>
      </w:r>
      <w:r w:rsidR="006C23E0" w:rsidRPr="00A92B33">
        <w:rPr>
          <w:rStyle w:val="K-TextChar"/>
          <w:b/>
        </w:rPr>
        <w:t xml:space="preserve"> </w:t>
      </w:r>
      <w:r w:rsidR="001B0E8D" w:rsidRPr="00A92B33">
        <w:rPr>
          <w:rStyle w:val="K-TextChar"/>
          <w:b/>
          <w:u w:val="single"/>
        </w:rPr>
        <w:t xml:space="preserve">Audiozáznamy ze soudních jednání a přepis na </w:t>
      </w:r>
      <w:proofErr w:type="gramStart"/>
      <w:r w:rsidR="001B0E8D" w:rsidRPr="00A92B33">
        <w:rPr>
          <w:rStyle w:val="K-TextChar"/>
          <w:b/>
          <w:u w:val="single"/>
        </w:rPr>
        <w:t>text</w:t>
      </w:r>
      <w:r w:rsidR="00295991" w:rsidRPr="00A92B33">
        <w:rPr>
          <w:rStyle w:val="K-TextChar"/>
        </w:rPr>
        <w:t xml:space="preserve"> - cílem</w:t>
      </w:r>
      <w:proofErr w:type="gramEnd"/>
      <w:r w:rsidR="00295991" w:rsidRPr="00A92B33">
        <w:rPr>
          <w:rStyle w:val="K-TextChar"/>
        </w:rPr>
        <w:t xml:space="preserve"> projektu je instalace zařízení sloužících k pořizování audiovizuálních dat v rámci soudního jednání a o stavebně-technickou úpravu soudních síní s tím spojenou.</w:t>
      </w:r>
    </w:p>
    <w:p w14:paraId="25BF2BC2" w14:textId="0FECA2E1" w:rsidR="00D97E67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  <w:u w:val="single"/>
        </w:rPr>
      </w:pPr>
      <w:r w:rsidRPr="00A92B33">
        <w:rPr>
          <w:rStyle w:val="K-TextChar"/>
          <w:b/>
          <w:u w:val="single"/>
        </w:rPr>
        <w:t>Digitální pracoviště</w:t>
      </w:r>
    </w:p>
    <w:p w14:paraId="04B30DC4" w14:textId="367346B3" w:rsidR="00603DA9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b/>
        </w:rPr>
        <w:t>1</w:t>
      </w:r>
      <w:r w:rsidR="00603DA9" w:rsidRPr="00A92B33">
        <w:rPr>
          <w:rStyle w:val="K-TextChar"/>
          <w:b/>
        </w:rPr>
        <w:t xml:space="preserve">. </w:t>
      </w:r>
      <w:r w:rsidR="001B5D60" w:rsidRPr="00A92B33">
        <w:rPr>
          <w:rStyle w:val="K-TextChar"/>
          <w:b/>
        </w:rPr>
        <w:t>Investice</w:t>
      </w:r>
      <w:r w:rsidR="000A47B6" w:rsidRPr="00A92B33">
        <w:rPr>
          <w:rStyle w:val="K-TextChar"/>
          <w:b/>
        </w:rPr>
        <w:t>:</w:t>
      </w:r>
      <w:r w:rsidR="000A47B6" w:rsidRPr="00A92B33">
        <w:rPr>
          <w:rStyle w:val="K-TextChar"/>
        </w:rPr>
        <w:t xml:space="preserve"> </w:t>
      </w:r>
      <w:r w:rsidR="000A47B6" w:rsidRPr="00A92B33">
        <w:rPr>
          <w:rStyle w:val="K-TextChar"/>
          <w:b/>
          <w:u w:val="single"/>
        </w:rPr>
        <w:t>Mobilní pracovní stanice</w:t>
      </w:r>
      <w:r w:rsidR="000A47B6" w:rsidRPr="00A92B33">
        <w:rPr>
          <w:rStyle w:val="K-TextChar"/>
        </w:rPr>
        <w:t xml:space="preserve"> </w:t>
      </w:r>
      <w:r w:rsidR="00295991" w:rsidRPr="00A92B33">
        <w:rPr>
          <w:rStyle w:val="K-TextChar"/>
        </w:rPr>
        <w:t>– cílem projektu je vybavení justičního personálu zařízením umožňujícím vzdálený přístup k justiční síti pro potřeby práce z jiného místa</w:t>
      </w:r>
    </w:p>
    <w:p w14:paraId="367A68DE" w14:textId="26598B13" w:rsidR="001B5D60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A92B33">
        <w:rPr>
          <w:rStyle w:val="K-TextChar"/>
          <w:b/>
        </w:rPr>
        <w:t>2</w:t>
      </w:r>
      <w:r w:rsidR="001B5D60" w:rsidRPr="00A92B33">
        <w:rPr>
          <w:rStyle w:val="K-TextChar"/>
          <w:b/>
        </w:rPr>
        <w:t>. Investice</w:t>
      </w:r>
      <w:r w:rsidR="000A47B6" w:rsidRPr="00A92B33">
        <w:rPr>
          <w:rStyle w:val="K-TextChar"/>
          <w:b/>
        </w:rPr>
        <w:t xml:space="preserve">: </w:t>
      </w:r>
      <w:r w:rsidR="000A47B6" w:rsidRPr="00A92B33">
        <w:rPr>
          <w:rStyle w:val="K-TextChar"/>
          <w:b/>
          <w:u w:val="single"/>
        </w:rPr>
        <w:t xml:space="preserve">Posílení infrastruktury pro digitální </w:t>
      </w:r>
      <w:proofErr w:type="gramStart"/>
      <w:r w:rsidR="000A47B6" w:rsidRPr="00A92B33">
        <w:rPr>
          <w:rStyle w:val="K-TextChar"/>
          <w:b/>
          <w:u w:val="single"/>
        </w:rPr>
        <w:t xml:space="preserve">pracoviště </w:t>
      </w:r>
      <w:r w:rsidR="00295991" w:rsidRPr="00A92B33">
        <w:rPr>
          <w:rStyle w:val="K-TextChar"/>
        </w:rPr>
        <w:t>- cílem</w:t>
      </w:r>
      <w:proofErr w:type="gramEnd"/>
      <w:r w:rsidR="00295991" w:rsidRPr="00A92B33">
        <w:rPr>
          <w:rStyle w:val="K-TextChar"/>
        </w:rPr>
        <w:t xml:space="preserve"> projektu je zajištění dostatečných podmínek k širšímu využívání mobilních pracovních stanic a videokonferencí na straně resortu</w:t>
      </w:r>
    </w:p>
    <w:p w14:paraId="3FC1F1A1" w14:textId="2B7A2BCB" w:rsidR="001B5D60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A92B33">
        <w:rPr>
          <w:rStyle w:val="K-TextChar"/>
          <w:b/>
        </w:rPr>
        <w:t>3</w:t>
      </w:r>
      <w:r w:rsidR="001B5D60" w:rsidRPr="00A92B33">
        <w:rPr>
          <w:rStyle w:val="K-TextChar"/>
          <w:b/>
        </w:rPr>
        <w:t>. Investice</w:t>
      </w:r>
      <w:r w:rsidR="000A47B6" w:rsidRPr="00A92B33">
        <w:rPr>
          <w:rStyle w:val="K-TextChar"/>
          <w:b/>
        </w:rPr>
        <w:t xml:space="preserve">: </w:t>
      </w:r>
      <w:proofErr w:type="gramStart"/>
      <w:r w:rsidR="007513F7" w:rsidRPr="00A92B33">
        <w:rPr>
          <w:rStyle w:val="K-TextChar"/>
          <w:b/>
          <w:u w:val="single"/>
        </w:rPr>
        <w:t>Videokonference</w:t>
      </w:r>
      <w:r w:rsidR="00295991" w:rsidRPr="00A92B33">
        <w:rPr>
          <w:rStyle w:val="Odkaznakoment"/>
          <w:rFonts w:asciiTheme="minorHAnsi" w:hAnsiTheme="minorHAnsi" w:cstheme="minorBidi"/>
          <w:color w:val="000000" w:themeColor="text1"/>
        </w:rPr>
        <w:t xml:space="preserve"> - </w:t>
      </w:r>
      <w:r w:rsidR="00295991" w:rsidRPr="00A92B33">
        <w:rPr>
          <w:rFonts w:cstheme="minorHAnsi"/>
        </w:rPr>
        <w:t>cílem</w:t>
      </w:r>
      <w:proofErr w:type="gramEnd"/>
      <w:r w:rsidR="00295991" w:rsidRPr="00A92B33">
        <w:rPr>
          <w:rFonts w:cstheme="minorHAnsi"/>
        </w:rPr>
        <w:t xml:space="preserve"> projektu je odstranění nedostatků, které brání v častějším využití videokonferencí na všech úrovních v resortu justice. Cíle bude dosaženo instalací dalších videokonferenčních setů.</w:t>
      </w:r>
    </w:p>
    <w:p w14:paraId="1C71F3C0" w14:textId="12C5235E" w:rsidR="007842BA" w:rsidRPr="007842BA" w:rsidRDefault="007842BA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rFonts w:cstheme="minorHAnsi"/>
          <w:iCs w:val="0"/>
          <w:sz w:val="24"/>
          <w:szCs w:val="24"/>
        </w:rPr>
      </w:pPr>
      <w:r>
        <w:rPr>
          <w:rFonts w:cstheme="minorHAnsi"/>
          <w:b/>
          <w:bCs/>
          <w:u w:val="single"/>
        </w:rPr>
        <w:t>Projektový management</w:t>
      </w:r>
      <w:r>
        <w:rPr>
          <w:rFonts w:cstheme="minorHAnsi"/>
        </w:rPr>
        <w:t xml:space="preserve"> – vzhledem k rozsahu celé komponenty je ze strany vlastníka komponenty žádoucí, aby mu byly též poskytnuty prostředky na projektové řízení</w:t>
      </w:r>
      <w:r w:rsidR="00365B1C">
        <w:rPr>
          <w:rFonts w:cstheme="minorHAnsi"/>
        </w:rPr>
        <w:t xml:space="preserve"> projektů zahrnutých do komponenty.</w:t>
      </w:r>
    </w:p>
    <w:p w14:paraId="730DE813" w14:textId="4C9B1341" w:rsidR="000A47B6" w:rsidRPr="00A92B33" w:rsidRDefault="00D97E6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 xml:space="preserve">Všechny reformy/investice jsou dle klasifikace COFOG zařazeny do tzv. „General </w:t>
      </w:r>
      <w:proofErr w:type="spellStart"/>
      <w:r w:rsidRPr="00A92B33">
        <w:rPr>
          <w:rStyle w:val="K-TextChar"/>
        </w:rPr>
        <w:t>Services</w:t>
      </w:r>
      <w:proofErr w:type="spellEnd"/>
      <w:r w:rsidRPr="00A92B33">
        <w:rPr>
          <w:rStyle w:val="K-TextChar"/>
        </w:rPr>
        <w:t>“.</w:t>
      </w:r>
    </w:p>
    <w:p w14:paraId="73AB6A3E" w14:textId="07161DF9" w:rsidR="001B5D60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>Celá k</w:t>
      </w:r>
      <w:r w:rsidR="000A47B6" w:rsidRPr="00A92B33">
        <w:rPr>
          <w:rStyle w:val="K-TextChar"/>
        </w:rPr>
        <w:t xml:space="preserve">omponenta </w:t>
      </w:r>
      <w:r w:rsidR="00D97E67" w:rsidRPr="00A92B33">
        <w:rPr>
          <w:rStyle w:val="K-TextChar"/>
        </w:rPr>
        <w:t xml:space="preserve">patří do vlajkové iniciativy (tzv. </w:t>
      </w:r>
      <w:proofErr w:type="spellStart"/>
      <w:r w:rsidR="00D97E67" w:rsidRPr="00A92B33">
        <w:rPr>
          <w:rStyle w:val="K-TextChar"/>
        </w:rPr>
        <w:t>flagship</w:t>
      </w:r>
      <w:proofErr w:type="spellEnd"/>
      <w:r w:rsidR="00D97E67" w:rsidRPr="00A92B33">
        <w:rPr>
          <w:rStyle w:val="K-TextChar"/>
        </w:rPr>
        <w:t>)</w:t>
      </w:r>
      <w:r w:rsidR="000A47B6" w:rsidRPr="00A92B33">
        <w:rPr>
          <w:rStyle w:val="K-TextChar"/>
        </w:rPr>
        <w:t> </w:t>
      </w:r>
      <w:r w:rsidR="00D97E67" w:rsidRPr="00A92B33">
        <w:rPr>
          <w:rStyle w:val="K-TextChar"/>
        </w:rPr>
        <w:t>„</w:t>
      </w:r>
      <w:proofErr w:type="spellStart"/>
      <w:r w:rsidR="00D97E67" w:rsidRPr="00A92B33">
        <w:rPr>
          <w:rStyle w:val="K-TextChar"/>
        </w:rPr>
        <w:t>M</w:t>
      </w:r>
      <w:r w:rsidR="000A47B6" w:rsidRPr="00A92B33">
        <w:rPr>
          <w:rStyle w:val="K-TextChar"/>
        </w:rPr>
        <w:t>oderni</w:t>
      </w:r>
      <w:r w:rsidRPr="00A92B33">
        <w:rPr>
          <w:rStyle w:val="K-TextChar"/>
        </w:rPr>
        <w:t>se</w:t>
      </w:r>
      <w:proofErr w:type="spellEnd"/>
      <w:r w:rsidR="00D97E67" w:rsidRPr="00A92B33">
        <w:rPr>
          <w:rStyle w:val="K-TextChar"/>
        </w:rPr>
        <w:t>“</w:t>
      </w:r>
      <w:r w:rsidRPr="00A92B33">
        <w:rPr>
          <w:rStyle w:val="K-TextChar"/>
        </w:rPr>
        <w:t>. Jednotlivé reformy a investice jsou s vlajkovou iniciativou spjaty následovně:</w:t>
      </w:r>
    </w:p>
    <w:p w14:paraId="07B25124" w14:textId="31906857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i/>
        </w:rPr>
        <w:t>Digitální transformace</w:t>
      </w:r>
      <w:r w:rsidRPr="00A92B33">
        <w:rPr>
          <w:rStyle w:val="K-TextChar"/>
        </w:rPr>
        <w:t xml:space="preserve"> je obecný pojem zahrnující dílčí projekty v rámci digitalizace soudnictví. Proto přímo a nepřímo podporuje interoperabilní, robustní a bezpečné prostředí IT, které je základem poskytování uživatelsky přívětivých digitálních veřejných služeb.</w:t>
      </w:r>
    </w:p>
    <w:p w14:paraId="40D121B9" w14:textId="69D70C4B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i/>
        </w:rPr>
        <w:t>Web justice</w:t>
      </w:r>
      <w:r w:rsidRPr="00A92B33">
        <w:rPr>
          <w:rStyle w:val="K-TextChar"/>
        </w:rPr>
        <w:t xml:space="preserve"> (justice.cz) si klade za cíl být hlavním přístupovým bodem k informacím a pro digitální služby v oblasti spravedlnosti. Cílem reformy je nabídnout uživatelsky přívětivé rozhraní, kde občané nebo </w:t>
      </w:r>
      <w:r w:rsidRPr="00A92B33">
        <w:rPr>
          <w:rStyle w:val="K-TextChar"/>
        </w:rPr>
        <w:lastRenderedPageBreak/>
        <w:t>právnické osoby mohou najít důležité informace, řešit konkrétní životní události nebo využít jednu z mnoha digitálních služeb.</w:t>
      </w:r>
    </w:p>
    <w:p w14:paraId="6C591EB0" w14:textId="4D03FD11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i/>
        </w:rPr>
        <w:t>Audiozáznamy</w:t>
      </w:r>
      <w:r w:rsidR="005E45F1" w:rsidRPr="00A92B33">
        <w:rPr>
          <w:rStyle w:val="K-TextChar"/>
          <w:i/>
        </w:rPr>
        <w:t xml:space="preserve"> ze</w:t>
      </w:r>
      <w:r w:rsidRPr="00A92B33">
        <w:rPr>
          <w:rStyle w:val="K-TextChar"/>
          <w:i/>
        </w:rPr>
        <w:t xml:space="preserve"> soudních </w:t>
      </w:r>
      <w:r w:rsidR="00086A95" w:rsidRPr="00A92B33">
        <w:rPr>
          <w:rStyle w:val="K-TextChar"/>
          <w:i/>
        </w:rPr>
        <w:t xml:space="preserve">jednání </w:t>
      </w:r>
      <w:r w:rsidR="005E45F1" w:rsidRPr="00A92B33">
        <w:rPr>
          <w:rStyle w:val="K-TextChar"/>
          <w:i/>
        </w:rPr>
        <w:t>a přepis na text</w:t>
      </w:r>
      <w:r w:rsidRPr="00A92B33">
        <w:rPr>
          <w:rStyle w:val="K-TextChar"/>
        </w:rPr>
        <w:t xml:space="preserve"> jsou jedním ze základních nástrojů nabízejících t</w:t>
      </w:r>
      <w:r w:rsidR="00086A95" w:rsidRPr="00A92B33">
        <w:rPr>
          <w:rStyle w:val="K-TextChar"/>
        </w:rPr>
        <w:t xml:space="preserve">ransparentní a digitálně první </w:t>
      </w:r>
      <w:r w:rsidRPr="00A92B33">
        <w:rPr>
          <w:rStyle w:val="K-TextChar"/>
        </w:rPr>
        <w:t>zdroj informací ze soudních řízení.</w:t>
      </w:r>
    </w:p>
    <w:p w14:paraId="4BB17B1A" w14:textId="0330355C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i/>
        </w:rPr>
        <w:t xml:space="preserve">Mobilní pracovní stanice </w:t>
      </w:r>
      <w:r w:rsidRPr="00A92B33">
        <w:rPr>
          <w:rStyle w:val="K-TextChar"/>
        </w:rPr>
        <w:t xml:space="preserve">podporuje sladění rodinného a pracovního života a nabízí možnost pracovat z jiného místa bez nutnosti dojíždět na pracoviště. Tato investice také nepřímo podporuje princip digitálního standardu, kdy je osoba povinna pracovat s digitálními materiály. </w:t>
      </w:r>
    </w:p>
    <w:p w14:paraId="72CC7E9E" w14:textId="6B7BB73A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A92B33">
        <w:rPr>
          <w:rStyle w:val="K-TextChar"/>
          <w:i/>
        </w:rPr>
        <w:t>Posílení infrastruktury pro digitální pracoviště</w:t>
      </w:r>
      <w:r w:rsidRPr="00A92B33">
        <w:rPr>
          <w:rStyle w:val="K-TextChar"/>
        </w:rPr>
        <w:t xml:space="preserve"> je povinným krokem k zajištění dostupnosti mobilních pracovních stanic a další komunikaci v rámci </w:t>
      </w:r>
      <w:proofErr w:type="spellStart"/>
      <w:r w:rsidRPr="00A92B33">
        <w:rPr>
          <w:rStyle w:val="K-TextChar"/>
        </w:rPr>
        <w:t>eJustice</w:t>
      </w:r>
      <w:proofErr w:type="spellEnd"/>
      <w:r w:rsidRPr="00A92B33">
        <w:rPr>
          <w:rStyle w:val="K-TextChar"/>
        </w:rPr>
        <w:t xml:space="preserve"> a interoperability dat.</w:t>
      </w:r>
    </w:p>
    <w:p w14:paraId="2A225C00" w14:textId="26A729D3" w:rsidR="00090357" w:rsidRPr="00A92B33" w:rsidRDefault="00090357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i/>
        </w:rPr>
        <w:t>Videokonference</w:t>
      </w:r>
      <w:r w:rsidRPr="00A92B33">
        <w:rPr>
          <w:rStyle w:val="K-TextChar"/>
        </w:rPr>
        <w:t xml:space="preserve"> je jedním ze základních nástrojů</w:t>
      </w:r>
      <w:r w:rsidR="00086A95" w:rsidRPr="00A92B33">
        <w:rPr>
          <w:rStyle w:val="K-TextChar"/>
        </w:rPr>
        <w:t xml:space="preserve"> moderní</w:t>
      </w:r>
      <w:r w:rsidRPr="00A92B33">
        <w:rPr>
          <w:rStyle w:val="K-TextChar"/>
        </w:rPr>
        <w:t xml:space="preserve"> elektronické komunikace. </w:t>
      </w:r>
    </w:p>
    <w:p w14:paraId="6423CF6C" w14:textId="3020D652" w:rsidR="002E19BA" w:rsidRPr="00A92B33" w:rsidRDefault="00EF374D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  <w:b/>
        </w:rPr>
        <w:t>Odhadované náklad</w:t>
      </w:r>
      <w:r w:rsidR="00A87B13" w:rsidRPr="00A92B33">
        <w:rPr>
          <w:rStyle w:val="K-TextChar"/>
          <w:b/>
        </w:rPr>
        <w:t>y</w:t>
      </w:r>
      <w:r w:rsidRPr="00A92B33">
        <w:rPr>
          <w:rStyle w:val="K-TextChar"/>
          <w:b/>
        </w:rPr>
        <w:t>:</w:t>
      </w:r>
      <w:r w:rsidR="002C20CF" w:rsidRPr="00A92B33">
        <w:rPr>
          <w:rStyle w:val="K-TextChar"/>
          <w:b/>
        </w:rPr>
        <w:t xml:space="preserve"> </w:t>
      </w:r>
    </w:p>
    <w:p w14:paraId="4CD95D6B" w14:textId="441D36AF" w:rsidR="002E19BA" w:rsidRPr="00A92B33" w:rsidRDefault="002E19BA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 xml:space="preserve">Celkové alokované prostředky v NPO činí </w:t>
      </w:r>
      <w:r w:rsidR="001B0E8D" w:rsidRPr="00A92B33">
        <w:rPr>
          <w:rStyle w:val="K-TextChar"/>
        </w:rPr>
        <w:t>1,1</w:t>
      </w:r>
      <w:r w:rsidR="008953E7">
        <w:rPr>
          <w:rStyle w:val="K-TextChar"/>
        </w:rPr>
        <w:t>5</w:t>
      </w:r>
      <w:r w:rsidRPr="00A92B33">
        <w:rPr>
          <w:rStyle w:val="K-TextChar"/>
        </w:rPr>
        <w:t xml:space="preserve"> mld. Kč</w:t>
      </w:r>
      <w:r w:rsidR="007842BA">
        <w:rPr>
          <w:rStyle w:val="K-TextChar"/>
        </w:rPr>
        <w:t>.</w:t>
      </w:r>
    </w:p>
    <w:p w14:paraId="49E19D06" w14:textId="16B30066" w:rsidR="002E19BA" w:rsidRDefault="002E19BA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>Celkové investiční výdaje na kom</w:t>
      </w:r>
      <w:r w:rsidR="001B0E8D" w:rsidRPr="00A92B33">
        <w:rPr>
          <w:rStyle w:val="K-TextChar"/>
        </w:rPr>
        <w:t xml:space="preserve">ponentu lze odhadnout na úrovni </w:t>
      </w:r>
      <w:r w:rsidR="00545113" w:rsidRPr="00A92B33">
        <w:rPr>
          <w:rStyle w:val="K-TextChar"/>
        </w:rPr>
        <w:t>714</w:t>
      </w:r>
      <w:r w:rsidR="001B0E8D" w:rsidRPr="00A92B33">
        <w:rPr>
          <w:rStyle w:val="K-TextChar"/>
        </w:rPr>
        <w:t xml:space="preserve"> </w:t>
      </w:r>
      <w:r w:rsidR="00545113" w:rsidRPr="00A92B33">
        <w:rPr>
          <w:rStyle w:val="K-TextChar"/>
        </w:rPr>
        <w:t>mil</w:t>
      </w:r>
      <w:r w:rsidRPr="00A92B33">
        <w:rPr>
          <w:rStyle w:val="K-TextChar"/>
        </w:rPr>
        <w:t>. Kč.</w:t>
      </w:r>
    </w:p>
    <w:p w14:paraId="6C2306F1" w14:textId="415DBCB5" w:rsidR="007842BA" w:rsidRPr="00A92B33" w:rsidRDefault="007842BA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>
        <w:rPr>
          <w:rStyle w:val="K-TextChar"/>
        </w:rPr>
        <w:t>Celkové náklady na projektový management v NPO činí 6 mil. Kč.</w:t>
      </w:r>
    </w:p>
    <w:p w14:paraId="6F51D022" w14:textId="56B98F8B" w:rsidR="002E19BA" w:rsidRPr="00A92B33" w:rsidRDefault="002E19BA" w:rsidP="00A92B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92B33">
        <w:rPr>
          <w:rStyle w:val="K-TextChar"/>
        </w:rPr>
        <w:t xml:space="preserve">Veškeré projekty uvedené projekty budou zasmluvněny nejpozději ve </w:t>
      </w:r>
      <w:r w:rsidR="00D840C5" w:rsidRPr="00A92B33">
        <w:rPr>
          <w:rStyle w:val="K-TextChar"/>
        </w:rPr>
        <w:t>Q4</w:t>
      </w:r>
      <w:r w:rsidR="001B0E8D" w:rsidRPr="00A92B33">
        <w:rPr>
          <w:rStyle w:val="K-TextChar"/>
        </w:rPr>
        <w:t xml:space="preserve"> </w:t>
      </w:r>
      <w:r w:rsidRPr="00A92B33">
        <w:rPr>
          <w:rStyle w:val="K-TextChar"/>
        </w:rPr>
        <w:t>202</w:t>
      </w:r>
      <w:r w:rsidR="001B0E8D" w:rsidRPr="00A92B33">
        <w:rPr>
          <w:rStyle w:val="K-TextChar"/>
        </w:rPr>
        <w:t>3</w:t>
      </w:r>
      <w:r w:rsidRPr="00A92B33">
        <w:rPr>
          <w:rStyle w:val="K-TextChar"/>
        </w:rPr>
        <w:t>.</w:t>
      </w:r>
    </w:p>
    <w:p w14:paraId="124215C3" w14:textId="562DD21B" w:rsidR="0015052B" w:rsidRPr="00A92B33" w:rsidRDefault="004562DC" w:rsidP="00A92B33">
      <w:pPr>
        <w:pStyle w:val="K-Nadpis3"/>
      </w:pPr>
      <w:r w:rsidRPr="00A92B33">
        <w:t>Další popis komponenty</w:t>
      </w:r>
    </w:p>
    <w:p w14:paraId="36E248D3" w14:textId="357F0AB9" w:rsidR="000A47B6" w:rsidRPr="00A92B33" w:rsidRDefault="000A47B6" w:rsidP="00A92B33">
      <w:pPr>
        <w:pStyle w:val="K-Nadpis3"/>
        <w:rPr>
          <w:b w:val="0"/>
        </w:rPr>
      </w:pPr>
      <w:r w:rsidRPr="00A92B33">
        <w:rPr>
          <w:b w:val="0"/>
        </w:rPr>
        <w:t>Vybudování ICT infrastruktury umožňuje z technologického a hmotného hlediska budoucí poskytování digitálních služeb, včetně fungování justice vzdáleně i v dobách krizové situace. Vytváření nových služeb a zpřístupňování služeb a dat justice ve webovém prostoru umožní široké veřejnosti využít služeb justice online.</w:t>
      </w:r>
    </w:p>
    <w:p w14:paraId="1C15FAC5" w14:textId="77777777" w:rsidR="0015052B" w:rsidRPr="00A92B33" w:rsidRDefault="0015052B" w:rsidP="00A92B33">
      <w:pPr>
        <w:pStyle w:val="Nadpis2"/>
        <w:jc w:val="both"/>
        <w:rPr>
          <w:rFonts w:ascii="Times New Roman" w:hAnsi="Times New Roman" w:cs="Times New Roman"/>
          <w:sz w:val="28"/>
          <w:szCs w:val="28"/>
        </w:rPr>
      </w:pPr>
    </w:p>
    <w:p w14:paraId="1E505E7D" w14:textId="23C111CC" w:rsidR="002C20CF" w:rsidRDefault="002C20CF" w:rsidP="00A92B33">
      <w:pPr>
        <w:pStyle w:val="Nadpis2"/>
        <w:jc w:val="both"/>
        <w:rPr>
          <w:rStyle w:val="K-Nadpis2Char"/>
          <w:b/>
        </w:rPr>
      </w:pPr>
      <w:r w:rsidRPr="00A92B33">
        <w:rPr>
          <w:rFonts w:ascii="Times New Roman" w:hAnsi="Times New Roman" w:cs="Times New Roman"/>
          <w:sz w:val="28"/>
          <w:szCs w:val="28"/>
        </w:rPr>
        <w:t xml:space="preserve">2. </w:t>
      </w:r>
      <w:r w:rsidR="00EF374D" w:rsidRPr="00A92B33">
        <w:rPr>
          <w:rStyle w:val="K-Nadpis2Char"/>
          <w:b/>
        </w:rPr>
        <w:t>Hlavní výzvy a cíle</w:t>
      </w:r>
    </w:p>
    <w:p w14:paraId="396EED52" w14:textId="554B6B95" w:rsidR="007842BA" w:rsidRPr="003E5B9C" w:rsidRDefault="00A92B33" w:rsidP="007842BA">
      <w:pPr>
        <w:pStyle w:val="Default"/>
        <w:numPr>
          <w:ilvl w:val="0"/>
          <w:numId w:val="32"/>
        </w:numPr>
        <w:spacing w:after="120"/>
        <w:jc w:val="both"/>
        <w:rPr>
          <w:rStyle w:val="K-Nadpis3Char"/>
        </w:rPr>
      </w:pPr>
      <w:r w:rsidRPr="003E5B9C">
        <w:rPr>
          <w:rStyle w:val="K-Nadpis3Char"/>
        </w:rPr>
        <w:t>Hlavní výzv</w:t>
      </w:r>
      <w:r w:rsidR="007842BA" w:rsidRPr="003E5B9C">
        <w:rPr>
          <w:rStyle w:val="K-Nadpis3Char"/>
        </w:rPr>
        <w:t>y</w:t>
      </w:r>
    </w:p>
    <w:p w14:paraId="1FB20FF8" w14:textId="1795374D" w:rsidR="00D0211A" w:rsidRPr="003E5B9C" w:rsidRDefault="00D0211A" w:rsidP="00A92B33">
      <w:pPr>
        <w:pStyle w:val="Default"/>
        <w:spacing w:after="120"/>
        <w:jc w:val="both"/>
        <w:rPr>
          <w:rStyle w:val="K-Nadpis3Char"/>
        </w:rPr>
      </w:pPr>
      <w:bookmarkStart w:id="0" w:name="_Hlk58842509"/>
      <w:r w:rsidRPr="003E5B9C">
        <w:rPr>
          <w:rStyle w:val="K-Nadpis3Char"/>
          <w:b w:val="0"/>
          <w:bCs/>
        </w:rPr>
        <w:t xml:space="preserve">Všechny reformy a investice spadají do výzvy </w:t>
      </w:r>
      <w:r w:rsidRPr="003E5B9C">
        <w:rPr>
          <w:rStyle w:val="K-Nadpis3Char"/>
        </w:rPr>
        <w:t>„Podpora zelené a digitální transformace“.</w:t>
      </w:r>
    </w:p>
    <w:p w14:paraId="5A8C4024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</w:rPr>
      </w:pPr>
      <w:r w:rsidRPr="003E5B9C">
        <w:rPr>
          <w:rStyle w:val="K-Nadpis3Char"/>
          <w:b w:val="0"/>
        </w:rPr>
        <w:t xml:space="preserve">Český justiční systém totiž v současné době není v dostatečné míře digitalizován, což vede k dodatečným nákladům a ztrátám v efektivitě fungování na straně uživatelů justičního systému i jeho jednotlivých složek. </w:t>
      </w:r>
    </w:p>
    <w:p w14:paraId="51858583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</w:rPr>
      </w:pPr>
      <w:r w:rsidRPr="003E5B9C">
        <w:rPr>
          <w:rStyle w:val="K-Nadpis3Char"/>
          <w:b w:val="0"/>
        </w:rPr>
        <w:t xml:space="preserve">Uživatelé v širokém slova smyslu (zainteresovaná veřejnost, účastníci, zástupci účastníků, znalci…) jsou tak nuceni vynakládat vyšší množství času a zdrojů zejména na získávání relevantních informací o justičním systému, přístup k dokumentům v rámci nahlížení do spisu a na osobní jednání před soudem v prezenční formě. </w:t>
      </w:r>
    </w:p>
    <w:p w14:paraId="0A5FC3AA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</w:rPr>
      </w:pPr>
      <w:r w:rsidRPr="003E5B9C">
        <w:rPr>
          <w:rStyle w:val="K-Nadpis3Char"/>
          <w:b w:val="0"/>
        </w:rPr>
        <w:t xml:space="preserve">Z hlediska jednotlivé složky justičního systému spočívá ztráta efektivity zejména v administrativních procesech souvisejících s tvorbou a distribucí písemností a přístupem k nim, v jednání v prezenční formě a v pořizování písemností i zachycujících obsah jednání. </w:t>
      </w:r>
    </w:p>
    <w:p w14:paraId="7ADCE008" w14:textId="1130F6A1" w:rsidR="003E5B9C" w:rsidRPr="003E5B9C" w:rsidRDefault="003E5B9C" w:rsidP="003E5B9C">
      <w:pPr>
        <w:pStyle w:val="Default"/>
        <w:spacing w:after="120"/>
        <w:jc w:val="both"/>
        <w:rPr>
          <w:rStyle w:val="K-TextChar"/>
        </w:rPr>
      </w:pPr>
      <w:r w:rsidRPr="003E5B9C">
        <w:rPr>
          <w:rStyle w:val="K-Nadpis3Char"/>
          <w:b w:val="0"/>
        </w:rPr>
        <w:t xml:space="preserve">Výše popsané dodatečné náklady a ztráta efektivity mají zároveň přímé dopady na životní prostředí, zejména pokud jde o tvorbu, distribuci a přesuny písemností ve fyzické podobě a nezbytné přesuny uživatelů justice k soudům například s cílem nahlédnout do spisu či účastnit se osobně soudního jednání. Zároveň nedostatečně digitalizovaná justice neumožňuje systematickou práci širšího okruhu zaměstnanců justičních složek z domova, zejména pokud jde o administrativní pozice, a vedle zátěže životního prostředí vyplývající z jejich nezbytných přesunů tak zároveň omezuje jejich možnosti </w:t>
      </w:r>
      <w:r w:rsidRPr="003E5B9C">
        <w:rPr>
          <w:rStyle w:val="K-TextChar"/>
        </w:rPr>
        <w:t>sladění rodinného a pracovního života.</w:t>
      </w:r>
    </w:p>
    <w:p w14:paraId="068B8207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  <w:bCs/>
        </w:rPr>
      </w:pPr>
      <w:r w:rsidRPr="003E5B9C">
        <w:rPr>
          <w:rStyle w:val="K-Nadpis3Char"/>
          <w:b w:val="0"/>
          <w:bCs/>
        </w:rPr>
        <w:t>V neposlední řadě je justiční systém, který není široce digitalizován, méně robustní pro případ krizového stavu, jak ukázal dopad doposud probíhající epidemie onemocnění COVD-19 na situaci českých soudů.</w:t>
      </w:r>
    </w:p>
    <w:p w14:paraId="31080868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  <w:bCs/>
        </w:rPr>
      </w:pPr>
      <w:r w:rsidRPr="003E5B9C">
        <w:rPr>
          <w:rStyle w:val="K-Nadpis3Char"/>
          <w:b w:val="0"/>
          <w:bCs/>
        </w:rPr>
        <w:lastRenderedPageBreak/>
        <w:t xml:space="preserve">Snaha omezit osobní interakci mezi soudem a účastníky motivovaná epidemiologickými hledisky tak například záhy vedla k vyčerpání kapacit dostupných videokonferenčních spojení a zařízení, takže muselo ve značném rozsahu docházet k odročování jednání a tím i k prodloužení řízení. </w:t>
      </w:r>
    </w:p>
    <w:p w14:paraId="1C374AA9" w14:textId="77777777" w:rsidR="003E5B9C" w:rsidRPr="003E5B9C" w:rsidRDefault="003E5B9C" w:rsidP="003E5B9C">
      <w:pPr>
        <w:pStyle w:val="Default"/>
        <w:spacing w:after="120"/>
        <w:jc w:val="both"/>
        <w:rPr>
          <w:rStyle w:val="K-Nadpis3Char"/>
          <w:b w:val="0"/>
          <w:bCs/>
        </w:rPr>
      </w:pPr>
      <w:r w:rsidRPr="003E5B9C">
        <w:rPr>
          <w:rStyle w:val="K-Nadpis3Char"/>
          <w:b w:val="0"/>
          <w:bCs/>
        </w:rPr>
        <w:t>Zároveň přistupovalo vedení jednotlivých soudů k minimalizaci rizika přenosu infekce na pracovišti mimo jiné prostřednictvím širšího zavedení práce z domova; takový postup ovšem předpokládá dostatečné technické vybavení jednotlivých zaměstnanců, dostatečnou kapacitu infrastruktury určené k zajištění vzdáleného přístupu a v nejširším dosažitelném rozsahu též možnost přistupovat vzdáleně k písemnostem obsaženým ve spisech.</w:t>
      </w:r>
    </w:p>
    <w:bookmarkEnd w:id="0"/>
    <w:p w14:paraId="20E7A064" w14:textId="77777777" w:rsidR="003E5B9C" w:rsidRPr="003E5B9C" w:rsidRDefault="003E5B9C" w:rsidP="00A92B33">
      <w:pPr>
        <w:pStyle w:val="K-Nadpis3"/>
      </w:pPr>
    </w:p>
    <w:p w14:paraId="6A27B051" w14:textId="1E7245AC" w:rsidR="00A92B33" w:rsidRPr="003E5B9C" w:rsidRDefault="00A92B33" w:rsidP="00A92B33">
      <w:pPr>
        <w:pStyle w:val="K-Nadpis3"/>
      </w:pPr>
      <w:r w:rsidRPr="003E5B9C">
        <w:t xml:space="preserve">b) Cíle </w:t>
      </w:r>
    </w:p>
    <w:p w14:paraId="0FA40F23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3E5B9C">
        <w:rPr>
          <w:i w:val="0"/>
          <w:color w:val="auto"/>
        </w:rPr>
        <w:t xml:space="preserve">Poskytování kvalitních digitálních služeb v justici stakeholderům je základním cílem samotné digitalizace resortu. Postupné budování </w:t>
      </w:r>
      <w:r w:rsidRPr="003E5B9C">
        <w:rPr>
          <w:b/>
          <w:i w:val="0"/>
          <w:color w:val="auto"/>
        </w:rPr>
        <w:t>digitálního přístupu ke službám pro veřejnost</w:t>
      </w:r>
      <w:r w:rsidRPr="003E5B9C">
        <w:rPr>
          <w:i w:val="0"/>
          <w:color w:val="auto"/>
        </w:rPr>
        <w:t xml:space="preserve"> v podobě dílčích služeb, bude mít nejen dopad na kvalitu fungování justice ve smyslu zvýšení efektivity a přístupnosti služeb, ale také ve smyslu zajištění základních lidských</w:t>
      </w:r>
      <w:r w:rsidRPr="00A92B33">
        <w:rPr>
          <w:i w:val="0"/>
          <w:color w:val="auto"/>
        </w:rPr>
        <w:t xml:space="preserve"> práv a svobod, a zvýšení přístupu ke spravedlnosti. </w:t>
      </w:r>
    </w:p>
    <w:p w14:paraId="23E560EC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t xml:space="preserve">Vytvoření </w:t>
      </w:r>
      <w:r w:rsidRPr="00A92B33">
        <w:rPr>
          <w:b/>
          <w:i w:val="0"/>
          <w:color w:val="auto"/>
        </w:rPr>
        <w:t>digitálního pracoviště</w:t>
      </w:r>
      <w:r w:rsidRPr="00A92B33">
        <w:rPr>
          <w:i w:val="0"/>
          <w:color w:val="auto"/>
        </w:rPr>
        <w:t xml:space="preserve"> v podobě zajištění mobilních pracovních stanic a posílení infrastruktury má podpořit odolnost justice, kdy bude za pomoci výkonu práce mimo pracoviště zaměstnavatele vykonávat svěřené agendy i v případě krizové situace. Zároveň je očekáván pozitivní dopad na </w:t>
      </w:r>
      <w:proofErr w:type="spellStart"/>
      <w:r w:rsidRPr="00A92B33">
        <w:rPr>
          <w:i w:val="0"/>
          <w:color w:val="auto"/>
        </w:rPr>
        <w:t>inkluzivitu</w:t>
      </w:r>
      <w:proofErr w:type="spellEnd"/>
      <w:r w:rsidRPr="00A92B33">
        <w:rPr>
          <w:i w:val="0"/>
          <w:color w:val="auto"/>
        </w:rPr>
        <w:t xml:space="preserve"> v podobě možnosti flexibility práce z hlediska místa výkonu práce, času a množství práce (částečné úvazky, HO, sdílené pozice aj.), a to např. z důvodu sladění zaměstnání s péčí o děti a rodinu, změny zdravotního stavu, studia při práci a podobně. </w:t>
      </w:r>
    </w:p>
    <w:p w14:paraId="31C401D8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t>V případě videokonferencí se jedná především o zefektivnění procesů v justici, kdy lze osobní setkání nahrazovat virtuálním jednáním a o zvýšení odolnosti justice z hlediska vytváření alternativních způsobů jednání, např. v případě nemožnosti osobního jednání z důvodu vzdálenosti nebo jiného důvodu.</w:t>
      </w:r>
    </w:p>
    <w:p w14:paraId="47879994" w14:textId="77777777" w:rsidR="00A92B33" w:rsidRPr="00A92B33" w:rsidRDefault="00A92B33" w:rsidP="00A92B33">
      <w:pPr>
        <w:pStyle w:val="K-TextInfo"/>
        <w:rPr>
          <w:i w:val="0"/>
          <w:color w:val="auto"/>
        </w:rPr>
      </w:pPr>
    </w:p>
    <w:p w14:paraId="381BA200" w14:textId="77777777" w:rsidR="00A92B33" w:rsidRPr="00A92B33" w:rsidRDefault="00A92B33" w:rsidP="00A92B33">
      <w:pPr>
        <w:pStyle w:val="K-Nadpis3"/>
      </w:pPr>
      <w:r w:rsidRPr="00A92B33">
        <w:t>c) Národní strategický kontext</w:t>
      </w:r>
    </w:p>
    <w:p w14:paraId="3032FFF2" w14:textId="2E58A57F" w:rsidR="00AA129D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t>V oblasti digitalizace se Česká republika řídí národním strategickým rámcem „Digitální Česko“, který obsahuje základní cíle a principy digitalizace a ICT řešení</w:t>
      </w:r>
      <w:r w:rsidR="00D6670A">
        <w:rPr>
          <w:i w:val="0"/>
          <w:color w:val="auto"/>
        </w:rPr>
        <w:t>.</w:t>
      </w:r>
      <w:r w:rsidRPr="00A92B33">
        <w:rPr>
          <w:i w:val="0"/>
          <w:color w:val="auto"/>
        </w:rPr>
        <w:t xml:space="preserve"> </w:t>
      </w:r>
      <w:r w:rsidR="00B300B3">
        <w:rPr>
          <w:i w:val="0"/>
          <w:color w:val="auto"/>
        </w:rPr>
        <w:t xml:space="preserve">Digitální Česko se skládá ze tří samostatných pilířů, které mají své vlastní strategické dokumenty a s tím spojené hlavní a vedlejší cíle. </w:t>
      </w:r>
    </w:p>
    <w:p w14:paraId="0286015B" w14:textId="77777777" w:rsidR="00AA129D" w:rsidRDefault="00B300B3" w:rsidP="00A92B33">
      <w:pPr>
        <w:pStyle w:val="K-TextInfo"/>
        <w:rPr>
          <w:i w:val="0"/>
          <w:color w:val="auto"/>
        </w:rPr>
      </w:pPr>
      <w:r>
        <w:rPr>
          <w:i w:val="0"/>
          <w:color w:val="auto"/>
        </w:rPr>
        <w:t>První pilíř „Česko v digitální Evropě“ si klade ambici zajistit jednotný a proaktivní/inovativní přístup České republiky k problematice digitální agendy na úrovni Evropské unie. Digitální Česko v této oblasti představuje soubor cílů orientovaných na budování vyjednávacích pozic a jejich využití k získání optimální</w:t>
      </w:r>
      <w:r w:rsidR="00AA129D">
        <w:rPr>
          <w:i w:val="0"/>
          <w:color w:val="auto"/>
        </w:rPr>
        <w:t xml:space="preserve">ch přínosů pro českou veřejnost i výkon veřejné moci na národní úrovni. </w:t>
      </w:r>
    </w:p>
    <w:p w14:paraId="6F948EE3" w14:textId="74B6A741" w:rsidR="00AA129D" w:rsidRDefault="00AA129D" w:rsidP="00A92B33">
      <w:pPr>
        <w:pStyle w:val="K-TextInfo"/>
        <w:rPr>
          <w:i w:val="0"/>
          <w:color w:val="auto"/>
        </w:rPr>
      </w:pPr>
      <w:r>
        <w:rPr>
          <w:i w:val="0"/>
          <w:color w:val="auto"/>
        </w:rPr>
        <w:t xml:space="preserve">Druhý pilíř tvoří </w:t>
      </w:r>
      <w:r w:rsidRPr="00D6670A">
        <w:rPr>
          <w:b/>
          <w:bCs/>
          <w:i w:val="0"/>
          <w:color w:val="auto"/>
        </w:rPr>
        <w:t>„Informační koncepce České republiky“</w:t>
      </w:r>
      <w:r>
        <w:rPr>
          <w:i w:val="0"/>
          <w:color w:val="auto"/>
        </w:rPr>
        <w:t xml:space="preserve">, která je oproti prvnímu pilíři zaměřena na digitalizaci v oblasti výkonu veřejné moci na národní úrovni. Je vytvořená na základě pověření zákona č. 365/2000 Sb., o informačních systémech veřejné správy a o změně některých dalších zákonů, ve znění pozdějších předpisů. Informační koncepce České republiky stanovuje hlavní cíle v oblasti budování informačních systémů veřejné správy a dále stanoví obecné principy pořizování, vytváření, správy a provozování informačních systémů veřejné správy. Celkově se jedná o oblast problematiky známou pod názvem </w:t>
      </w:r>
      <w:r w:rsidRPr="00D6670A">
        <w:rPr>
          <w:b/>
          <w:bCs/>
          <w:i w:val="0"/>
          <w:color w:val="auto"/>
        </w:rPr>
        <w:t>„eGover</w:t>
      </w:r>
      <w:r w:rsidR="0062474E">
        <w:rPr>
          <w:b/>
          <w:bCs/>
          <w:i w:val="0"/>
          <w:color w:val="auto"/>
        </w:rPr>
        <w:t>n</w:t>
      </w:r>
      <w:r w:rsidRPr="00D6670A">
        <w:rPr>
          <w:b/>
          <w:bCs/>
          <w:i w:val="0"/>
          <w:color w:val="auto"/>
        </w:rPr>
        <w:t>ment“ České republiky</w:t>
      </w:r>
      <w:r>
        <w:rPr>
          <w:i w:val="0"/>
          <w:color w:val="auto"/>
        </w:rPr>
        <w:t>.</w:t>
      </w:r>
      <w:r w:rsidR="00F05C17">
        <w:rPr>
          <w:i w:val="0"/>
          <w:color w:val="auto"/>
        </w:rPr>
        <w:t xml:space="preserve"> </w:t>
      </w:r>
    </w:p>
    <w:p w14:paraId="0CB90FCC" w14:textId="693FC492" w:rsidR="00AA129D" w:rsidRDefault="00AA129D" w:rsidP="00A92B33">
      <w:pPr>
        <w:pStyle w:val="K-TextInfo"/>
        <w:rPr>
          <w:i w:val="0"/>
          <w:color w:val="auto"/>
        </w:rPr>
      </w:pPr>
      <w:r>
        <w:rPr>
          <w:i w:val="0"/>
          <w:color w:val="auto"/>
        </w:rPr>
        <w:t>Třetím pilířem je „Koncepce Digitální ekonomika a společnost“, která řeší průřezovou problematiku, jejíž části leží mimo přímou gesci veřejné moci. Jedná se zejména o podporu pozitivních aspektů společenských i ekonomických změn souvisejících s digitální revolucí a minimalizaci negativních dopadů</w:t>
      </w:r>
      <w:r w:rsidR="00F05C17">
        <w:rPr>
          <w:i w:val="0"/>
          <w:color w:val="auto"/>
        </w:rPr>
        <w:t xml:space="preserve">. Hlavní ambicí je zajistit dlouhodobou konkurenceschopnost a celkovou prosperitu České republiky. </w:t>
      </w:r>
    </w:p>
    <w:p w14:paraId="4E64FDB7" w14:textId="1E3B654C" w:rsidR="00F05C17" w:rsidRDefault="00F05C17" w:rsidP="00A92B33">
      <w:pPr>
        <w:pStyle w:val="K-TextInfo"/>
        <w:rPr>
          <w:i w:val="0"/>
          <w:color w:val="auto"/>
        </w:rPr>
      </w:pPr>
      <w:r>
        <w:rPr>
          <w:i w:val="0"/>
          <w:color w:val="auto"/>
        </w:rPr>
        <w:t>Všechny projekty obsažené v této komponentě</w:t>
      </w:r>
      <w:r w:rsidR="007340FE">
        <w:rPr>
          <w:i w:val="0"/>
          <w:color w:val="auto"/>
        </w:rPr>
        <w:t xml:space="preserve"> Ministerstva spravedlnosti České republiky </w:t>
      </w:r>
      <w:r>
        <w:rPr>
          <w:i w:val="0"/>
          <w:color w:val="auto"/>
        </w:rPr>
        <w:t>se týkají oblasti „eGover</w:t>
      </w:r>
      <w:r w:rsidR="0062474E">
        <w:rPr>
          <w:i w:val="0"/>
          <w:color w:val="auto"/>
        </w:rPr>
        <w:t>n</w:t>
      </w:r>
      <w:r>
        <w:rPr>
          <w:i w:val="0"/>
          <w:color w:val="auto"/>
        </w:rPr>
        <w:t>mentu“, a proto patří pod druhý pilíř Digitálního Česk</w:t>
      </w:r>
      <w:r w:rsidR="007340FE">
        <w:rPr>
          <w:i w:val="0"/>
          <w:color w:val="auto"/>
        </w:rPr>
        <w:t>a,</w:t>
      </w:r>
      <w:r>
        <w:rPr>
          <w:i w:val="0"/>
          <w:color w:val="auto"/>
        </w:rPr>
        <w:t xml:space="preserve"> a tudíž se párují na hlavní a dílčí cíle „Informační koncepce České republiky“</w:t>
      </w:r>
      <w:r w:rsidR="007340FE">
        <w:rPr>
          <w:i w:val="0"/>
          <w:color w:val="auto"/>
        </w:rPr>
        <w:t xml:space="preserve">. Na které konkrétní cíle se jednotlivé projekty párují je podrobněji rozvedeno níže. </w:t>
      </w:r>
    </w:p>
    <w:p w14:paraId="2893B9B4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lastRenderedPageBreak/>
        <w:t xml:space="preserve">Digitalizace resortu justice se řídí „resortní strategií pro rozvoj </w:t>
      </w:r>
      <w:proofErr w:type="spellStart"/>
      <w:r w:rsidRPr="00A92B33">
        <w:rPr>
          <w:i w:val="0"/>
          <w:color w:val="auto"/>
        </w:rPr>
        <w:t>eJustice</w:t>
      </w:r>
      <w:proofErr w:type="spellEnd"/>
      <w:r w:rsidRPr="00A92B33">
        <w:rPr>
          <w:i w:val="0"/>
          <w:color w:val="auto"/>
        </w:rPr>
        <w:t xml:space="preserve"> 2016-2020“, která stanovuje obecnou vizi digitalizace resortu a představuje základní strategické cíle, které se dále rozpadají do dílčích specifických cílů. </w:t>
      </w:r>
    </w:p>
    <w:p w14:paraId="4647F13A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t xml:space="preserve">V současnosti je připravována nová „resortní strategie pro rozvoj </w:t>
      </w:r>
      <w:proofErr w:type="spellStart"/>
      <w:r w:rsidRPr="00A92B33">
        <w:rPr>
          <w:i w:val="0"/>
          <w:color w:val="auto"/>
        </w:rPr>
        <w:t>eJustice</w:t>
      </w:r>
      <w:proofErr w:type="spellEnd"/>
      <w:r w:rsidRPr="00A92B33">
        <w:rPr>
          <w:i w:val="0"/>
          <w:color w:val="auto"/>
        </w:rPr>
        <w:t xml:space="preserve"> </w:t>
      </w:r>
      <w:proofErr w:type="gramStart"/>
      <w:r w:rsidRPr="00A92B33">
        <w:rPr>
          <w:i w:val="0"/>
          <w:color w:val="auto"/>
        </w:rPr>
        <w:t>2021 – 2027</w:t>
      </w:r>
      <w:proofErr w:type="gramEnd"/>
      <w:r w:rsidRPr="00A92B33">
        <w:rPr>
          <w:i w:val="0"/>
          <w:color w:val="auto"/>
        </w:rPr>
        <w:t>“, která reflektuje naplnění cílů předchozí resortní strategie a rozpracovává nové základní strategické cíle: digitální služby pro občany a společnosti, podpora a rozvoj digitálních technologií v justici, vytvoření robustního a bezpečného IT prostředí, podpora podmínek pro digitalizaci justice</w:t>
      </w:r>
      <w:r w:rsidRPr="00A92B33">
        <w:rPr>
          <w:i w:val="0"/>
          <w:webHidden/>
          <w:color w:val="auto"/>
        </w:rPr>
        <w:t>.</w:t>
      </w:r>
      <w:r w:rsidRPr="00A92B33">
        <w:rPr>
          <w:i w:val="0"/>
          <w:color w:val="auto"/>
        </w:rPr>
        <w:t xml:space="preserve"> Tyto základní strategické cíle budou dále rozpracovány specifickými digitalizačními cíli.</w:t>
      </w:r>
    </w:p>
    <w:p w14:paraId="50FE18CF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Mobilní pracovní stanice</w:t>
      </w:r>
      <w:r w:rsidRPr="00A92B33">
        <w:rPr>
          <w:i w:val="0"/>
          <w:color w:val="auto"/>
        </w:rPr>
        <w:t>, jako samostatnou investici lze podřadit především pod cíl č. 6 informační koncepce České republiky – Efektivní a pružný digitální úřad, který se zaměřuje na proměny vnitřního chodu úřadu. Mobilní pracovní stanice a s tím spojená infrastruktura zjednoduší komunikaci a procesy uvnitř samotného resortu justice. Zároveň je investici možné podřadit pod některé dílčí cíle jako:</w:t>
      </w:r>
    </w:p>
    <w:p w14:paraId="3F0A95C4" w14:textId="77777777" w:rsidR="00A92B33" w:rsidRPr="00A92B33" w:rsidRDefault="00A92B33" w:rsidP="00A92B33">
      <w:pPr>
        <w:pStyle w:val="K-TextInfo"/>
        <w:numPr>
          <w:ilvl w:val="0"/>
          <w:numId w:val="28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 xml:space="preserve">6.5 – </w:t>
      </w:r>
      <w:r w:rsidRPr="00A92B33">
        <w:rPr>
          <w:b/>
          <w:color w:val="auto"/>
        </w:rPr>
        <w:t>Modernizace a posílení vnitřní digitální infrastruktury úřadu</w:t>
      </w:r>
      <w:r w:rsidRPr="00A92B33">
        <w:rPr>
          <w:color w:val="auto"/>
        </w:rPr>
        <w:t>, kdy cíl lze podřadit jako opatření v oblasti interních ICT technologií a služeb, kombinovaných s externími a sdílenými službami tak, aby bylo možné zajistit v úřadech dostatečný výpočetní výkon, úložnou kapacitu, síťové propojení, kvalitu koncových a vstupně/výstupních zařízení a další požadavky, spojené zejména s realizací cílů jako je</w:t>
      </w:r>
      <w:r w:rsidRPr="00A92B33">
        <w:t xml:space="preserve"> „</w:t>
      </w:r>
      <w:r w:rsidRPr="00A92B33">
        <w:rPr>
          <w:color w:val="auto"/>
        </w:rPr>
        <w:t xml:space="preserve">efektivní a uživatelsky přívětivá IT podpora práce úředníků“ nebo „digitalizace vnitřních činností a dokumentů úřadu. </w:t>
      </w:r>
    </w:p>
    <w:p w14:paraId="14204E82" w14:textId="77777777" w:rsidR="00A92B33" w:rsidRPr="00A92B33" w:rsidRDefault="00A92B33" w:rsidP="00A92B33">
      <w:pPr>
        <w:pStyle w:val="K-TextInfo"/>
        <w:numPr>
          <w:ilvl w:val="0"/>
          <w:numId w:val="28"/>
        </w:numPr>
        <w:rPr>
          <w:i w:val="0"/>
          <w:color w:val="auto"/>
        </w:rPr>
      </w:pPr>
      <w:r w:rsidRPr="00A92B33">
        <w:rPr>
          <w:b/>
          <w:color w:val="auto"/>
        </w:rPr>
        <w:t>3.5 - Aktualizace a realizace strategie v oblasti budování a využívání komunikační infrastruktury veřejné správy</w:t>
      </w:r>
      <w:r w:rsidRPr="00A92B33">
        <w:rPr>
          <w:color w:val="auto"/>
        </w:rPr>
        <w:t xml:space="preserve">, kdy zajištění mobilních pracovních stanic a podmínek konektivity lze považovat za nástroj umožňující dostupnou, spolehlivou a bezpečnou komunikaci mezi jednotlivými IT systémy a uživateli těchto systémů. Komunikačního prostředí veřejné správy je mimo jiné nutné pro využití při zajišťování vnitřního pořádku a bezpečnosti, bezpečnosti státu a řešení krizových situací. </w:t>
      </w:r>
    </w:p>
    <w:p w14:paraId="36707D96" w14:textId="77777777" w:rsidR="00A92B33" w:rsidRPr="00A92B33" w:rsidRDefault="00A92B33" w:rsidP="00A92B33">
      <w:pPr>
        <w:pStyle w:val="K-TextInfo"/>
        <w:ind w:left="360"/>
        <w:rPr>
          <w:i w:val="0"/>
          <w:webHidden/>
          <w:color w:val="auto"/>
        </w:rPr>
      </w:pPr>
      <w:r w:rsidRPr="00A92B33">
        <w:rPr>
          <w:i w:val="0"/>
          <w:webHidden/>
          <w:color w:val="auto"/>
        </w:rPr>
        <w:t xml:space="preserve">V rámci resortní strategie justice budou </w:t>
      </w:r>
      <w:r w:rsidRPr="00A92B33">
        <w:rPr>
          <w:b/>
          <w:i w:val="0"/>
          <w:webHidden/>
          <w:color w:val="auto"/>
        </w:rPr>
        <w:t>mobilní pracovní stanice</w:t>
      </w:r>
      <w:r w:rsidRPr="00A92B33">
        <w:rPr>
          <w:i w:val="0"/>
          <w:webHidden/>
          <w:color w:val="auto"/>
        </w:rPr>
        <w:t xml:space="preserve"> zakomponovány ve strategickém cíli </w:t>
      </w:r>
      <w:r w:rsidRPr="00A92B33">
        <w:rPr>
          <w:b/>
          <w:i w:val="0"/>
          <w:webHidden/>
          <w:color w:val="auto"/>
        </w:rPr>
        <w:t>„Vytvoření robustního a bezpečného IT prostředí“</w:t>
      </w:r>
      <w:r w:rsidRPr="00A92B33">
        <w:rPr>
          <w:i w:val="0"/>
          <w:webHidden/>
          <w:color w:val="auto"/>
        </w:rPr>
        <w:t>.</w:t>
      </w:r>
    </w:p>
    <w:p w14:paraId="148EAB5A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Posílení infrastruktury pro digitální pracoviště</w:t>
      </w:r>
      <w:r w:rsidRPr="00A92B33">
        <w:rPr>
          <w:i w:val="0"/>
          <w:color w:val="auto"/>
        </w:rPr>
        <w:t xml:space="preserve"> je úzce provázáno s investicí „mobilní pracovní stanice“ a z toho důvodu lze tuto investici podřadit pod totožné cíle jako investice „mobilní pracovní stanice.“  </w:t>
      </w:r>
    </w:p>
    <w:p w14:paraId="40505697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Videokonference</w:t>
      </w:r>
      <w:r w:rsidRPr="00A92B33">
        <w:rPr>
          <w:i w:val="0"/>
          <w:color w:val="auto"/>
        </w:rPr>
        <w:t xml:space="preserve">, jako samostatnou investici lze podřadit především pod cíl č. 6 informační koncepce České republiky – efektivní a pružný digitální úřad. Zkušenosti z posledních měsíců ukázaly sílu videokonferencí, kdy v mnoha případech efektivně nahradily osobní jednání. Videokonference tudíž slouží jako efektivní služba při výkonu činností v resortu justice. Zároveň je investici možné podřadit pod některé dílčí cíle jako: </w:t>
      </w:r>
    </w:p>
    <w:p w14:paraId="6516AFDA" w14:textId="77777777" w:rsidR="00A92B33" w:rsidRPr="00A92B33" w:rsidRDefault="00A92B33" w:rsidP="00A92B33">
      <w:pPr>
        <w:pStyle w:val="K-TextInfo"/>
        <w:numPr>
          <w:ilvl w:val="0"/>
          <w:numId w:val="31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 xml:space="preserve">6.5 – </w:t>
      </w:r>
      <w:r w:rsidRPr="00A92B33">
        <w:rPr>
          <w:b/>
          <w:color w:val="auto"/>
        </w:rPr>
        <w:t>Modernizace a posílení vnitřní digitální infrastruktury úřadu</w:t>
      </w:r>
      <w:r w:rsidRPr="00A92B33">
        <w:rPr>
          <w:color w:val="auto"/>
        </w:rPr>
        <w:t>, kdy cíl lze podřadit jako opatření v oblasti interních ICT technologií a služeb, kombinovaných s externími a sdílenými službami tak, aby bylo možné zajistit v úřadech dostatečný výpočetní výkon, úložnou kapacitu, síťové propojení, kvalitu koncových a vstupně/výstupních zařízení a další požadavky, spojené zejména s realizací cílů jako je</w:t>
      </w:r>
      <w:r w:rsidRPr="00A92B33">
        <w:t xml:space="preserve"> „</w:t>
      </w:r>
      <w:r w:rsidRPr="00A92B33">
        <w:rPr>
          <w:color w:val="auto"/>
        </w:rPr>
        <w:t xml:space="preserve">efektivní a uživatelsky přívětivá IT podpora práce úředníků“ nebo „digitalizace vnitřních činností a dokumentů úřadu. </w:t>
      </w:r>
    </w:p>
    <w:p w14:paraId="32652599" w14:textId="77777777" w:rsidR="00A92B33" w:rsidRPr="00A92B33" w:rsidRDefault="00A92B33" w:rsidP="00A92B33">
      <w:pPr>
        <w:pStyle w:val="K-TextInfo"/>
        <w:numPr>
          <w:ilvl w:val="0"/>
          <w:numId w:val="31"/>
        </w:numPr>
        <w:rPr>
          <w:i w:val="0"/>
          <w:color w:val="auto"/>
        </w:rPr>
      </w:pPr>
      <w:r w:rsidRPr="00A92B33">
        <w:rPr>
          <w:b/>
          <w:color w:val="auto"/>
        </w:rPr>
        <w:t>3.5 - Aktualizace a realizace strategie v oblasti budování a využívání komunikační infrastruktury veřejné správy</w:t>
      </w:r>
      <w:r w:rsidRPr="00A92B33">
        <w:rPr>
          <w:color w:val="auto"/>
        </w:rPr>
        <w:t xml:space="preserve">, kdy instalace nových videokonferenčních setů lze považovat za nástroj umožňující dostupnou, spolehlivou a bezpečnou komunikaci mezi jednotlivými IT systémy a uživateli těchto systémů. Komunikačního prostředí veřejné správy je mimo jiné nutné pro využití při zajišťování vnitřního pořádku a bezpečnosti, bezpečnosti státu a řešení krizových situací. </w:t>
      </w:r>
    </w:p>
    <w:p w14:paraId="6D602B88" w14:textId="77777777" w:rsidR="00A92B33" w:rsidRPr="00A92B33" w:rsidRDefault="00A92B33" w:rsidP="00A92B33">
      <w:pPr>
        <w:pStyle w:val="K-TextInfo"/>
        <w:ind w:left="360"/>
        <w:rPr>
          <w:i w:val="0"/>
          <w:color w:val="auto"/>
        </w:rPr>
      </w:pPr>
      <w:r w:rsidRPr="00A92B33">
        <w:rPr>
          <w:i w:val="0"/>
          <w:color w:val="auto"/>
        </w:rPr>
        <w:t>V rámci resortní strategie justice bude videokonference podřazena ve strategickém cíli „Podpora a rozvoj digitálních technologií v justici“</w:t>
      </w:r>
    </w:p>
    <w:p w14:paraId="1D72EF27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Web justice (justice.cz</w:t>
      </w:r>
      <w:r w:rsidRPr="00A92B33">
        <w:rPr>
          <w:i w:val="0"/>
          <w:color w:val="auto"/>
        </w:rPr>
        <w:t xml:space="preserve">), jako samostatnou reformu lze podřadit především pod cíl č. 1 informační koncepce České republiky – Uživatelsky přívětivé a efektivní digitální služby pro občany a firmy. V rámci připravovaného webu justice budou realizovány a dostupné konkrétních služby </w:t>
      </w:r>
      <w:r w:rsidRPr="00A92B33">
        <w:rPr>
          <w:i w:val="0"/>
          <w:color w:val="auto"/>
        </w:rPr>
        <w:lastRenderedPageBreak/>
        <w:t xml:space="preserve">eGovernmentu pro všechny cílové skupiny. Zároveň je reformu možné podřadit pod některé dílčí cíle jako: </w:t>
      </w:r>
    </w:p>
    <w:p w14:paraId="5D4D70A0" w14:textId="77777777" w:rsidR="00A92B33" w:rsidRPr="00A92B33" w:rsidRDefault="00A92B33" w:rsidP="00A92B33">
      <w:pPr>
        <w:pStyle w:val="K-TextInfo"/>
        <w:numPr>
          <w:ilvl w:val="0"/>
          <w:numId w:val="30"/>
        </w:numPr>
        <w:rPr>
          <w:i w:val="0"/>
          <w:color w:val="auto"/>
        </w:rPr>
      </w:pPr>
      <w:r w:rsidRPr="00D6670A">
        <w:rPr>
          <w:b/>
          <w:bCs/>
          <w:color w:val="auto"/>
        </w:rPr>
        <w:t>1.4</w:t>
      </w:r>
      <w:r w:rsidRPr="00A92B33">
        <w:rPr>
          <w:color w:val="auto"/>
        </w:rPr>
        <w:t xml:space="preserve"> – </w:t>
      </w:r>
      <w:r w:rsidRPr="00A92B33">
        <w:rPr>
          <w:b/>
          <w:color w:val="auto"/>
        </w:rPr>
        <w:t>Rozvoj on-line „front-office“ služeb jednotlivých resortů</w:t>
      </w:r>
      <w:r w:rsidRPr="00A92B33">
        <w:rPr>
          <w:color w:val="auto"/>
        </w:rPr>
        <w:t xml:space="preserve"> s využitím sdílených služeb,</w:t>
      </w:r>
      <w:r w:rsidRPr="00A92B33">
        <w:rPr>
          <w:i w:val="0"/>
          <w:color w:val="auto"/>
        </w:rPr>
        <w:t xml:space="preserve"> kdy web justice.cz bude základním informačním zdrojem a centrálním rozcestníkem pro poskytované informace a služby. </w:t>
      </w:r>
    </w:p>
    <w:p w14:paraId="7EE69292" w14:textId="77777777" w:rsidR="00A92B33" w:rsidRPr="00A92B33" w:rsidRDefault="00A92B33" w:rsidP="00A92B33">
      <w:pPr>
        <w:pStyle w:val="K-TextInfo"/>
        <w:numPr>
          <w:ilvl w:val="0"/>
          <w:numId w:val="30"/>
        </w:numPr>
        <w:rPr>
          <w:color w:val="auto"/>
        </w:rPr>
      </w:pPr>
      <w:r w:rsidRPr="00D6670A">
        <w:rPr>
          <w:b/>
          <w:bCs/>
          <w:color w:val="auto"/>
        </w:rPr>
        <w:t>1.8</w:t>
      </w:r>
      <w:r w:rsidRPr="00A92B33">
        <w:rPr>
          <w:color w:val="auto"/>
        </w:rPr>
        <w:t xml:space="preserve"> – </w:t>
      </w:r>
      <w:r w:rsidRPr="00A92B33">
        <w:rPr>
          <w:b/>
          <w:color w:val="auto"/>
        </w:rPr>
        <w:t>Zařazení metodik UX/UI do tvorby informačních systémů</w:t>
      </w:r>
      <w:r w:rsidRPr="00A92B33">
        <w:rPr>
          <w:color w:val="auto"/>
        </w:rPr>
        <w:t xml:space="preserve">, kdy web justice předpokládá využití uživatelského průzkumu a dalších postupů v rámci přípravy a realizace projektu. </w:t>
      </w:r>
    </w:p>
    <w:p w14:paraId="6E91F32E" w14:textId="77777777" w:rsidR="00A92B33" w:rsidRPr="00A92B33" w:rsidRDefault="00A92B33" w:rsidP="00A92B33">
      <w:pPr>
        <w:pStyle w:val="K-TextInfo"/>
        <w:ind w:left="360"/>
        <w:rPr>
          <w:i w:val="0"/>
          <w:webHidden/>
          <w:color w:val="auto"/>
        </w:rPr>
      </w:pPr>
      <w:r w:rsidRPr="00A92B33">
        <w:rPr>
          <w:i w:val="0"/>
          <w:webHidden/>
          <w:color w:val="auto"/>
        </w:rPr>
        <w:t xml:space="preserve">V rámci resortní strategie justice bude web justice zakomponován ve strategickém cíli </w:t>
      </w:r>
      <w:r w:rsidRPr="00A92B33">
        <w:rPr>
          <w:b/>
          <w:i w:val="0"/>
          <w:webHidden/>
          <w:color w:val="auto"/>
        </w:rPr>
        <w:t>„d</w:t>
      </w:r>
      <w:r w:rsidRPr="00A92B33">
        <w:rPr>
          <w:b/>
          <w:i w:val="0"/>
          <w:color w:val="auto"/>
        </w:rPr>
        <w:t>igitální služby pro občany a společnosti</w:t>
      </w:r>
      <w:r w:rsidRPr="00A92B33">
        <w:rPr>
          <w:b/>
          <w:i w:val="0"/>
          <w:webHidden/>
          <w:color w:val="auto"/>
        </w:rPr>
        <w:t>“</w:t>
      </w:r>
      <w:r w:rsidRPr="00A92B33">
        <w:rPr>
          <w:i w:val="0"/>
          <w:webHidden/>
          <w:color w:val="auto"/>
        </w:rPr>
        <w:t xml:space="preserve">. </w:t>
      </w:r>
    </w:p>
    <w:p w14:paraId="702B2D8F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Audiozáznamy ze soudních jednání</w:t>
      </w:r>
      <w:r w:rsidRPr="00A92B33">
        <w:rPr>
          <w:i w:val="0"/>
          <w:color w:val="auto"/>
        </w:rPr>
        <w:t xml:space="preserve">, jako samostatnou reformu lze podřadit pod několik cílů informační koncepce České republiky. Audiozáznamy z jednacích místností soudů lze považovat jako veřejnou službu, kdy nahrávanými záznamy mohou disponovat účastnící soudních řízení v rámci elektronického spisu. Tudíž lze reformu podřadit pod cíl č. 1 Uživatelsky přívětivé a efektivní digitální služby pro občany a firmy. Zároveň audiozáznamy zvyšují odolnost a transparentnost justice a lze reformu považovat za naplňování cíle č. 6 – efektivní a pružný digitální úřad. </w:t>
      </w:r>
    </w:p>
    <w:p w14:paraId="437FBEE9" w14:textId="77777777" w:rsidR="00A92B33" w:rsidRPr="00A92B33" w:rsidRDefault="00A92B33" w:rsidP="00A92B33">
      <w:pPr>
        <w:pStyle w:val="K-TextInfo"/>
        <w:ind w:left="360"/>
        <w:rPr>
          <w:i w:val="0"/>
          <w:color w:val="auto"/>
        </w:rPr>
      </w:pPr>
      <w:r w:rsidRPr="00A92B33">
        <w:rPr>
          <w:i w:val="0"/>
          <w:color w:val="auto"/>
        </w:rPr>
        <w:t xml:space="preserve">V rámci resortní strategie budou audiozáznamy ze soudních jednání zakomponovány ve strategickém cíli </w:t>
      </w:r>
      <w:r w:rsidRPr="00A92B33">
        <w:rPr>
          <w:b/>
          <w:i w:val="0"/>
          <w:color w:val="auto"/>
        </w:rPr>
        <w:t>„podpora a rozvoj digitálních technologií v justici</w:t>
      </w:r>
      <w:r w:rsidRPr="00A92B33">
        <w:rPr>
          <w:i w:val="0"/>
          <w:color w:val="auto"/>
        </w:rPr>
        <w:t xml:space="preserve">“. </w:t>
      </w:r>
    </w:p>
    <w:p w14:paraId="16CBC325" w14:textId="77777777" w:rsidR="00A92B33" w:rsidRPr="00A92B33" w:rsidRDefault="00A92B33" w:rsidP="00A92B33">
      <w:pPr>
        <w:pStyle w:val="K-TextInfo"/>
        <w:numPr>
          <w:ilvl w:val="0"/>
          <w:numId w:val="29"/>
        </w:numPr>
        <w:rPr>
          <w:i w:val="0"/>
          <w:color w:val="auto"/>
        </w:rPr>
      </w:pPr>
      <w:r w:rsidRPr="00A92B33">
        <w:rPr>
          <w:b/>
          <w:i w:val="0"/>
          <w:color w:val="auto"/>
        </w:rPr>
        <w:t>Digitální transformace</w:t>
      </w:r>
      <w:r w:rsidRPr="00A92B33">
        <w:rPr>
          <w:i w:val="0"/>
          <w:color w:val="auto"/>
        </w:rPr>
        <w:t xml:space="preserve">, je z hlediska strategického kontextu značně široká reforma. V rámci této reformy se předpokládá vytvoření datové analýzy v resortu justice, která bude sloužit jako základ pro navazující digitální projekty. Z pohledu informační koncepce České republiky této reformě nejlépe odpovídá cíl č. 3 – rozvoj celkového prostředí podporujícího digitální technologie, kdy na základě zjištění uvedených v datové analýze bude probíhat transformace obsahu justice a zkvalitnění poskytovaných služeb v justici. </w:t>
      </w:r>
    </w:p>
    <w:p w14:paraId="220A1565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i w:val="0"/>
          <w:color w:val="auto"/>
        </w:rPr>
        <w:t>Z legislativního hlediska Česká republika v letošním roce přijala, kromě řady dílčích digitálně přívětivých právních aktů, také zákon č. 12/2020 Sb., o právu na digitální služby, který má za cíl urychlit digitalizační snahy a stanovit časový rámec, ve kterém budou jednotlivé veřejné služby poskytované občanům, ze strany veřejné správy, plně digitalizované.</w:t>
      </w:r>
    </w:p>
    <w:p w14:paraId="77E38AF2" w14:textId="77777777" w:rsidR="00A92B33" w:rsidRPr="00A92B33" w:rsidRDefault="00A92B33" w:rsidP="00A92B33">
      <w:pPr>
        <w:pStyle w:val="K-Nadpis3"/>
      </w:pPr>
      <w:r w:rsidRPr="00A92B33">
        <w:t>d) Předchozí snahy</w:t>
      </w:r>
    </w:p>
    <w:p w14:paraId="6F565C26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>Mobilní pracovní stanice</w:t>
      </w:r>
      <w:r w:rsidRPr="00A92B33">
        <w:rPr>
          <w:i w:val="0"/>
          <w:color w:val="auto"/>
        </w:rPr>
        <w:t xml:space="preserve"> – pro pořizování mobilních pracovních stanic nebyl v minulosti vytvořen žádný konkrétní projekt. Současná vybavenost resortu justice zařízeními umožňující výkon práce mimo pracoviště zaměstnavatele probíhal převážně nekoordinovaně a ad-hoc formou pořizováním dle potřeb jednotlivých organizačních složek justice, resp. dle potřeb jednotlivých organizačních jednotek (jednotlivé soudy, státní </w:t>
      </w:r>
      <w:proofErr w:type="gramStart"/>
      <w:r w:rsidRPr="00A92B33">
        <w:rPr>
          <w:i w:val="0"/>
          <w:color w:val="auto"/>
        </w:rPr>
        <w:t>zastupitelství,</w:t>
      </w:r>
      <w:proofErr w:type="gramEnd"/>
      <w:r w:rsidRPr="00A92B33">
        <w:rPr>
          <w:i w:val="0"/>
          <w:color w:val="auto"/>
        </w:rPr>
        <w:t xml:space="preserve"> apod.). </w:t>
      </w:r>
    </w:p>
    <w:p w14:paraId="5F1A0FEB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>Posílení infrastruktury pro digitální pracoviště</w:t>
      </w:r>
      <w:r w:rsidRPr="00A92B33">
        <w:rPr>
          <w:i w:val="0"/>
          <w:color w:val="auto"/>
        </w:rPr>
        <w:t xml:space="preserve"> – úzce souvisí s projektem mobilních pracovních stanic. Hardware sloužící k odbavení vzdáleného připojení a s tím související konektivita byla tudíž řešena nekoordinovaně a ad-hoc formou pořizováním dle potřeb jednotlivých organizačních složek justice, resp. dle potřeb jednotlivých organizačních jednotek (jednotlivé soudy, státní </w:t>
      </w:r>
      <w:proofErr w:type="gramStart"/>
      <w:r w:rsidRPr="00A92B33">
        <w:rPr>
          <w:i w:val="0"/>
          <w:color w:val="auto"/>
        </w:rPr>
        <w:t>zastupitelství,</w:t>
      </w:r>
      <w:proofErr w:type="gramEnd"/>
      <w:r w:rsidRPr="00A92B33">
        <w:rPr>
          <w:i w:val="0"/>
          <w:color w:val="auto"/>
        </w:rPr>
        <w:t xml:space="preserve"> apod.) </w:t>
      </w:r>
    </w:p>
    <w:p w14:paraId="05E19CCA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>Videokonference</w:t>
      </w:r>
      <w:r w:rsidRPr="00A92B33">
        <w:rPr>
          <w:i w:val="0"/>
          <w:color w:val="auto"/>
        </w:rPr>
        <w:t xml:space="preserve"> – Ministerstvo spravedlnosti v minulosti pořídilo z projektu financovaného z Norských fondů videokonferenční zařízení, kterým byly vybaveny některé soudní síně a vězeňská zařízení. Tento projekt byl ukončen v roce 2017. </w:t>
      </w:r>
    </w:p>
    <w:p w14:paraId="3B48B2DF" w14:textId="77777777" w:rsidR="00A92B33" w:rsidRP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>Web justice</w:t>
      </w:r>
      <w:r w:rsidRPr="00A92B33">
        <w:rPr>
          <w:i w:val="0"/>
          <w:color w:val="auto"/>
        </w:rPr>
        <w:t xml:space="preserve"> – V roce 2015 byl ze zdrojů ERDF v rámci Integrovaného operačního programu vytvořen portál justice, který však v dnešní době již nesplňuje požadavky na přístupnost webových stránek, ani požadavky na moderní portálové řešení.</w:t>
      </w:r>
    </w:p>
    <w:p w14:paraId="6F02E568" w14:textId="0F50653B" w:rsidR="00A92B33" w:rsidRDefault="00A92B33" w:rsidP="00A92B33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 xml:space="preserve">Audiozáznamy ze soudních jednání </w:t>
      </w:r>
      <w:r w:rsidRPr="00A92B33">
        <w:rPr>
          <w:i w:val="0"/>
          <w:color w:val="auto"/>
        </w:rPr>
        <w:t xml:space="preserve">– byla uzavřena rámcová smlouva týkající se realizace plnění v podobě elektronizace jednacích síní. </w:t>
      </w:r>
    </w:p>
    <w:p w14:paraId="1A4837CA" w14:textId="77777777" w:rsidR="00DB2EEB" w:rsidRPr="00A92B33" w:rsidRDefault="00DB2EEB" w:rsidP="00A92B33">
      <w:pPr>
        <w:pStyle w:val="K-TextInfo"/>
        <w:rPr>
          <w:i w:val="0"/>
          <w:color w:val="auto"/>
        </w:rPr>
      </w:pPr>
    </w:p>
    <w:p w14:paraId="5BA8CBEF" w14:textId="77777777" w:rsidR="002C20CF" w:rsidRPr="00A92B33" w:rsidRDefault="002C20CF" w:rsidP="00A92B33">
      <w:pPr>
        <w:pStyle w:val="K-Nadpis2"/>
        <w:jc w:val="both"/>
      </w:pPr>
      <w:r w:rsidRPr="00A92B33">
        <w:lastRenderedPageBreak/>
        <w:t xml:space="preserve">3. </w:t>
      </w:r>
      <w:r w:rsidR="00AF3BAB" w:rsidRPr="00A92B33">
        <w:t>Popis reforem</w:t>
      </w:r>
      <w:r w:rsidR="009C04D3" w:rsidRPr="00A92B33">
        <w:t xml:space="preserve"> a investic</w:t>
      </w:r>
      <w:r w:rsidR="00AF3BAB" w:rsidRPr="00A92B33">
        <w:t xml:space="preserve"> k</w:t>
      </w:r>
      <w:r w:rsidRPr="00A92B33">
        <w:t>omponent</w:t>
      </w:r>
      <w:r w:rsidR="00AF3BAB" w:rsidRPr="00A92B33">
        <w:t>y</w:t>
      </w:r>
      <w:r w:rsidRPr="00A92B33">
        <w:t xml:space="preserve"> </w:t>
      </w:r>
    </w:p>
    <w:p w14:paraId="7F96C317" w14:textId="58022F84" w:rsidR="00ED612A" w:rsidRPr="00A92B33" w:rsidRDefault="005B3F5C" w:rsidP="00A92B33">
      <w:pPr>
        <w:pStyle w:val="K-Tabulka"/>
      </w:pPr>
      <w:r w:rsidRPr="00A92B33">
        <w:t xml:space="preserve">1. </w:t>
      </w:r>
      <w:r w:rsidR="0050009E" w:rsidRPr="00A92B33">
        <w:t>Digitální transformace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2465" w:rsidRPr="00A92B33" w14:paraId="670B5AC8" w14:textId="77777777" w:rsidTr="00081843">
        <w:tc>
          <w:tcPr>
            <w:tcW w:w="2405" w:type="dxa"/>
          </w:tcPr>
          <w:p w14:paraId="36F28BB9" w14:textId="0D4A873B" w:rsidR="00852465" w:rsidRPr="00A92B33" w:rsidRDefault="00852465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11E7072F" w14:textId="3BC8FFAF" w:rsidR="00852465" w:rsidRPr="00D0211A" w:rsidRDefault="00D0211A" w:rsidP="00A92B33">
            <w:pPr>
              <w:pStyle w:val="K-TextInfo"/>
              <w:rPr>
                <w:i w:val="0"/>
                <w:iCs w:val="0"/>
              </w:rPr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852465" w:rsidRPr="00A92B33" w14:paraId="5CA2E1FD" w14:textId="77777777" w:rsidTr="00081843">
        <w:tc>
          <w:tcPr>
            <w:tcW w:w="2405" w:type="dxa"/>
          </w:tcPr>
          <w:p w14:paraId="39A69A26" w14:textId="10FDBFDD" w:rsidR="00852465" w:rsidRPr="00A92B33" w:rsidRDefault="00852465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23486079" w14:textId="77777777" w:rsidR="00852465" w:rsidRPr="00A92B33" w:rsidRDefault="00BD33C3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Cílem projektu je komplexní zhodnocení přínosů a potřeb digitalizace do resortu justice, vypracováním datové analýzy (resp. podrobné identifikace procesů), která bude sloužit jako základ pro navazující digitální projekty, jež budou na základě zjištění z analýzy mít za cíl efektivnější výkon činnosti. </w:t>
            </w:r>
          </w:p>
          <w:p w14:paraId="4774886F" w14:textId="47854037" w:rsidR="00BD33C3" w:rsidRPr="00A92B33" w:rsidRDefault="00BD33C3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Kvantitativními cíli jsou provedení kompletní analýzy využití dat a nasazení funkčního datového skladu.</w:t>
            </w:r>
          </w:p>
        </w:tc>
      </w:tr>
      <w:tr w:rsidR="00852465" w:rsidRPr="00A92B33" w14:paraId="0E956A8B" w14:textId="77777777" w:rsidTr="00081843">
        <w:tc>
          <w:tcPr>
            <w:tcW w:w="2405" w:type="dxa"/>
          </w:tcPr>
          <w:p w14:paraId="6FC494AD" w14:textId="5393D2F8" w:rsidR="00852465" w:rsidRPr="00A92B33" w:rsidRDefault="00852465" w:rsidP="00A92B33">
            <w:pPr>
              <w:pStyle w:val="K-Text"/>
            </w:pPr>
            <w:r w:rsidRPr="00A92B33">
              <w:t>Implementace</w:t>
            </w:r>
          </w:p>
        </w:tc>
        <w:tc>
          <w:tcPr>
            <w:tcW w:w="7223" w:type="dxa"/>
          </w:tcPr>
          <w:p w14:paraId="6388B505" w14:textId="3E7E3E4F" w:rsidR="00852465" w:rsidRPr="00A92B33" w:rsidRDefault="00BD33C3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Odbor informatiky Ministerstva Spravedlnosti</w:t>
            </w:r>
          </w:p>
        </w:tc>
      </w:tr>
      <w:tr w:rsidR="00852465" w:rsidRPr="00A92B33" w14:paraId="2195ABDF" w14:textId="77777777" w:rsidTr="00081843">
        <w:trPr>
          <w:trHeight w:val="70"/>
        </w:trPr>
        <w:tc>
          <w:tcPr>
            <w:tcW w:w="2405" w:type="dxa"/>
          </w:tcPr>
          <w:p w14:paraId="1525154A" w14:textId="32423FFF" w:rsidR="00852465" w:rsidRPr="00A92B33" w:rsidRDefault="005B3F5C" w:rsidP="00A92B33">
            <w:pPr>
              <w:pStyle w:val="K-Text"/>
            </w:pPr>
            <w:r w:rsidRPr="00A92B33">
              <w:t>Spolupráce a z</w:t>
            </w:r>
            <w:r w:rsidR="00852465" w:rsidRPr="00A92B33">
              <w:t>apojení zúčastněných stran</w:t>
            </w:r>
          </w:p>
        </w:tc>
        <w:tc>
          <w:tcPr>
            <w:tcW w:w="7223" w:type="dxa"/>
          </w:tcPr>
          <w:p w14:paraId="4AAE739A" w14:textId="7DB2F154" w:rsidR="00852465" w:rsidRPr="00A92B33" w:rsidRDefault="00BD33C3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Vysoutěžený zhotovitel analýzy, vysoutěžený dodavatel datového skladu, vysoutěžený dodavatel informačního systému pro rejstřík Znalců a Tlumočníků.</w:t>
            </w:r>
          </w:p>
        </w:tc>
      </w:tr>
      <w:tr w:rsidR="00852465" w:rsidRPr="00A92B33" w14:paraId="58888365" w14:textId="77777777" w:rsidTr="00081843">
        <w:tc>
          <w:tcPr>
            <w:tcW w:w="2405" w:type="dxa"/>
          </w:tcPr>
          <w:p w14:paraId="05EF4416" w14:textId="1A84B1CC" w:rsidR="00852465" w:rsidRPr="00A92B33" w:rsidRDefault="00852465" w:rsidP="00A92B33">
            <w:pPr>
              <w:pStyle w:val="K-Text"/>
            </w:pPr>
            <w:r w:rsidRPr="00A92B33">
              <w:t>Překážky</w:t>
            </w:r>
            <w:r w:rsidR="005B3F5C" w:rsidRPr="00A92B33">
              <w:t xml:space="preserve"> a rizika</w:t>
            </w:r>
          </w:p>
        </w:tc>
        <w:tc>
          <w:tcPr>
            <w:tcW w:w="7223" w:type="dxa"/>
          </w:tcPr>
          <w:p w14:paraId="4713AAB4" w14:textId="666407C4" w:rsidR="00852465" w:rsidRPr="00A92B33" w:rsidRDefault="00BD33C3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Dostatečně detailní vypracování technických specifikací a zadávacích dokumentací; identifikace hodnotících kritérií u analýzy; potenciální nutnost úpravy legislativy; součinnost s dodavateli a stakeholdery+ personální kapacity.</w:t>
            </w:r>
          </w:p>
        </w:tc>
      </w:tr>
      <w:tr w:rsidR="00996DF6" w:rsidRPr="00A92B33" w14:paraId="10F7FBF5" w14:textId="77777777" w:rsidTr="00081843">
        <w:tc>
          <w:tcPr>
            <w:tcW w:w="2405" w:type="dxa"/>
          </w:tcPr>
          <w:p w14:paraId="4390B09E" w14:textId="322A58E7" w:rsidR="00996DF6" w:rsidRPr="00A92B33" w:rsidRDefault="00996DF6" w:rsidP="00A92B33">
            <w:pPr>
              <w:pStyle w:val="K-Text"/>
            </w:pPr>
            <w:r w:rsidRPr="00A92B33">
              <w:t>Cílové skupiny populace a ekonomické subjekty</w:t>
            </w:r>
          </w:p>
        </w:tc>
        <w:tc>
          <w:tcPr>
            <w:tcW w:w="7223" w:type="dxa"/>
          </w:tcPr>
          <w:p w14:paraId="20D470CC" w14:textId="505C0732" w:rsidR="00996DF6" w:rsidRPr="00A92B33" w:rsidRDefault="0008544E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Kromě zaměstnanců rezortu justice jsou cílovou skupinou též občané ČR.</w:t>
            </w:r>
          </w:p>
        </w:tc>
      </w:tr>
      <w:tr w:rsidR="00996DF6" w:rsidRPr="00A92B33" w14:paraId="7A9BAC13" w14:textId="77777777" w:rsidTr="00081843">
        <w:tc>
          <w:tcPr>
            <w:tcW w:w="2405" w:type="dxa"/>
          </w:tcPr>
          <w:p w14:paraId="7C2A959D" w14:textId="2F562376" w:rsidR="00996DF6" w:rsidRPr="00A92B33" w:rsidRDefault="00996DF6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08BAA013" w14:textId="6029C777" w:rsidR="00996DF6" w:rsidRPr="00A92B33" w:rsidRDefault="001866D5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110 mil. Kč</w:t>
            </w:r>
          </w:p>
        </w:tc>
      </w:tr>
      <w:tr w:rsidR="00852465" w:rsidRPr="00A92B33" w14:paraId="781CAD7E" w14:textId="77777777" w:rsidTr="00081843">
        <w:tc>
          <w:tcPr>
            <w:tcW w:w="2405" w:type="dxa"/>
          </w:tcPr>
          <w:p w14:paraId="0825A8E4" w14:textId="4B619239" w:rsidR="00852465" w:rsidRPr="00A92B33" w:rsidRDefault="00852465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27CCD539" w14:textId="5805AAF9" w:rsidR="00852465" w:rsidRPr="00A92B33" w:rsidRDefault="001B0E8D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N</w:t>
            </w:r>
            <w:r w:rsidR="00414742" w:rsidRPr="00A92B33">
              <w:rPr>
                <w:i w:val="0"/>
                <w:iCs w:val="0"/>
                <w:color w:val="auto"/>
              </w:rPr>
              <w:t>erelevantní</w:t>
            </w:r>
          </w:p>
        </w:tc>
      </w:tr>
      <w:tr w:rsidR="00852465" w:rsidRPr="00A92B33" w14:paraId="2DC848FC" w14:textId="77777777" w:rsidTr="00081843">
        <w:tc>
          <w:tcPr>
            <w:tcW w:w="2405" w:type="dxa"/>
          </w:tcPr>
          <w:p w14:paraId="7968264E" w14:textId="1DF85D5F" w:rsidR="00852465" w:rsidRPr="00A92B33" w:rsidRDefault="00996DF6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2B927CBE" w14:textId="6A250F80" w:rsidR="00852465" w:rsidRPr="00A92B33" w:rsidRDefault="001866D5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36 měsíců; do 31.12.2023</w:t>
            </w:r>
          </w:p>
        </w:tc>
      </w:tr>
    </w:tbl>
    <w:p w14:paraId="1A99F811" w14:textId="69C660E4" w:rsidR="000C0598" w:rsidRPr="00A92B33" w:rsidRDefault="000C0598" w:rsidP="00A92B33">
      <w:pPr>
        <w:pStyle w:val="K-Text"/>
      </w:pPr>
    </w:p>
    <w:p w14:paraId="1A00C870" w14:textId="31836DA3" w:rsidR="0050009E" w:rsidRPr="00A92B33" w:rsidRDefault="0050009E" w:rsidP="00A92B33">
      <w:pPr>
        <w:pStyle w:val="K-Tabulka"/>
      </w:pPr>
      <w:r w:rsidRPr="00A92B33">
        <w:t xml:space="preserve">2. </w:t>
      </w:r>
      <w:proofErr w:type="gramStart"/>
      <w:r w:rsidRPr="00A92B33">
        <w:t>Web</w:t>
      </w:r>
      <w:proofErr w:type="gramEnd"/>
      <w:r w:rsidRPr="00A92B33">
        <w:t xml:space="preserve"> justice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09E" w:rsidRPr="00A92B33" w14:paraId="59842DF4" w14:textId="77777777" w:rsidTr="00C317DF">
        <w:tc>
          <w:tcPr>
            <w:tcW w:w="2405" w:type="dxa"/>
          </w:tcPr>
          <w:p w14:paraId="2B163B65" w14:textId="77777777" w:rsidR="0050009E" w:rsidRPr="00A92B33" w:rsidRDefault="0050009E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0EF148D8" w14:textId="4E2FAA18" w:rsidR="0050009E" w:rsidRPr="00A92B33" w:rsidRDefault="00D0211A" w:rsidP="00A92B33">
            <w:pPr>
              <w:pStyle w:val="K-TextInfo"/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50009E" w:rsidRPr="00A92B33" w14:paraId="6DCB4CE2" w14:textId="77777777" w:rsidTr="00C317DF">
        <w:tc>
          <w:tcPr>
            <w:tcW w:w="2405" w:type="dxa"/>
          </w:tcPr>
          <w:p w14:paraId="3EE3DF47" w14:textId="77777777" w:rsidR="0050009E" w:rsidRPr="00A92B33" w:rsidRDefault="0050009E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46F98760" w14:textId="5C23D448" w:rsidR="0050009E" w:rsidRPr="00A92B33" w:rsidRDefault="001866D5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rFonts w:cstheme="minorHAnsi"/>
                <w:i w:val="0"/>
                <w:iCs w:val="0"/>
                <w:color w:val="auto"/>
              </w:rPr>
              <w:t>Cílem projektu je vytvoření internetového portálu justice, kde bude moci uživatel získat přehledně a přístupně základní informace o justici a také bude moci využít jednotlivých digitálních služeb (jako jsou rozličná podání, přístupy a nahlížení do evidencí apod.).</w:t>
            </w:r>
          </w:p>
        </w:tc>
      </w:tr>
      <w:tr w:rsidR="0050009E" w:rsidRPr="00A92B33" w14:paraId="5E961809" w14:textId="77777777" w:rsidTr="00C317DF">
        <w:tc>
          <w:tcPr>
            <w:tcW w:w="2405" w:type="dxa"/>
          </w:tcPr>
          <w:p w14:paraId="2B51603B" w14:textId="77777777" w:rsidR="0050009E" w:rsidRPr="00A92B33" w:rsidRDefault="0050009E" w:rsidP="00A92B33">
            <w:pPr>
              <w:pStyle w:val="K-Text"/>
            </w:pPr>
            <w:r w:rsidRPr="00A92B33">
              <w:t>Implementace</w:t>
            </w:r>
          </w:p>
        </w:tc>
        <w:tc>
          <w:tcPr>
            <w:tcW w:w="7223" w:type="dxa"/>
          </w:tcPr>
          <w:p w14:paraId="6BE58116" w14:textId="428EE204" w:rsidR="0050009E" w:rsidRPr="00A92B33" w:rsidRDefault="00C317DF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Odbor informatiky Ministerstva spravedlnosti</w:t>
            </w:r>
          </w:p>
        </w:tc>
      </w:tr>
      <w:tr w:rsidR="0050009E" w:rsidRPr="00A92B33" w14:paraId="34CA2EED" w14:textId="77777777" w:rsidTr="00C317DF">
        <w:trPr>
          <w:trHeight w:val="70"/>
        </w:trPr>
        <w:tc>
          <w:tcPr>
            <w:tcW w:w="2405" w:type="dxa"/>
          </w:tcPr>
          <w:p w14:paraId="3F24F29A" w14:textId="77777777" w:rsidR="0050009E" w:rsidRPr="00A92B33" w:rsidRDefault="0050009E" w:rsidP="00A92B33">
            <w:pPr>
              <w:pStyle w:val="K-Text"/>
            </w:pPr>
            <w:r w:rsidRPr="00A92B33">
              <w:t>Spolupráce a zapojení zúčastněných stran</w:t>
            </w:r>
          </w:p>
        </w:tc>
        <w:tc>
          <w:tcPr>
            <w:tcW w:w="7223" w:type="dxa"/>
          </w:tcPr>
          <w:p w14:paraId="077BD5EA" w14:textId="32A17337" w:rsidR="0050009E" w:rsidRPr="00A92B33" w:rsidRDefault="00C317DF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Vysoutěžený dodavatel platformy, vysoutěžený dodavatel uživatelského průzkumu.</w:t>
            </w:r>
          </w:p>
        </w:tc>
      </w:tr>
      <w:tr w:rsidR="0050009E" w:rsidRPr="00A92B33" w14:paraId="202C5093" w14:textId="77777777" w:rsidTr="00C317DF">
        <w:tc>
          <w:tcPr>
            <w:tcW w:w="2405" w:type="dxa"/>
          </w:tcPr>
          <w:p w14:paraId="4B77076C" w14:textId="77777777" w:rsidR="0050009E" w:rsidRPr="00A92B33" w:rsidRDefault="0050009E" w:rsidP="00A92B33">
            <w:pPr>
              <w:pStyle w:val="K-Text"/>
            </w:pPr>
            <w:r w:rsidRPr="00A92B33">
              <w:t>Překážky a rizika</w:t>
            </w:r>
          </w:p>
        </w:tc>
        <w:tc>
          <w:tcPr>
            <w:tcW w:w="7223" w:type="dxa"/>
          </w:tcPr>
          <w:p w14:paraId="3064A575" w14:textId="4F7658AF" w:rsidR="0050009E" w:rsidRPr="00A92B33" w:rsidRDefault="00C317DF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Zvolený způsob zadávacího řízení; dostatečně detailně vypracované zadávací dokumentace; Kvalita uživatelského průzkumu; Identifikace cílových skupin; součinnost stakeholderů; zaškolení uživatelů</w:t>
            </w:r>
          </w:p>
        </w:tc>
      </w:tr>
      <w:tr w:rsidR="0050009E" w:rsidRPr="00A92B33" w14:paraId="6FA804D0" w14:textId="77777777" w:rsidTr="00C317DF">
        <w:tc>
          <w:tcPr>
            <w:tcW w:w="2405" w:type="dxa"/>
          </w:tcPr>
          <w:p w14:paraId="5F1BCD6D" w14:textId="77777777" w:rsidR="0050009E" w:rsidRPr="00A92B33" w:rsidRDefault="0050009E" w:rsidP="00A92B33">
            <w:pPr>
              <w:pStyle w:val="K-Text"/>
            </w:pPr>
            <w:r w:rsidRPr="00A92B33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48A4A703" w14:textId="74DA2051" w:rsidR="0050009E" w:rsidRPr="00A92B33" w:rsidRDefault="00C317DF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Kromě zaměstnanců rezortu justice a všech </w:t>
            </w:r>
            <w:r w:rsidR="00042B69" w:rsidRPr="00A92B33">
              <w:rPr>
                <w:i w:val="0"/>
                <w:iCs w:val="0"/>
                <w:color w:val="auto"/>
              </w:rPr>
              <w:t>podřízených organizací též všichni občané ČR a firmy. Cílovou skupinou je jak odborná</w:t>
            </w:r>
            <w:r w:rsidR="006A7342" w:rsidRPr="00A92B33">
              <w:rPr>
                <w:i w:val="0"/>
                <w:iCs w:val="0"/>
                <w:color w:val="auto"/>
              </w:rPr>
              <w:t>,</w:t>
            </w:r>
            <w:r w:rsidR="00042B69" w:rsidRPr="00A92B33">
              <w:rPr>
                <w:i w:val="0"/>
                <w:iCs w:val="0"/>
                <w:color w:val="auto"/>
              </w:rPr>
              <w:t xml:space="preserve"> tak laická veřejnost. </w:t>
            </w:r>
          </w:p>
        </w:tc>
      </w:tr>
      <w:tr w:rsidR="0050009E" w:rsidRPr="00A92B33" w14:paraId="769CA5DD" w14:textId="77777777" w:rsidTr="00C317DF">
        <w:tc>
          <w:tcPr>
            <w:tcW w:w="2405" w:type="dxa"/>
          </w:tcPr>
          <w:p w14:paraId="1BCDA0E4" w14:textId="77777777" w:rsidR="0050009E" w:rsidRPr="00A92B33" w:rsidRDefault="0050009E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3AA21216" w14:textId="14CBBD56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20 mil. Kč</w:t>
            </w:r>
          </w:p>
        </w:tc>
      </w:tr>
      <w:tr w:rsidR="0050009E" w:rsidRPr="00A92B33" w14:paraId="428747BD" w14:textId="77777777" w:rsidTr="00C317DF">
        <w:tc>
          <w:tcPr>
            <w:tcW w:w="2405" w:type="dxa"/>
          </w:tcPr>
          <w:p w14:paraId="72940140" w14:textId="77777777" w:rsidR="0050009E" w:rsidRPr="00A92B33" w:rsidRDefault="0050009E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3300D8BB" w14:textId="122852C3" w:rsidR="0050009E" w:rsidRPr="00A92B33" w:rsidRDefault="001B0E8D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N</w:t>
            </w:r>
            <w:r w:rsidR="00414742" w:rsidRPr="00A92B33">
              <w:rPr>
                <w:i w:val="0"/>
                <w:iCs w:val="0"/>
                <w:color w:val="auto"/>
              </w:rPr>
              <w:t>erelevantní</w:t>
            </w:r>
          </w:p>
        </w:tc>
      </w:tr>
      <w:tr w:rsidR="0050009E" w:rsidRPr="00A92B33" w14:paraId="3DCB9713" w14:textId="77777777" w:rsidTr="00C317DF">
        <w:tc>
          <w:tcPr>
            <w:tcW w:w="2405" w:type="dxa"/>
          </w:tcPr>
          <w:p w14:paraId="5AD7F447" w14:textId="77777777" w:rsidR="0050009E" w:rsidRPr="00A92B33" w:rsidRDefault="0050009E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29C320BC" w14:textId="69FDA1DF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30 měsíců, do 30.06.2023</w:t>
            </w:r>
          </w:p>
        </w:tc>
      </w:tr>
    </w:tbl>
    <w:p w14:paraId="7A7FF5AC" w14:textId="466F9862" w:rsidR="0050009E" w:rsidRPr="00A92B33" w:rsidRDefault="0050009E" w:rsidP="00A92B33">
      <w:pPr>
        <w:pStyle w:val="K-Text"/>
      </w:pPr>
    </w:p>
    <w:p w14:paraId="20E0D988" w14:textId="721D5498" w:rsidR="0050009E" w:rsidRPr="00A92B33" w:rsidRDefault="0050009E" w:rsidP="00A92B33">
      <w:pPr>
        <w:pStyle w:val="K-Tabulka"/>
      </w:pPr>
      <w:r w:rsidRPr="00A92B33">
        <w:t>3. Audiozáznamy ze soudních jednání a přepis na text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09E" w:rsidRPr="00A92B33" w14:paraId="3C96D2B1" w14:textId="77777777" w:rsidTr="00C317DF">
        <w:tc>
          <w:tcPr>
            <w:tcW w:w="2405" w:type="dxa"/>
          </w:tcPr>
          <w:p w14:paraId="6D05ED1A" w14:textId="77777777" w:rsidR="0050009E" w:rsidRPr="00A92B33" w:rsidRDefault="0050009E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1765EF37" w14:textId="40FF545E" w:rsidR="0050009E" w:rsidRPr="00A92B33" w:rsidRDefault="00D0211A" w:rsidP="00A92B33">
            <w:pPr>
              <w:pStyle w:val="K-TextInfo"/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50009E" w:rsidRPr="00A92B33" w14:paraId="29AD006A" w14:textId="77777777" w:rsidTr="00C317DF">
        <w:tc>
          <w:tcPr>
            <w:tcW w:w="2405" w:type="dxa"/>
          </w:tcPr>
          <w:p w14:paraId="011DB59C" w14:textId="77777777" w:rsidR="0050009E" w:rsidRPr="00A92B33" w:rsidRDefault="0050009E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6BCCC4F6" w14:textId="4BBEFA53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Cílem projektu je instalace zařízení sloužících k pořizování audiovizuálních dat v rámci soudního jednání a o stavebně-technickou úpravu soudních síní s tím spojenou.</w:t>
            </w:r>
          </w:p>
        </w:tc>
      </w:tr>
      <w:tr w:rsidR="0050009E" w:rsidRPr="00A92B33" w14:paraId="12B69855" w14:textId="77777777" w:rsidTr="00C317DF">
        <w:tc>
          <w:tcPr>
            <w:tcW w:w="2405" w:type="dxa"/>
          </w:tcPr>
          <w:p w14:paraId="6CF5A8DD" w14:textId="77777777" w:rsidR="0050009E" w:rsidRPr="00A92B33" w:rsidRDefault="0050009E" w:rsidP="00A92B33">
            <w:pPr>
              <w:pStyle w:val="K-Text"/>
            </w:pPr>
            <w:r w:rsidRPr="00A92B33">
              <w:t>Implementace</w:t>
            </w:r>
          </w:p>
        </w:tc>
        <w:tc>
          <w:tcPr>
            <w:tcW w:w="7223" w:type="dxa"/>
          </w:tcPr>
          <w:p w14:paraId="275C15A1" w14:textId="67AD58B0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Stávající dodavatel předmětu plnění</w:t>
            </w:r>
          </w:p>
        </w:tc>
      </w:tr>
      <w:tr w:rsidR="0050009E" w:rsidRPr="00A92B33" w14:paraId="4F675C22" w14:textId="77777777" w:rsidTr="00A92B33">
        <w:trPr>
          <w:trHeight w:val="70"/>
        </w:trPr>
        <w:tc>
          <w:tcPr>
            <w:tcW w:w="2405" w:type="dxa"/>
          </w:tcPr>
          <w:p w14:paraId="01FEBC5D" w14:textId="77777777" w:rsidR="0050009E" w:rsidRPr="00A92B33" w:rsidRDefault="0050009E" w:rsidP="00A92B33">
            <w:pPr>
              <w:pStyle w:val="K-Text"/>
            </w:pPr>
            <w:r w:rsidRPr="00A92B33">
              <w:t>Spolupráce a zapojení zúčastněných stran</w:t>
            </w:r>
          </w:p>
        </w:tc>
        <w:tc>
          <w:tcPr>
            <w:tcW w:w="7223" w:type="dxa"/>
            <w:shd w:val="clear" w:color="auto" w:fill="auto"/>
          </w:tcPr>
          <w:p w14:paraId="248CFA34" w14:textId="3061D910" w:rsidR="0050009E" w:rsidRPr="00A92B33" w:rsidRDefault="00A92B33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Kromě dodavatele je třeba součinnosti justičního personálu konkrétního soudu</w:t>
            </w:r>
          </w:p>
        </w:tc>
      </w:tr>
      <w:tr w:rsidR="0050009E" w:rsidRPr="00A92B33" w14:paraId="03B369B5" w14:textId="77777777" w:rsidTr="00C317DF">
        <w:tc>
          <w:tcPr>
            <w:tcW w:w="2405" w:type="dxa"/>
          </w:tcPr>
          <w:p w14:paraId="4B465A85" w14:textId="77777777" w:rsidR="0050009E" w:rsidRPr="00A92B33" w:rsidRDefault="0050009E" w:rsidP="00A92B33">
            <w:pPr>
              <w:pStyle w:val="K-Text"/>
            </w:pPr>
            <w:r w:rsidRPr="00A92B33">
              <w:t>Překážky a rizika</w:t>
            </w:r>
          </w:p>
        </w:tc>
        <w:tc>
          <w:tcPr>
            <w:tcW w:w="7223" w:type="dxa"/>
          </w:tcPr>
          <w:p w14:paraId="650B75CF" w14:textId="4956C153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Stavebně-technická specifika při implementaci.</w:t>
            </w:r>
          </w:p>
        </w:tc>
      </w:tr>
      <w:tr w:rsidR="0050009E" w:rsidRPr="00A92B33" w14:paraId="556855F4" w14:textId="77777777" w:rsidTr="00C317DF">
        <w:tc>
          <w:tcPr>
            <w:tcW w:w="2405" w:type="dxa"/>
          </w:tcPr>
          <w:p w14:paraId="14EB00A0" w14:textId="77777777" w:rsidR="0050009E" w:rsidRPr="00A92B33" w:rsidRDefault="0050009E" w:rsidP="00A92B33">
            <w:pPr>
              <w:pStyle w:val="K-Text"/>
            </w:pPr>
            <w:r w:rsidRPr="00A92B33">
              <w:t>Cílové skupiny populace a ekonomické subjekty</w:t>
            </w:r>
          </w:p>
        </w:tc>
        <w:tc>
          <w:tcPr>
            <w:tcW w:w="7223" w:type="dxa"/>
          </w:tcPr>
          <w:p w14:paraId="1683B2A0" w14:textId="6C420D00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Všichni účastníci soudních jednání.</w:t>
            </w:r>
          </w:p>
        </w:tc>
      </w:tr>
      <w:tr w:rsidR="0050009E" w:rsidRPr="00A92B33" w14:paraId="29065D26" w14:textId="77777777" w:rsidTr="00C317DF">
        <w:tc>
          <w:tcPr>
            <w:tcW w:w="2405" w:type="dxa"/>
          </w:tcPr>
          <w:p w14:paraId="1EB64377" w14:textId="77777777" w:rsidR="0050009E" w:rsidRPr="00A92B33" w:rsidRDefault="0050009E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5146ED31" w14:textId="1C06B24B" w:rsidR="0050009E" w:rsidRPr="00A92B33" w:rsidRDefault="0042027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300 mil. Kč</w:t>
            </w:r>
          </w:p>
        </w:tc>
      </w:tr>
      <w:tr w:rsidR="0050009E" w:rsidRPr="00A92B33" w14:paraId="716A32E2" w14:textId="77777777" w:rsidTr="00C317DF">
        <w:tc>
          <w:tcPr>
            <w:tcW w:w="2405" w:type="dxa"/>
          </w:tcPr>
          <w:p w14:paraId="7430474E" w14:textId="77777777" w:rsidR="0050009E" w:rsidRPr="00A92B33" w:rsidRDefault="0050009E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7B2C66A1" w14:textId="7642DF7C" w:rsidR="0050009E" w:rsidRPr="00A92B33" w:rsidRDefault="0041474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nerelevantní</w:t>
            </w:r>
          </w:p>
        </w:tc>
      </w:tr>
      <w:tr w:rsidR="0050009E" w:rsidRPr="00A92B33" w14:paraId="7098422C" w14:textId="77777777" w:rsidTr="00C317DF">
        <w:tc>
          <w:tcPr>
            <w:tcW w:w="2405" w:type="dxa"/>
          </w:tcPr>
          <w:p w14:paraId="122F06CF" w14:textId="77777777" w:rsidR="0050009E" w:rsidRPr="00A92B33" w:rsidRDefault="0050009E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3124ECAC" w14:textId="44A4A12E" w:rsidR="0050009E" w:rsidRPr="00A92B33" w:rsidRDefault="00864C4C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31 měsíců, do 30.06.2023</w:t>
            </w:r>
          </w:p>
        </w:tc>
      </w:tr>
    </w:tbl>
    <w:p w14:paraId="2F531071" w14:textId="41F4BC4F" w:rsidR="007C0788" w:rsidRPr="00A92B33" w:rsidRDefault="007C0788" w:rsidP="00A92B33">
      <w:pPr>
        <w:pStyle w:val="K-Text"/>
      </w:pPr>
    </w:p>
    <w:p w14:paraId="1FCE690A" w14:textId="521F1127" w:rsidR="002E19BA" w:rsidRPr="00A92B33" w:rsidRDefault="0015052B" w:rsidP="00A92B33">
      <w:pPr>
        <w:pStyle w:val="K-Nadpis3"/>
      </w:pPr>
      <w:r w:rsidRPr="00A92B33">
        <w:t>b</w:t>
      </w:r>
      <w:r w:rsidR="000C0598" w:rsidRPr="00A92B33">
        <w:t xml:space="preserve">) Popis </w:t>
      </w:r>
      <w:r w:rsidR="002E19BA" w:rsidRPr="00A92B33">
        <w:t>investic</w:t>
      </w:r>
    </w:p>
    <w:p w14:paraId="182A7AA4" w14:textId="2C50B712" w:rsidR="00C96099" w:rsidRPr="00A92B33" w:rsidRDefault="00C96099" w:rsidP="00A92B33">
      <w:pPr>
        <w:pStyle w:val="K-Tabulka"/>
      </w:pPr>
      <w:r w:rsidRPr="00A92B33">
        <w:t xml:space="preserve">1. </w:t>
      </w:r>
      <w:r w:rsidR="00CF5796" w:rsidRPr="00A92B33">
        <w:t>Mobilní pracovní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6099" w:rsidRPr="00A92B33" w14:paraId="1EE1EABD" w14:textId="77777777" w:rsidTr="00C666BD">
        <w:tc>
          <w:tcPr>
            <w:tcW w:w="2405" w:type="dxa"/>
          </w:tcPr>
          <w:p w14:paraId="30AFAAF7" w14:textId="77777777" w:rsidR="00C96099" w:rsidRPr="00A92B33" w:rsidRDefault="00C96099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5E3E80D9" w14:textId="33507F78" w:rsidR="00C96099" w:rsidRPr="00A92B33" w:rsidRDefault="00D0211A" w:rsidP="00A92B33">
            <w:pPr>
              <w:pStyle w:val="K-TextInfo"/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C96099" w:rsidRPr="00A92B33" w14:paraId="114F659C" w14:textId="77777777" w:rsidTr="00C666BD">
        <w:tc>
          <w:tcPr>
            <w:tcW w:w="2405" w:type="dxa"/>
          </w:tcPr>
          <w:p w14:paraId="5BF70955" w14:textId="77777777" w:rsidR="00C96099" w:rsidRPr="00A92B33" w:rsidRDefault="00C96099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441F7430" w14:textId="77777777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Cílem projektu je vybavení justičního personálu zařízením umožňujícím vzdálený přístup k justiční síti pro potřeby práce z jiného místa (HO, práce v terénu aj.). </w:t>
            </w:r>
          </w:p>
          <w:p w14:paraId="05B91BBA" w14:textId="77777777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Mobilní pracovní stanice mají zajistit, aby za zvláštních okolností (např. současná krize COVID 19) nedocházelo k omezování či nedostupnosti </w:t>
            </w:r>
            <w:r w:rsidRPr="00A92B33">
              <w:rPr>
                <w:i w:val="0"/>
                <w:iCs w:val="0"/>
                <w:color w:val="auto"/>
              </w:rPr>
              <w:lastRenderedPageBreak/>
              <w:t xml:space="preserve">výkonu služeb vůči občanovi, firmám a dalším stakeholderům. Zachování standardu služeb bude rovněž umožněno v běžném provozu (výslechy účastníků/svědků ve věznicích, provádění důkazů na místě apod.). </w:t>
            </w:r>
          </w:p>
          <w:p w14:paraId="2969589B" w14:textId="77777777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</w:p>
          <w:p w14:paraId="49790853" w14:textId="7A262DFF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Bude rovněž podpořena možnost flexibility práce z hlediska místa výkonu práce, času a množství práce (částečné úvazky, HO, sdílené pozice aj.), a to např. z důvodu sladění zaměstnání s péčí o děti a rodinu, změny zdravotního stavu, studia při práci apod.</w:t>
            </w:r>
          </w:p>
          <w:p w14:paraId="25BF9BE8" w14:textId="42CCC7F5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</w:p>
          <w:p w14:paraId="2F2DF652" w14:textId="6655E62E" w:rsidR="00C96099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Kvantitativním cílem je pořídit 9500 mobilních pracovních stanic. </w:t>
            </w:r>
          </w:p>
        </w:tc>
      </w:tr>
      <w:tr w:rsidR="00C96099" w:rsidRPr="00A92B33" w14:paraId="5C365FE9" w14:textId="77777777" w:rsidTr="00C666BD">
        <w:tc>
          <w:tcPr>
            <w:tcW w:w="2405" w:type="dxa"/>
          </w:tcPr>
          <w:p w14:paraId="2DF9BF88" w14:textId="77777777" w:rsidR="00C96099" w:rsidRPr="00A92B33" w:rsidRDefault="00C96099" w:rsidP="00A92B33">
            <w:pPr>
              <w:pStyle w:val="K-Text"/>
            </w:pPr>
            <w:r w:rsidRPr="00A92B33">
              <w:lastRenderedPageBreak/>
              <w:t>Implementace</w:t>
            </w:r>
          </w:p>
        </w:tc>
        <w:tc>
          <w:tcPr>
            <w:tcW w:w="7223" w:type="dxa"/>
          </w:tcPr>
          <w:p w14:paraId="61357E2D" w14:textId="0B985F0E" w:rsidR="00C96099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Odbor informatiky Ministerstva Spravedlnosti bude spravovat a </w:t>
            </w:r>
            <w:r w:rsidR="00E72C6C" w:rsidRPr="00A92B33">
              <w:rPr>
                <w:i w:val="0"/>
                <w:iCs w:val="0"/>
                <w:color w:val="auto"/>
              </w:rPr>
              <w:t>distribuovat</w:t>
            </w:r>
            <w:r w:rsidRPr="00A92B33">
              <w:rPr>
                <w:i w:val="0"/>
                <w:iCs w:val="0"/>
                <w:color w:val="auto"/>
              </w:rPr>
              <w:t xml:space="preserve"> mobilní pracovní stanice zaměstnancům resortu justice ve spolupráci s Odborem </w:t>
            </w:r>
            <w:r w:rsidR="00E72C6C" w:rsidRPr="00A92B33">
              <w:rPr>
                <w:i w:val="0"/>
                <w:iCs w:val="0"/>
                <w:color w:val="auto"/>
              </w:rPr>
              <w:t>Investic a majetku.</w:t>
            </w:r>
          </w:p>
        </w:tc>
      </w:tr>
      <w:tr w:rsidR="00C96099" w:rsidRPr="00A92B33" w14:paraId="4A3DC733" w14:textId="77777777" w:rsidTr="00C666BD">
        <w:trPr>
          <w:trHeight w:val="70"/>
        </w:trPr>
        <w:tc>
          <w:tcPr>
            <w:tcW w:w="2405" w:type="dxa"/>
          </w:tcPr>
          <w:p w14:paraId="2D0A4623" w14:textId="77777777" w:rsidR="00C96099" w:rsidRPr="00A92B33" w:rsidRDefault="00C96099" w:rsidP="00A92B33">
            <w:pPr>
              <w:pStyle w:val="K-Text"/>
            </w:pPr>
            <w:r w:rsidRPr="00A92B33">
              <w:t>Spolupráce a zapojení zúčastněných stran</w:t>
            </w:r>
          </w:p>
        </w:tc>
        <w:tc>
          <w:tcPr>
            <w:tcW w:w="7223" w:type="dxa"/>
          </w:tcPr>
          <w:p w14:paraId="7E31740B" w14:textId="421ABF80" w:rsidR="00C96099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Vysoutěžený dodavatel mobilních pracovních stanic</w:t>
            </w:r>
          </w:p>
        </w:tc>
      </w:tr>
      <w:tr w:rsidR="00C96099" w:rsidRPr="00A92B33" w14:paraId="05BCE861" w14:textId="77777777" w:rsidTr="00C666BD">
        <w:tc>
          <w:tcPr>
            <w:tcW w:w="2405" w:type="dxa"/>
          </w:tcPr>
          <w:p w14:paraId="3F0FDD73" w14:textId="77777777" w:rsidR="00C96099" w:rsidRPr="00A92B33" w:rsidRDefault="00C96099" w:rsidP="00A92B33">
            <w:pPr>
              <w:pStyle w:val="K-Text"/>
            </w:pPr>
            <w:r w:rsidRPr="00A92B33">
              <w:t>Překážky a rizika</w:t>
            </w:r>
          </w:p>
        </w:tc>
        <w:tc>
          <w:tcPr>
            <w:tcW w:w="7223" w:type="dxa"/>
          </w:tcPr>
          <w:p w14:paraId="7E1AA7C6" w14:textId="77777777" w:rsidR="00C96099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Zajištění vhodného HW pro účely mobilních pracovních stanic</w:t>
            </w:r>
          </w:p>
          <w:p w14:paraId="5EAF4A29" w14:textId="67446DCA" w:rsidR="00D35CD2" w:rsidRPr="00A92B33" w:rsidRDefault="00D35CD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Vysoutěžení dostatečně robustního dodavatele ke včasnému dodání požadovaného plnění</w:t>
            </w:r>
          </w:p>
        </w:tc>
      </w:tr>
      <w:tr w:rsidR="00C96099" w:rsidRPr="00A92B33" w14:paraId="5DCC73F4" w14:textId="77777777" w:rsidTr="00C666BD">
        <w:tc>
          <w:tcPr>
            <w:tcW w:w="2405" w:type="dxa"/>
          </w:tcPr>
          <w:p w14:paraId="3B2B90C7" w14:textId="77777777" w:rsidR="00C96099" w:rsidRPr="00A92B33" w:rsidRDefault="00C96099" w:rsidP="00A92B33">
            <w:pPr>
              <w:pStyle w:val="K-Text"/>
            </w:pPr>
            <w:r w:rsidRPr="00A92B33">
              <w:t>Cílové skupiny populace a ekonomické subjekty</w:t>
            </w:r>
          </w:p>
        </w:tc>
        <w:tc>
          <w:tcPr>
            <w:tcW w:w="7223" w:type="dxa"/>
          </w:tcPr>
          <w:p w14:paraId="115DFD56" w14:textId="330BAB91" w:rsidR="00C96099" w:rsidRPr="00A92B33" w:rsidRDefault="00B6032A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Kromě zaměstnanců rezortu justice jsou cílovou skupinou všichni občané ČR, a to zejména z důvodu uvedeném výše – zachování standardu služeb vůči občanovi, firmám a dalším stakeholderům a jejich neomezování v době krizové situace.</w:t>
            </w:r>
          </w:p>
        </w:tc>
      </w:tr>
      <w:tr w:rsidR="00C96099" w:rsidRPr="00A92B33" w14:paraId="4DCE4A5C" w14:textId="77777777" w:rsidTr="00C666BD">
        <w:tc>
          <w:tcPr>
            <w:tcW w:w="2405" w:type="dxa"/>
          </w:tcPr>
          <w:p w14:paraId="07893BD3" w14:textId="77777777" w:rsidR="00C96099" w:rsidRPr="00A92B33" w:rsidRDefault="00C96099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36C8BB82" w14:textId="4D473370" w:rsidR="00C96099" w:rsidRPr="00A92B33" w:rsidRDefault="00B6032A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554 mil. Kč</w:t>
            </w:r>
            <w:r w:rsidR="00C96099" w:rsidRPr="00A92B33">
              <w:rPr>
                <w:i w:val="0"/>
                <w:iCs w:val="0"/>
                <w:color w:val="auto"/>
              </w:rPr>
              <w:t xml:space="preserve"> </w:t>
            </w:r>
          </w:p>
        </w:tc>
      </w:tr>
      <w:tr w:rsidR="00C96099" w:rsidRPr="00A92B33" w14:paraId="7B6F2909" w14:textId="77777777" w:rsidTr="00C666BD">
        <w:tc>
          <w:tcPr>
            <w:tcW w:w="2405" w:type="dxa"/>
          </w:tcPr>
          <w:p w14:paraId="7E0786FB" w14:textId="77777777" w:rsidR="00C96099" w:rsidRPr="00A92B33" w:rsidRDefault="00C96099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01D24A0B" w14:textId="642D9C9E" w:rsidR="00C96099" w:rsidRPr="00A92B33" w:rsidRDefault="0041474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nerelevantní</w:t>
            </w:r>
          </w:p>
        </w:tc>
      </w:tr>
      <w:tr w:rsidR="00C96099" w:rsidRPr="00A92B33" w14:paraId="2EAB3354" w14:textId="77777777" w:rsidTr="00C666BD">
        <w:tc>
          <w:tcPr>
            <w:tcW w:w="2405" w:type="dxa"/>
          </w:tcPr>
          <w:p w14:paraId="72864271" w14:textId="77777777" w:rsidR="00C96099" w:rsidRPr="00A92B33" w:rsidRDefault="00C96099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23AFE9DB" w14:textId="4E77D99C" w:rsidR="00C96099" w:rsidRPr="00A92B33" w:rsidRDefault="00B6032A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36 měsíců, do 31.12.2023</w:t>
            </w:r>
          </w:p>
        </w:tc>
      </w:tr>
    </w:tbl>
    <w:p w14:paraId="4F06ED6B" w14:textId="1E19F7F8" w:rsidR="002E19BA" w:rsidRPr="00A92B33" w:rsidRDefault="002E19BA" w:rsidP="00A92B33">
      <w:pPr>
        <w:pStyle w:val="K-Tabulka"/>
      </w:pPr>
    </w:p>
    <w:p w14:paraId="654AB1BE" w14:textId="6593A8EE" w:rsidR="00BB0582" w:rsidRPr="00A92B33" w:rsidRDefault="00BB0582" w:rsidP="00A92B33">
      <w:pPr>
        <w:pStyle w:val="K-Tabulka"/>
      </w:pPr>
      <w:r w:rsidRPr="00A92B33">
        <w:t>2. Posílení infrastruktury pro digitální pracoviště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B0582" w:rsidRPr="00A92B33" w14:paraId="290145F0" w14:textId="77777777" w:rsidTr="00BB0582">
        <w:tc>
          <w:tcPr>
            <w:tcW w:w="2405" w:type="dxa"/>
          </w:tcPr>
          <w:p w14:paraId="4FFBA175" w14:textId="77777777" w:rsidR="00BB0582" w:rsidRPr="00A92B33" w:rsidRDefault="00BB0582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036DDE99" w14:textId="2DB45DA6" w:rsidR="00BB0582" w:rsidRPr="00A92B33" w:rsidRDefault="00D0211A" w:rsidP="00A92B33">
            <w:pPr>
              <w:pStyle w:val="K-TextInfo"/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BB0582" w:rsidRPr="00A92B33" w14:paraId="6392A5E3" w14:textId="77777777" w:rsidTr="00BB0582">
        <w:tc>
          <w:tcPr>
            <w:tcW w:w="2405" w:type="dxa"/>
          </w:tcPr>
          <w:p w14:paraId="30E4BE10" w14:textId="77777777" w:rsidR="00BB0582" w:rsidRPr="00A92B33" w:rsidRDefault="00BB0582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30541121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Cílem projektu je zajištění dostatečných podmínek k širšímu využívání mobilních pracovních stanic a videokonferencí na straně resortu. </w:t>
            </w:r>
          </w:p>
          <w:p w14:paraId="2421FD06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Bez dostatečného technického zázemí na straně složek justice nelze efektivně využívat mobilní pracovní stanice a videokonference pro potřeby digitálně dosažitelné justice. Tímto projektem se infrastruktura pro digitální pracoviště posílí v následujících oblastech: </w:t>
            </w:r>
          </w:p>
          <w:p w14:paraId="32C89935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-</w:t>
            </w:r>
            <w:r w:rsidRPr="00A92B33">
              <w:rPr>
                <w:i w:val="0"/>
                <w:iCs w:val="0"/>
                <w:color w:val="auto"/>
              </w:rPr>
              <w:tab/>
              <w:t>Navýšení kapacity datové sítě vč. firewallů</w:t>
            </w:r>
          </w:p>
          <w:p w14:paraId="54AA4318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-</w:t>
            </w:r>
            <w:r w:rsidRPr="00A92B33">
              <w:rPr>
                <w:i w:val="0"/>
                <w:iCs w:val="0"/>
                <w:color w:val="auto"/>
              </w:rPr>
              <w:tab/>
              <w:t xml:space="preserve">Pořízení nových serverů a datových úložišť vč. </w:t>
            </w:r>
            <w:proofErr w:type="spellStart"/>
            <w:r w:rsidRPr="00A92B33">
              <w:rPr>
                <w:i w:val="0"/>
                <w:iCs w:val="0"/>
                <w:color w:val="auto"/>
              </w:rPr>
              <w:t>proxy</w:t>
            </w:r>
            <w:proofErr w:type="spellEnd"/>
            <w:r w:rsidRPr="00A92B33">
              <w:rPr>
                <w:i w:val="0"/>
                <w:iCs w:val="0"/>
                <w:color w:val="auto"/>
              </w:rPr>
              <w:t xml:space="preserve"> a licencí</w:t>
            </w:r>
          </w:p>
          <w:p w14:paraId="6FFE9D98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-</w:t>
            </w:r>
            <w:r w:rsidRPr="00A92B33">
              <w:rPr>
                <w:i w:val="0"/>
                <w:iCs w:val="0"/>
                <w:color w:val="auto"/>
              </w:rPr>
              <w:tab/>
              <w:t>Pořízení virtualizační platformy</w:t>
            </w:r>
          </w:p>
          <w:p w14:paraId="014D49F7" w14:textId="77777777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Kvalitativní cíle jsou:</w:t>
            </w:r>
          </w:p>
          <w:p w14:paraId="14338335" w14:textId="77777777" w:rsidR="00BB0582" w:rsidRPr="00A92B33" w:rsidRDefault="00BB0582" w:rsidP="00A92B33">
            <w:pPr>
              <w:pStyle w:val="K-TextInfo"/>
              <w:numPr>
                <w:ilvl w:val="0"/>
                <w:numId w:val="26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lastRenderedPageBreak/>
              <w:t>Navýšení kapacity datového úložiště z 2 PB na 4 PB</w:t>
            </w:r>
          </w:p>
          <w:p w14:paraId="3BC71394" w14:textId="77777777" w:rsidR="00BB0582" w:rsidRPr="00A92B33" w:rsidRDefault="00BB0582" w:rsidP="00A92B33">
            <w:pPr>
              <w:pStyle w:val="K-TextInfo"/>
              <w:numPr>
                <w:ilvl w:val="0"/>
                <w:numId w:val="26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Spuštění virtualizační platformy</w:t>
            </w:r>
          </w:p>
          <w:p w14:paraId="248D80CB" w14:textId="3A7EF9C0" w:rsidR="00BB0582" w:rsidRPr="00A92B33" w:rsidRDefault="00BB0582" w:rsidP="00A92B33">
            <w:pPr>
              <w:pStyle w:val="K-TextInfo"/>
              <w:numPr>
                <w:ilvl w:val="0"/>
                <w:numId w:val="26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Navýšení kapacity pro připojení mobilních pracovních stanic z 4000 na celkových 10 000.</w:t>
            </w:r>
          </w:p>
        </w:tc>
      </w:tr>
      <w:tr w:rsidR="00BB0582" w:rsidRPr="00A92B33" w14:paraId="61F1C1C2" w14:textId="77777777" w:rsidTr="00BB0582">
        <w:tc>
          <w:tcPr>
            <w:tcW w:w="2405" w:type="dxa"/>
          </w:tcPr>
          <w:p w14:paraId="0BF2F3DF" w14:textId="77777777" w:rsidR="00BB0582" w:rsidRPr="00A92B33" w:rsidRDefault="00BB0582" w:rsidP="00A92B33">
            <w:pPr>
              <w:pStyle w:val="K-Text"/>
            </w:pPr>
            <w:r w:rsidRPr="00A92B33">
              <w:lastRenderedPageBreak/>
              <w:t>Implementace</w:t>
            </w:r>
          </w:p>
        </w:tc>
        <w:tc>
          <w:tcPr>
            <w:tcW w:w="7223" w:type="dxa"/>
          </w:tcPr>
          <w:p w14:paraId="028275E7" w14:textId="0BF3DDD6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Odbor informatiky Ministerstva Spravedlnosti</w:t>
            </w:r>
          </w:p>
        </w:tc>
      </w:tr>
      <w:tr w:rsidR="00BB0582" w:rsidRPr="00A92B33" w14:paraId="78C92ADA" w14:textId="77777777" w:rsidTr="00BB0582">
        <w:trPr>
          <w:trHeight w:val="70"/>
        </w:trPr>
        <w:tc>
          <w:tcPr>
            <w:tcW w:w="2405" w:type="dxa"/>
          </w:tcPr>
          <w:p w14:paraId="12A31B14" w14:textId="77777777" w:rsidR="00BB0582" w:rsidRPr="00A92B33" w:rsidRDefault="00BB0582" w:rsidP="00A92B33">
            <w:pPr>
              <w:pStyle w:val="K-Text"/>
            </w:pPr>
            <w:r w:rsidRPr="00A92B33">
              <w:t>Spolupráce a zapojení zúčastněných stran</w:t>
            </w:r>
          </w:p>
        </w:tc>
        <w:tc>
          <w:tcPr>
            <w:tcW w:w="7223" w:type="dxa"/>
          </w:tcPr>
          <w:p w14:paraId="16529274" w14:textId="259222E6" w:rsidR="00BB0582" w:rsidRPr="00A92B33" w:rsidRDefault="00BB0582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Vysoutěžení dodavatelé</w:t>
            </w:r>
          </w:p>
        </w:tc>
      </w:tr>
      <w:tr w:rsidR="00BB0582" w:rsidRPr="00A92B33" w14:paraId="1D3DE231" w14:textId="77777777" w:rsidTr="00BB0582">
        <w:tc>
          <w:tcPr>
            <w:tcW w:w="2405" w:type="dxa"/>
          </w:tcPr>
          <w:p w14:paraId="587DEEAC" w14:textId="77777777" w:rsidR="00BB0582" w:rsidRPr="00A92B33" w:rsidRDefault="00BB0582" w:rsidP="00A92B33">
            <w:pPr>
              <w:pStyle w:val="K-Text"/>
            </w:pPr>
            <w:r w:rsidRPr="00A92B33">
              <w:t>Překážky a rizika</w:t>
            </w:r>
          </w:p>
        </w:tc>
        <w:tc>
          <w:tcPr>
            <w:tcW w:w="7223" w:type="dxa"/>
          </w:tcPr>
          <w:p w14:paraId="38BF481A" w14:textId="0ACBFE04" w:rsidR="00BB0582" w:rsidRPr="00A92B33" w:rsidRDefault="00A84A26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Dostatečně detailní vypracování technických specifikací a zadávacích dokumentací; Funkčnost předmětu plnění v prostředí zadavatele.</w:t>
            </w:r>
          </w:p>
        </w:tc>
      </w:tr>
      <w:tr w:rsidR="00BB0582" w:rsidRPr="00A92B33" w14:paraId="71F97A3C" w14:textId="77777777" w:rsidTr="00BB0582">
        <w:tc>
          <w:tcPr>
            <w:tcW w:w="2405" w:type="dxa"/>
          </w:tcPr>
          <w:p w14:paraId="6A1B35FC" w14:textId="77777777" w:rsidR="00BB0582" w:rsidRPr="00A92B33" w:rsidRDefault="00BB0582" w:rsidP="00A92B33">
            <w:pPr>
              <w:pStyle w:val="K-Text"/>
            </w:pPr>
            <w:r w:rsidRPr="00A92B33">
              <w:t>Cílové skupiny populace a ekonomické subjekty</w:t>
            </w:r>
          </w:p>
        </w:tc>
        <w:tc>
          <w:tcPr>
            <w:tcW w:w="7223" w:type="dxa"/>
          </w:tcPr>
          <w:p w14:paraId="30F2E9A0" w14:textId="5254544A" w:rsidR="00BB0582" w:rsidRPr="00A92B33" w:rsidRDefault="00A84A26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Stejně jako u investice č. 1. </w:t>
            </w:r>
            <w:r w:rsidR="00BB0582" w:rsidRPr="00A92B33">
              <w:rPr>
                <w:i w:val="0"/>
                <w:iCs w:val="0"/>
                <w:color w:val="auto"/>
              </w:rPr>
              <w:t>Kromě zaměstnanců rezortu justice jsou cílovou skupinou všichni občané ČR, a to zejména z důvodu uvedeném výše – zachování standardu služeb vůči občanovi, firmám a dalším stakeholderům a jejich neomezování v době krizové situace.</w:t>
            </w:r>
          </w:p>
        </w:tc>
      </w:tr>
      <w:tr w:rsidR="00BB0582" w:rsidRPr="00A92B33" w14:paraId="7636C3BD" w14:textId="77777777" w:rsidTr="00BB0582">
        <w:tc>
          <w:tcPr>
            <w:tcW w:w="2405" w:type="dxa"/>
          </w:tcPr>
          <w:p w14:paraId="0AD34B35" w14:textId="77777777" w:rsidR="00BB0582" w:rsidRPr="00A92B33" w:rsidRDefault="00BB0582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66F8EA06" w14:textId="4D10D73F" w:rsidR="00BB0582" w:rsidRPr="00A92B33" w:rsidRDefault="00A84A26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120</w:t>
            </w:r>
            <w:r w:rsidR="00BB0582" w:rsidRPr="00A92B33">
              <w:rPr>
                <w:i w:val="0"/>
                <w:iCs w:val="0"/>
                <w:color w:val="auto"/>
              </w:rPr>
              <w:t xml:space="preserve"> mil. Kč </w:t>
            </w:r>
          </w:p>
        </w:tc>
      </w:tr>
      <w:tr w:rsidR="00414742" w:rsidRPr="00A92B33" w14:paraId="5ED0023B" w14:textId="77777777" w:rsidTr="00BB0582">
        <w:tc>
          <w:tcPr>
            <w:tcW w:w="2405" w:type="dxa"/>
          </w:tcPr>
          <w:p w14:paraId="2E002884" w14:textId="77777777" w:rsidR="00414742" w:rsidRPr="00A92B33" w:rsidRDefault="00414742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571F175C" w14:textId="3F4E3C51" w:rsidR="00414742" w:rsidRPr="00A92B33" w:rsidRDefault="00414742" w:rsidP="00A92B33">
            <w:pPr>
              <w:pStyle w:val="K-TextInfo"/>
            </w:pPr>
            <w:r w:rsidRPr="00A92B33">
              <w:rPr>
                <w:i w:val="0"/>
                <w:iCs w:val="0"/>
                <w:color w:val="auto"/>
              </w:rPr>
              <w:t>nerelevantní</w:t>
            </w:r>
          </w:p>
        </w:tc>
      </w:tr>
      <w:tr w:rsidR="00BB0582" w:rsidRPr="00A92B33" w14:paraId="12E725CF" w14:textId="77777777" w:rsidTr="00BB0582">
        <w:tc>
          <w:tcPr>
            <w:tcW w:w="2405" w:type="dxa"/>
          </w:tcPr>
          <w:p w14:paraId="6CF27B28" w14:textId="77777777" w:rsidR="00BB0582" w:rsidRPr="00A92B33" w:rsidRDefault="00BB0582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2D6B92B0" w14:textId="4AD2B933" w:rsidR="00BB0582" w:rsidRPr="00A92B33" w:rsidRDefault="00A84A26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27</w:t>
            </w:r>
            <w:r w:rsidR="00BB0582" w:rsidRPr="00A92B33">
              <w:rPr>
                <w:i w:val="0"/>
                <w:iCs w:val="0"/>
                <w:color w:val="auto"/>
              </w:rPr>
              <w:t xml:space="preserve"> měsíců, do 31.</w:t>
            </w:r>
            <w:r w:rsidRPr="00A92B33">
              <w:rPr>
                <w:i w:val="0"/>
                <w:iCs w:val="0"/>
                <w:color w:val="auto"/>
              </w:rPr>
              <w:t>03</w:t>
            </w:r>
            <w:r w:rsidR="00BB0582" w:rsidRPr="00A92B33">
              <w:rPr>
                <w:i w:val="0"/>
                <w:iCs w:val="0"/>
                <w:color w:val="auto"/>
              </w:rPr>
              <w:t>.2023</w:t>
            </w:r>
          </w:p>
        </w:tc>
      </w:tr>
    </w:tbl>
    <w:p w14:paraId="6CC4ABB1" w14:textId="08327B78" w:rsidR="00BB0582" w:rsidRPr="00A92B33" w:rsidRDefault="00BB0582" w:rsidP="00A92B33">
      <w:pPr>
        <w:pStyle w:val="K-Tabulka"/>
      </w:pPr>
    </w:p>
    <w:p w14:paraId="13B7633E" w14:textId="62A93852" w:rsidR="00A84A26" w:rsidRPr="00A92B33" w:rsidRDefault="00A84A26" w:rsidP="00A92B33">
      <w:pPr>
        <w:pStyle w:val="K-Tabulka"/>
      </w:pPr>
      <w:r w:rsidRPr="00A92B33">
        <w:t>3. Videokonference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36B8D" w:rsidRPr="00A92B33" w14:paraId="1BF93069" w14:textId="77777777" w:rsidTr="00E36B8D">
        <w:tc>
          <w:tcPr>
            <w:tcW w:w="2405" w:type="dxa"/>
          </w:tcPr>
          <w:p w14:paraId="61D3E5B9" w14:textId="77777777" w:rsidR="00E36B8D" w:rsidRPr="00A92B33" w:rsidRDefault="00E36B8D" w:rsidP="00A92B33">
            <w:pPr>
              <w:pStyle w:val="K-Text"/>
            </w:pPr>
            <w:r w:rsidRPr="00A92B33">
              <w:t>Výzva</w:t>
            </w:r>
          </w:p>
        </w:tc>
        <w:tc>
          <w:tcPr>
            <w:tcW w:w="7223" w:type="dxa"/>
          </w:tcPr>
          <w:p w14:paraId="1920D788" w14:textId="7AA6EDCA" w:rsidR="00E36B8D" w:rsidRPr="00A92B33" w:rsidRDefault="00D0211A" w:rsidP="00A92B33">
            <w:pPr>
              <w:pStyle w:val="K-TextInfo"/>
            </w:pPr>
            <w:r w:rsidRPr="00D0211A">
              <w:rPr>
                <w:rStyle w:val="K-Nadpis3Char"/>
                <w:b w:val="0"/>
                <w:bCs/>
                <w:i w:val="0"/>
                <w:iCs w:val="0"/>
              </w:rPr>
              <w:t>Podpora zelené a digitální transformace</w:t>
            </w:r>
          </w:p>
        </w:tc>
      </w:tr>
      <w:tr w:rsidR="00E36B8D" w:rsidRPr="00A92B33" w14:paraId="7AE5B182" w14:textId="77777777" w:rsidTr="00E36B8D">
        <w:tc>
          <w:tcPr>
            <w:tcW w:w="2405" w:type="dxa"/>
          </w:tcPr>
          <w:p w14:paraId="41C2E1DE" w14:textId="77777777" w:rsidR="00E36B8D" w:rsidRPr="00A92B33" w:rsidRDefault="00E36B8D" w:rsidP="00A92B33">
            <w:pPr>
              <w:pStyle w:val="K-Text"/>
            </w:pPr>
            <w:r w:rsidRPr="00A92B33">
              <w:t>Cíl</w:t>
            </w:r>
          </w:p>
        </w:tc>
        <w:tc>
          <w:tcPr>
            <w:tcW w:w="7223" w:type="dxa"/>
          </w:tcPr>
          <w:p w14:paraId="005016A8" w14:textId="77777777" w:rsidR="00E36B8D" w:rsidRPr="00A92B33" w:rsidRDefault="00D5071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Cílem projektu je odstranění nedostatků, které brání v častějším využití videokonferencí na všech úrovních v resortu justice. Cíle bude dosaženo instalací dalších videokonferenčních setů (resp. zajištění dostatečného množství licencí, centrálního hardware, zabezpečené komunikace apod.).  </w:t>
            </w:r>
          </w:p>
          <w:p w14:paraId="6AB6C957" w14:textId="77777777" w:rsidR="00D50711" w:rsidRPr="00A92B33" w:rsidRDefault="00D5071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Kvantitativní cíle jsou:</w:t>
            </w:r>
          </w:p>
          <w:p w14:paraId="5C6C80E9" w14:textId="77777777" w:rsidR="00D50711" w:rsidRPr="00A92B33" w:rsidRDefault="00D50711" w:rsidP="00A92B33">
            <w:pPr>
              <w:pStyle w:val="K-TextInfo"/>
              <w:numPr>
                <w:ilvl w:val="0"/>
                <w:numId w:val="27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Vybavení a zprovoznění 70 videokonferenčních místností</w:t>
            </w:r>
          </w:p>
          <w:p w14:paraId="297C8521" w14:textId="77777777" w:rsidR="00D50711" w:rsidRPr="00A92B33" w:rsidRDefault="00D50711" w:rsidP="00A92B33">
            <w:pPr>
              <w:pStyle w:val="K-TextInfo"/>
              <w:numPr>
                <w:ilvl w:val="0"/>
                <w:numId w:val="27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Pořízení 100 licencí pro videokonference</w:t>
            </w:r>
          </w:p>
          <w:p w14:paraId="3EE1E39C" w14:textId="78A06566" w:rsidR="00D50711" w:rsidRPr="00A92B33" w:rsidRDefault="00D50711" w:rsidP="00A92B33">
            <w:pPr>
              <w:pStyle w:val="K-TextInfo"/>
              <w:numPr>
                <w:ilvl w:val="0"/>
                <w:numId w:val="27"/>
              </w:numPr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Navýšení výkonu centrální infrastruktury z 1,1 </w:t>
            </w:r>
            <w:proofErr w:type="spellStart"/>
            <w:r w:rsidRPr="00A92B33">
              <w:rPr>
                <w:i w:val="0"/>
                <w:iCs w:val="0"/>
                <w:color w:val="auto"/>
              </w:rPr>
              <w:t>PHz</w:t>
            </w:r>
            <w:proofErr w:type="spellEnd"/>
            <w:r w:rsidRPr="00A92B33">
              <w:rPr>
                <w:i w:val="0"/>
                <w:iCs w:val="0"/>
                <w:color w:val="auto"/>
              </w:rPr>
              <w:t xml:space="preserve"> na 2,5 </w:t>
            </w:r>
            <w:proofErr w:type="spellStart"/>
            <w:r w:rsidRPr="00A92B33">
              <w:rPr>
                <w:i w:val="0"/>
                <w:iCs w:val="0"/>
                <w:color w:val="auto"/>
              </w:rPr>
              <w:t>PHz</w:t>
            </w:r>
            <w:proofErr w:type="spellEnd"/>
          </w:p>
        </w:tc>
      </w:tr>
      <w:tr w:rsidR="00E36B8D" w:rsidRPr="00A92B33" w14:paraId="2256CAE7" w14:textId="77777777" w:rsidTr="00E36B8D">
        <w:tc>
          <w:tcPr>
            <w:tcW w:w="2405" w:type="dxa"/>
          </w:tcPr>
          <w:p w14:paraId="58D7C043" w14:textId="77777777" w:rsidR="00E36B8D" w:rsidRPr="00A92B33" w:rsidRDefault="00E36B8D" w:rsidP="00A92B33">
            <w:pPr>
              <w:pStyle w:val="K-Text"/>
            </w:pPr>
            <w:r w:rsidRPr="00A92B33">
              <w:t>Implementace</w:t>
            </w:r>
          </w:p>
        </w:tc>
        <w:tc>
          <w:tcPr>
            <w:tcW w:w="7223" w:type="dxa"/>
          </w:tcPr>
          <w:p w14:paraId="67F7A3E1" w14:textId="22A8083E" w:rsidR="00E36B8D" w:rsidRPr="00A92B33" w:rsidRDefault="00E36B8D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Odbor informatiky Ministerstva Spravedlnosti</w:t>
            </w:r>
          </w:p>
        </w:tc>
      </w:tr>
      <w:tr w:rsidR="00E36B8D" w:rsidRPr="00A92B33" w14:paraId="76CC7CC6" w14:textId="77777777" w:rsidTr="00E36B8D">
        <w:trPr>
          <w:trHeight w:val="70"/>
        </w:trPr>
        <w:tc>
          <w:tcPr>
            <w:tcW w:w="2405" w:type="dxa"/>
          </w:tcPr>
          <w:p w14:paraId="76B2C36D" w14:textId="77777777" w:rsidR="00E36B8D" w:rsidRPr="00A92B33" w:rsidRDefault="00E36B8D" w:rsidP="00A92B33">
            <w:pPr>
              <w:pStyle w:val="K-Text"/>
            </w:pPr>
            <w:r w:rsidRPr="00A92B33">
              <w:t>Spolupráce a zapojení zúčastněných stran</w:t>
            </w:r>
          </w:p>
        </w:tc>
        <w:tc>
          <w:tcPr>
            <w:tcW w:w="7223" w:type="dxa"/>
          </w:tcPr>
          <w:p w14:paraId="43001FB0" w14:textId="5FFD337B" w:rsidR="00E36B8D" w:rsidRPr="00A92B33" w:rsidRDefault="00D50711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Dodavatel videokonferenčních setů</w:t>
            </w:r>
            <w:r w:rsidR="0020024B" w:rsidRPr="00A92B33">
              <w:rPr>
                <w:i w:val="0"/>
                <w:iCs w:val="0"/>
                <w:color w:val="auto"/>
              </w:rPr>
              <w:t xml:space="preserve"> a licencí, dodavatel řešení k navýšení výkonu centrální infrastruktury.</w:t>
            </w:r>
          </w:p>
        </w:tc>
      </w:tr>
      <w:tr w:rsidR="00E36B8D" w:rsidRPr="00A92B33" w14:paraId="646711F1" w14:textId="77777777" w:rsidTr="00E36B8D">
        <w:tc>
          <w:tcPr>
            <w:tcW w:w="2405" w:type="dxa"/>
          </w:tcPr>
          <w:p w14:paraId="1DDBAFF8" w14:textId="77777777" w:rsidR="00E36B8D" w:rsidRPr="00A92B33" w:rsidRDefault="00E36B8D" w:rsidP="00A92B33">
            <w:pPr>
              <w:pStyle w:val="K-Text"/>
            </w:pPr>
            <w:r w:rsidRPr="00A92B33">
              <w:t>Překážky a rizika</w:t>
            </w:r>
          </w:p>
        </w:tc>
        <w:tc>
          <w:tcPr>
            <w:tcW w:w="7223" w:type="dxa"/>
          </w:tcPr>
          <w:p w14:paraId="15B1E33B" w14:textId="2FD9CAF6" w:rsidR="00E36B8D" w:rsidRPr="00A92B33" w:rsidRDefault="0020024B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Dostatečně detailně vypracované technické specifikace a zadávací dokumentace; zajištění bezpečnosti komunikace při využití videokonferenčních setů; zaškolení uživatelů; funkčnost předmětu plnění v prostředí zadavatele.</w:t>
            </w:r>
          </w:p>
        </w:tc>
      </w:tr>
      <w:tr w:rsidR="00E36B8D" w:rsidRPr="00A92B33" w14:paraId="0684588C" w14:textId="77777777" w:rsidTr="00E36B8D">
        <w:tc>
          <w:tcPr>
            <w:tcW w:w="2405" w:type="dxa"/>
          </w:tcPr>
          <w:p w14:paraId="61283DA4" w14:textId="77777777" w:rsidR="00E36B8D" w:rsidRPr="00A92B33" w:rsidRDefault="00E36B8D" w:rsidP="00A92B33">
            <w:pPr>
              <w:pStyle w:val="K-Text"/>
            </w:pPr>
            <w:r w:rsidRPr="00A92B33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5FD1966A" w14:textId="6AB413C5" w:rsidR="00E36B8D" w:rsidRPr="00A92B33" w:rsidRDefault="0020024B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 xml:space="preserve">Kromě zaměstnanců rezortu justice a ostatních rezortů budou cílovou skupinou též občané ČR a firmy. </w:t>
            </w:r>
          </w:p>
        </w:tc>
      </w:tr>
      <w:tr w:rsidR="00E36B8D" w:rsidRPr="00A92B33" w14:paraId="38D5290E" w14:textId="77777777" w:rsidTr="00E36B8D">
        <w:tc>
          <w:tcPr>
            <w:tcW w:w="2405" w:type="dxa"/>
          </w:tcPr>
          <w:p w14:paraId="1E45A5E3" w14:textId="77777777" w:rsidR="00E36B8D" w:rsidRPr="00A92B33" w:rsidRDefault="00E36B8D" w:rsidP="00A92B33">
            <w:pPr>
              <w:pStyle w:val="K-Text"/>
            </w:pPr>
            <w:r w:rsidRPr="00A92B33">
              <w:t>Souhrnné náklady realizace financované z RRF za celé období</w:t>
            </w:r>
          </w:p>
        </w:tc>
        <w:tc>
          <w:tcPr>
            <w:tcW w:w="7223" w:type="dxa"/>
          </w:tcPr>
          <w:p w14:paraId="70F9C3B0" w14:textId="68D10E48" w:rsidR="00E36B8D" w:rsidRPr="00A92B33" w:rsidRDefault="0020024B" w:rsidP="00A92B33">
            <w:pPr>
              <w:pStyle w:val="K-TextInfo"/>
              <w:rPr>
                <w:i w:val="0"/>
                <w:iCs w:val="0"/>
              </w:rPr>
            </w:pPr>
            <w:r w:rsidRPr="00A92B33">
              <w:rPr>
                <w:i w:val="0"/>
                <w:iCs w:val="0"/>
                <w:color w:val="auto"/>
              </w:rPr>
              <w:t>40</w:t>
            </w:r>
            <w:r w:rsidR="00E36B8D" w:rsidRPr="00A92B33">
              <w:rPr>
                <w:i w:val="0"/>
                <w:iCs w:val="0"/>
                <w:color w:val="auto"/>
              </w:rPr>
              <w:t xml:space="preserve"> mil. Kč </w:t>
            </w:r>
          </w:p>
        </w:tc>
      </w:tr>
      <w:tr w:rsidR="00414742" w:rsidRPr="00A92B33" w14:paraId="2A52F313" w14:textId="77777777" w:rsidTr="00E36B8D">
        <w:tc>
          <w:tcPr>
            <w:tcW w:w="2405" w:type="dxa"/>
          </w:tcPr>
          <w:p w14:paraId="6494CA23" w14:textId="77777777" w:rsidR="00414742" w:rsidRPr="00A92B33" w:rsidRDefault="00414742" w:rsidP="00A92B33">
            <w:pPr>
              <w:pStyle w:val="K-Text"/>
            </w:pPr>
            <w:r w:rsidRPr="00A92B33">
              <w:t>Dodržování pravidel státní podpory</w:t>
            </w:r>
          </w:p>
        </w:tc>
        <w:tc>
          <w:tcPr>
            <w:tcW w:w="7223" w:type="dxa"/>
          </w:tcPr>
          <w:p w14:paraId="3B1B8891" w14:textId="767336CE" w:rsidR="00414742" w:rsidRPr="00A92B33" w:rsidRDefault="00414742" w:rsidP="00A92B33">
            <w:pPr>
              <w:pStyle w:val="K-TextInfo"/>
            </w:pPr>
            <w:r w:rsidRPr="00A92B33">
              <w:rPr>
                <w:i w:val="0"/>
                <w:iCs w:val="0"/>
                <w:color w:val="auto"/>
              </w:rPr>
              <w:t>nerelevantní</w:t>
            </w:r>
          </w:p>
        </w:tc>
      </w:tr>
      <w:tr w:rsidR="00E36B8D" w:rsidRPr="00A92B33" w14:paraId="304FD0A2" w14:textId="77777777" w:rsidTr="00E36B8D">
        <w:tc>
          <w:tcPr>
            <w:tcW w:w="2405" w:type="dxa"/>
          </w:tcPr>
          <w:p w14:paraId="4B43F5EB" w14:textId="77777777" w:rsidR="00E36B8D" w:rsidRPr="00A92B33" w:rsidRDefault="00E36B8D" w:rsidP="00A92B33">
            <w:pPr>
              <w:pStyle w:val="K-Text"/>
            </w:pPr>
            <w:r w:rsidRPr="00A92B33">
              <w:t>Uveďte dobu implementace</w:t>
            </w:r>
          </w:p>
        </w:tc>
        <w:tc>
          <w:tcPr>
            <w:tcW w:w="7223" w:type="dxa"/>
          </w:tcPr>
          <w:p w14:paraId="093E264B" w14:textId="70F0857E" w:rsidR="00E36B8D" w:rsidRPr="00A92B33" w:rsidRDefault="0050009E" w:rsidP="00A92B33">
            <w:pPr>
              <w:pStyle w:val="K-TextInfo"/>
              <w:rPr>
                <w:i w:val="0"/>
                <w:iCs w:val="0"/>
                <w:color w:val="auto"/>
              </w:rPr>
            </w:pPr>
            <w:r w:rsidRPr="00A92B33">
              <w:rPr>
                <w:i w:val="0"/>
                <w:iCs w:val="0"/>
                <w:color w:val="auto"/>
              </w:rPr>
              <w:t>24</w:t>
            </w:r>
            <w:r w:rsidR="00E36B8D" w:rsidRPr="00A92B33">
              <w:rPr>
                <w:i w:val="0"/>
                <w:iCs w:val="0"/>
                <w:color w:val="auto"/>
              </w:rPr>
              <w:t xml:space="preserve"> měsíců, do 31.12.202</w:t>
            </w:r>
            <w:r w:rsidRPr="00A92B33">
              <w:rPr>
                <w:i w:val="0"/>
                <w:iCs w:val="0"/>
                <w:color w:val="auto"/>
              </w:rPr>
              <w:t>2</w:t>
            </w:r>
          </w:p>
        </w:tc>
      </w:tr>
    </w:tbl>
    <w:p w14:paraId="771598A9" w14:textId="77777777" w:rsidR="00A92B33" w:rsidRPr="00A92B33" w:rsidRDefault="00A92B33" w:rsidP="00A92B33">
      <w:pPr>
        <w:pStyle w:val="K-Nadpis2"/>
        <w:jc w:val="both"/>
      </w:pPr>
    </w:p>
    <w:p w14:paraId="3B75BCF6" w14:textId="27567560" w:rsidR="002C20CF" w:rsidRDefault="002C20CF" w:rsidP="00A92B33">
      <w:pPr>
        <w:pStyle w:val="K-Nadpis2"/>
        <w:jc w:val="both"/>
      </w:pPr>
      <w:r w:rsidRPr="00A92B33">
        <w:t xml:space="preserve">4. </w:t>
      </w:r>
      <w:r w:rsidR="002D2B80" w:rsidRPr="00A92B33">
        <w:t>Zelené a digitální rozměry k</w:t>
      </w:r>
      <w:r w:rsidRPr="00A92B33">
        <w:t>omponent</w:t>
      </w:r>
      <w:r w:rsidR="002D2B80" w:rsidRPr="00A92B33">
        <w:t>y</w:t>
      </w:r>
      <w:r w:rsidRPr="00A92B33">
        <w:t xml:space="preserve"> </w:t>
      </w:r>
    </w:p>
    <w:p w14:paraId="15274040" w14:textId="39C7A6C8" w:rsidR="00DB2EEB" w:rsidRDefault="00DB2EEB" w:rsidP="00DB2EEB">
      <w:pPr>
        <w:pStyle w:val="K-Text"/>
      </w:pPr>
    </w:p>
    <w:p w14:paraId="29CFCCFA" w14:textId="77777777" w:rsidR="00242291" w:rsidRDefault="00DB2EEB" w:rsidP="00DB2EEB">
      <w:pPr>
        <w:pStyle w:val="K-Text"/>
      </w:pPr>
      <w:r>
        <w:t xml:space="preserve">Celá komponenta cílí pouze na digitální výzvy, které naplňuje ze 100 %. </w:t>
      </w:r>
    </w:p>
    <w:p w14:paraId="3B5621B2" w14:textId="356781B1" w:rsidR="00DB2EEB" w:rsidRPr="00DB2EEB" w:rsidRDefault="00242291" w:rsidP="00DB2EEB">
      <w:pPr>
        <w:pStyle w:val="K-Text"/>
      </w:pPr>
      <w:r>
        <w:rPr>
          <w:iCs w:val="0"/>
        </w:rPr>
        <w:t xml:space="preserve">I když nelze vyjádřit přispění komponenty k naplňování cílů zelené agendy v procentech, je možné obecně konstatovat, že svým zaměřením přispívá ke </w:t>
      </w:r>
      <w:r w:rsidRPr="0021036B">
        <w:rPr>
          <w:iCs w:val="0"/>
        </w:rPr>
        <w:t>snižování emisí skleníkových plynů.</w:t>
      </w:r>
      <w:r>
        <w:rPr>
          <w:iCs w:val="0"/>
        </w:rPr>
        <w:t xml:space="preserve"> Mobilní pracovní stanice, videokonference a web justice povedou k omezení dojíždění za službami justice.</w:t>
      </w:r>
      <w:r w:rsidRPr="0044319C">
        <w:rPr>
          <w:iCs w:val="0"/>
        </w:rPr>
        <w:t xml:space="preserve"> </w:t>
      </w:r>
      <w:r>
        <w:rPr>
          <w:iCs w:val="0"/>
        </w:rPr>
        <w:t xml:space="preserve">Navrhovaná opatření jsou tak v souladu s požadavkem na zavádění nových technologií pro dosažení cílů zelené agendy. Dle stanovených vzorců ve formuláři však komponenta naplňuje zelené výzvy z </w:t>
      </w:r>
      <w:r w:rsidRPr="0044319C">
        <w:rPr>
          <w:iCs w:val="0"/>
        </w:rPr>
        <w:t>0 %</w:t>
      </w:r>
      <w:r>
        <w:t>. P</w:t>
      </w:r>
      <w:r w:rsidR="00DB2EEB">
        <w:t>rincip „nepůsobit podstatnou škodu“ naplňují zcela</w:t>
      </w:r>
      <w:r w:rsidR="005C6CAD">
        <w:t xml:space="preserve">, </w:t>
      </w:r>
      <w:r w:rsidR="00DB2EEB">
        <w:t>všechny reformy a investice komponenty.</w:t>
      </w:r>
    </w:p>
    <w:p w14:paraId="09BA617B" w14:textId="52FC47E2" w:rsidR="00A92B33" w:rsidRPr="00A92B33" w:rsidRDefault="00A92B33" w:rsidP="00DB2EEB">
      <w:pPr>
        <w:pStyle w:val="K-TextInfo"/>
        <w:rPr>
          <w:i w:val="0"/>
          <w:color w:val="auto"/>
        </w:rPr>
      </w:pPr>
      <w:r w:rsidRPr="00A92B33">
        <w:rPr>
          <w:b/>
          <w:i w:val="0"/>
          <w:color w:val="auto"/>
        </w:rPr>
        <w:t>Mobilní pracovní stanice</w:t>
      </w:r>
      <w:r w:rsidRPr="00A92B33">
        <w:rPr>
          <w:i w:val="0"/>
          <w:color w:val="auto"/>
        </w:rPr>
        <w:t xml:space="preserve"> a </w:t>
      </w:r>
      <w:r w:rsidRPr="00A92B33">
        <w:rPr>
          <w:b/>
          <w:i w:val="0"/>
          <w:color w:val="auto"/>
        </w:rPr>
        <w:t xml:space="preserve">posílení infrastruktury pro digitální pracoviště </w:t>
      </w:r>
      <w:r w:rsidRPr="00A92B33">
        <w:rPr>
          <w:i w:val="0"/>
          <w:color w:val="auto"/>
        </w:rPr>
        <w:t>podporují konektivitu, kdy za pomoci určeného hardwaru podporují a zajišťují výkon práce z jiného místa</w:t>
      </w:r>
      <w:r w:rsidR="00DB2EEB">
        <w:rPr>
          <w:i w:val="0"/>
          <w:color w:val="auto"/>
        </w:rPr>
        <w:t>,</w:t>
      </w:r>
      <w:r w:rsidRPr="00A92B33">
        <w:rPr>
          <w:i w:val="0"/>
          <w:color w:val="auto"/>
        </w:rPr>
        <w:t xml:space="preserve"> než je místo zaměstnavatele a tím přímo podporují odolnost poskytování služeb uživatelům justice. Zároveň je nepřímo podporována </w:t>
      </w:r>
      <w:proofErr w:type="spellStart"/>
      <w:r w:rsidRPr="00A92B33">
        <w:rPr>
          <w:i w:val="0"/>
          <w:color w:val="auto"/>
        </w:rPr>
        <w:t>inkluzivita</w:t>
      </w:r>
      <w:proofErr w:type="spellEnd"/>
      <w:r w:rsidRPr="00A92B33">
        <w:rPr>
          <w:i w:val="0"/>
          <w:color w:val="auto"/>
        </w:rPr>
        <w:t xml:space="preserve">, </w:t>
      </w:r>
      <w:proofErr w:type="spellStart"/>
      <w:r w:rsidRPr="00A92B33">
        <w:rPr>
          <w:i w:val="0"/>
          <w:color w:val="auto"/>
        </w:rPr>
        <w:t>digital</w:t>
      </w:r>
      <w:proofErr w:type="spellEnd"/>
      <w:r w:rsidRPr="00A92B33">
        <w:rPr>
          <w:i w:val="0"/>
          <w:color w:val="auto"/>
        </w:rPr>
        <w:t xml:space="preserve"> </w:t>
      </w:r>
      <w:proofErr w:type="spellStart"/>
      <w:r w:rsidRPr="00A92B33">
        <w:rPr>
          <w:i w:val="0"/>
          <w:color w:val="auto"/>
        </w:rPr>
        <w:t>skills</w:t>
      </w:r>
      <w:proofErr w:type="spellEnd"/>
      <w:r w:rsidRPr="00A92B33">
        <w:rPr>
          <w:i w:val="0"/>
          <w:color w:val="auto"/>
        </w:rPr>
        <w:t xml:space="preserve"> a princip </w:t>
      </w:r>
      <w:proofErr w:type="spellStart"/>
      <w:r w:rsidRPr="00A92B33">
        <w:rPr>
          <w:i w:val="0"/>
          <w:color w:val="auto"/>
        </w:rPr>
        <w:t>digital</w:t>
      </w:r>
      <w:proofErr w:type="spellEnd"/>
      <w:r w:rsidRPr="00A92B33">
        <w:rPr>
          <w:i w:val="0"/>
          <w:color w:val="auto"/>
        </w:rPr>
        <w:t xml:space="preserve">-by-default v resortu justice, kdy je justiční personál podporován využívat technické zařízení a pracovat s elektronickými dokumenty mimo pracoviště zaměstnavatele, za předpokladu dodržování bezpečnostních politik. </w:t>
      </w:r>
      <w:r w:rsidR="00B32C5E">
        <w:rPr>
          <w:i w:val="0"/>
          <w:color w:val="auto"/>
        </w:rPr>
        <w:t>Snaha o zvýšení míry využívání digitálních technologií u vnitrostátních soudních orgánů a p</w:t>
      </w:r>
      <w:r w:rsidR="00CB36B0">
        <w:rPr>
          <w:i w:val="0"/>
          <w:color w:val="auto"/>
        </w:rPr>
        <w:t>osílení schopnosti pracovat online odpovídá požadavkům Sdělení EK „Digitalizace soudnictví v Evropské unii – Soubor příležitostí“.</w:t>
      </w:r>
      <w:r w:rsidR="003300C1">
        <w:rPr>
          <w:i w:val="0"/>
          <w:color w:val="auto"/>
        </w:rPr>
        <w:t xml:space="preserve"> Elektronická komunikace se soudy a bezpečné a efektivní předkládání dokumentů umožní </w:t>
      </w:r>
      <w:r w:rsidR="00A55375">
        <w:rPr>
          <w:i w:val="0"/>
          <w:color w:val="auto"/>
        </w:rPr>
        <w:t xml:space="preserve">dále </w:t>
      </w:r>
      <w:r w:rsidR="003300C1">
        <w:rPr>
          <w:i w:val="0"/>
          <w:color w:val="auto"/>
        </w:rPr>
        <w:t xml:space="preserve">právníkům poskytnout svým klientům nejlepší možnou podporu. </w:t>
      </w:r>
    </w:p>
    <w:p w14:paraId="4E3A60F5" w14:textId="1FB16261" w:rsidR="00A92B33" w:rsidRPr="00A92B33" w:rsidRDefault="00A92B33" w:rsidP="00DB2EEB">
      <w:pPr>
        <w:pStyle w:val="K-Text"/>
        <w:spacing w:line="240" w:lineRule="auto"/>
      </w:pPr>
      <w:r w:rsidRPr="00A92B33">
        <w:t xml:space="preserve">V rámci </w:t>
      </w:r>
      <w:r w:rsidRPr="00A92B33">
        <w:rPr>
          <w:b/>
        </w:rPr>
        <w:t xml:space="preserve">videokonferencí </w:t>
      </w:r>
      <w:r w:rsidRPr="00A92B33">
        <w:t xml:space="preserve">se jedná o podporu digitálního, respektive specifického elektronického právního jednání, který slouží jako náhrada za fyzické jednání na stanoveném místě pro občana nebo jinou osobu. Zároveň videokonference podporují efektivitu práce, </w:t>
      </w:r>
      <w:r w:rsidR="000A39A6">
        <w:t xml:space="preserve">mohou usnadnit řízení, </w:t>
      </w:r>
      <w:r w:rsidRPr="00A92B33">
        <w:t>šetří transakční náklady spojené s uskutečněním osobního fyzického jednání a podporují přeshraniční spolupráci.</w:t>
      </w:r>
      <w:r w:rsidR="005C1206">
        <w:t xml:space="preserve"> Tento cíl </w:t>
      </w:r>
      <w:r w:rsidR="000A39A6">
        <w:t>naplňuje</w:t>
      </w:r>
      <w:r w:rsidR="005C1206">
        <w:t xml:space="preserve"> opatření</w:t>
      </w:r>
      <w:r w:rsidR="007062AF">
        <w:t xml:space="preserve"> </w:t>
      </w:r>
      <w:r w:rsidR="00366AB6">
        <w:t>zaměřen</w:t>
      </w:r>
      <w:r w:rsidR="000A39A6">
        <w:t>á</w:t>
      </w:r>
      <w:r w:rsidR="00366AB6">
        <w:t xml:space="preserve"> </w:t>
      </w:r>
      <w:r w:rsidR="007062AF">
        <w:t xml:space="preserve">na </w:t>
      </w:r>
      <w:r w:rsidR="00366AB6">
        <w:t>„</w:t>
      </w:r>
      <w:r w:rsidR="007062AF">
        <w:t>vybavení justičních orgánů nástroji pro videokonference a zajištění dostupnosti v rámci digitalizace</w:t>
      </w:r>
      <w:r w:rsidR="00366AB6">
        <w:t>“</w:t>
      </w:r>
      <w:r w:rsidR="007062AF">
        <w:t xml:space="preserve"> </w:t>
      </w:r>
      <w:r w:rsidR="003F5ABC">
        <w:t xml:space="preserve">a „povzbuzování členských států k rozvoji videokonferenčních zařízení“ </w:t>
      </w:r>
      <w:r w:rsidR="007062AF">
        <w:t>uveden</w:t>
      </w:r>
      <w:r w:rsidR="001610D5">
        <w:t>á</w:t>
      </w:r>
      <w:r w:rsidR="007062AF">
        <w:t xml:space="preserve"> ve</w:t>
      </w:r>
      <w:r w:rsidR="007062AF" w:rsidRPr="007062AF">
        <w:rPr>
          <w:i/>
        </w:rPr>
        <w:t xml:space="preserve"> </w:t>
      </w:r>
      <w:r w:rsidR="007062AF" w:rsidRPr="007062AF">
        <w:rPr>
          <w:iCs w:val="0"/>
        </w:rPr>
        <w:t>Sdělení EK „Digitalizace soudnictví v Evropské unii – Soubor příležitostí“</w:t>
      </w:r>
      <w:r w:rsidR="007062AF">
        <w:rPr>
          <w:i/>
        </w:rPr>
        <w:t>.</w:t>
      </w:r>
      <w:r w:rsidR="007062AF">
        <w:t xml:space="preserve"> </w:t>
      </w:r>
    </w:p>
    <w:p w14:paraId="30A67677" w14:textId="607AF1E9" w:rsidR="00A92B33" w:rsidRPr="00A92B33" w:rsidRDefault="00A92B33" w:rsidP="00DB2EEB">
      <w:pPr>
        <w:pStyle w:val="K-Text"/>
        <w:spacing w:line="240" w:lineRule="auto"/>
      </w:pPr>
      <w:r w:rsidRPr="00A92B33">
        <w:rPr>
          <w:b/>
        </w:rPr>
        <w:t>Digitální transformace</w:t>
      </w:r>
      <w:r w:rsidRPr="00A92B33">
        <w:t xml:space="preserve"> v obecné rovině podporuje digitalizační snahy v resortu justice. Cílem je vytvořit základ pro budoucí digitalizační projekty, jež budou zlepšovat a rozvíjet nejen poskytované služby cílovým uživatelům ale také samotné prostředí justice. Dílčím cílem digitální transformace je realizace datového skladu justice, za </w:t>
      </w:r>
      <w:proofErr w:type="gramStart"/>
      <w:r w:rsidRPr="00A92B33">
        <w:t>pomoci</w:t>
      </w:r>
      <w:proofErr w:type="gramEnd"/>
      <w:r w:rsidRPr="00A92B33">
        <w:t xml:space="preserve"> kterého bude možné provádět pokročilé analýzy a publikovat datové sady justice (big data, open data, apod.).</w:t>
      </w:r>
      <w:r w:rsidR="004F64EE">
        <w:t xml:space="preserve"> Do elektronických databází lze snadno nahlížet, šetří čas a náklady uživatelů a jsou odolné vůči krizím, jako je krize COVID-19.</w:t>
      </w:r>
      <w:r w:rsidR="005C1206">
        <w:t xml:space="preserve"> Tento záměr je v souladu se Sdělením EK „Digitalizace soudnictví v Evropské unii – Soubor příležitostí“, mj. s opatřením „</w:t>
      </w:r>
      <w:r w:rsidR="001610D5">
        <w:t>p</w:t>
      </w:r>
      <w:r w:rsidR="005C1206">
        <w:t xml:space="preserve">odpora nových služeb pro občany a společnosti prostřednictvím digitalizace systémů soudnictví a příslušných </w:t>
      </w:r>
      <w:r w:rsidR="005C1206">
        <w:lastRenderedPageBreak/>
        <w:t>veřejných služeb v rámci nových nástrojů politiky soudržnosti</w:t>
      </w:r>
      <w:r w:rsidR="00CE271E">
        <w:t>“</w:t>
      </w:r>
      <w:r w:rsidR="005C1206">
        <w:t>, a plně odpovídá požadavku na upřednostnění začlenění opatření v oblasti digitalizace soudnictví do Národních plánů obnovy.</w:t>
      </w:r>
      <w:r w:rsidR="007C636F">
        <w:t xml:space="preserve"> </w:t>
      </w:r>
      <w:r w:rsidR="004E45E8">
        <w:t xml:space="preserve">Z poskytování lepšího digitálního přístupu k justici a vedení digitálních soudních řízení mohou mít prospěch zejména lidé ze vzdálených a venkovských oblastí. </w:t>
      </w:r>
      <w:r w:rsidR="007C636F">
        <w:t>Digitální nástroje mohou pomoci lépe strukturovat řízení a automatizovat a urychlit vyřizování standardizovaných a jednotných úkolů, čímž se zvýší účinnost a účelnost soudních řízení, jak předpokládají Závěry Rady „Přístup ke spravedlnosti – využití příležitostí, jež nabízí digitalizace“.</w:t>
      </w:r>
      <w:r w:rsidR="00C87EA4">
        <w:t xml:space="preserve"> Využívání digitálních technologií může rovněž zlepšit přístup k mimosoudním a alternativním metodám řešení sporů.</w:t>
      </w:r>
    </w:p>
    <w:p w14:paraId="7D1B7670" w14:textId="02DBE47B" w:rsidR="00A92B33" w:rsidRPr="00A92B33" w:rsidRDefault="00A92B33" w:rsidP="00DB2EEB">
      <w:pPr>
        <w:pStyle w:val="K-Text"/>
        <w:spacing w:line="240" w:lineRule="auto"/>
      </w:pPr>
      <w:r w:rsidRPr="00A92B33">
        <w:rPr>
          <w:b/>
        </w:rPr>
        <w:t>Web justice</w:t>
      </w:r>
      <w:r w:rsidRPr="00A92B33">
        <w:t xml:space="preserve"> má za cíl sloužit jako jeden ze základních prvků k poskytování informací o resortu justice a jako jeden ze základních prostředků k poskytování digitálních služeb v justici. Vytvoření kvalitního a moderního internetového portálu justice podpoří fungování a efektivitu digitálních služeb justice a v neposlední řadě podpoří obecný rozvoj eGovernmentu. Zároveň lze předpokládat, že přehledný, intuitivní a přístupný webový portál zvýší přístup ke spravedlnosti ze strany občanů a dalších cílových skupin. </w:t>
      </w:r>
      <w:r w:rsidR="003300C1">
        <w:t>Plný a efektivní přístup ke spravedlnosti pro jednotlivce i podniky umožňuje efektivnější výkon práv a může usnadnit operace, snížit náklady a regulační zátěž a zlepšit přístup všech podniků na jednotný trh, což odpovídá požadavkům</w:t>
      </w:r>
      <w:r w:rsidR="00CE271E">
        <w:rPr>
          <w:iCs w:val="0"/>
        </w:rPr>
        <w:t xml:space="preserve"> obsaženým ve </w:t>
      </w:r>
      <w:r w:rsidR="003300C1" w:rsidRPr="007062AF">
        <w:rPr>
          <w:iCs w:val="0"/>
        </w:rPr>
        <w:t>Sdělení EK „Digitalizace soudnictví v Evropské unii – Soubor příležitostí“</w:t>
      </w:r>
      <w:r w:rsidR="003300C1">
        <w:rPr>
          <w:iCs w:val="0"/>
        </w:rPr>
        <w:t>.</w:t>
      </w:r>
      <w:r w:rsidR="003300C1">
        <w:t xml:space="preserve"> </w:t>
      </w:r>
      <w:r w:rsidR="00963A99">
        <w:t>Apel</w:t>
      </w:r>
      <w:r w:rsidR="007C636F">
        <w:t xml:space="preserve"> na úplný přístup k právním informacím, jako jsou právní předpisy a anonymizovaná soudní rozhodnutí, pro občany i odborníky z praxe v oblasti soudnictví</w:t>
      </w:r>
      <w:r w:rsidR="004E45E8">
        <w:t>,</w:t>
      </w:r>
      <w:r w:rsidR="007C636F">
        <w:t xml:space="preserve"> vyplývá</w:t>
      </w:r>
      <w:r w:rsidR="004E45E8">
        <w:t xml:space="preserve"> rovněž ze Závěrů</w:t>
      </w:r>
      <w:r w:rsidR="004E45E8" w:rsidRPr="004E45E8">
        <w:t xml:space="preserve"> </w:t>
      </w:r>
      <w:r w:rsidR="004E45E8">
        <w:t>Rady „Přístup ke spravedlnosti – využití příležitostí, jež nabízí digitalizace“. Technologické možnosti mohou tyto informace učinit otevřeně dostupné, interoperabilní, snadněji vyhledatelné, srozumitelnější a snadněji použitelné.</w:t>
      </w:r>
    </w:p>
    <w:p w14:paraId="219BA445" w14:textId="6BAC4B23" w:rsidR="00A92B33" w:rsidRPr="00A92B33" w:rsidRDefault="00A92B33" w:rsidP="00DB2EEB">
      <w:pPr>
        <w:pStyle w:val="K-Text"/>
        <w:spacing w:line="240" w:lineRule="auto"/>
      </w:pPr>
      <w:r w:rsidRPr="00A92B33">
        <w:rPr>
          <w:b/>
        </w:rPr>
        <w:t>Audiozáznamy ze soudních jednání</w:t>
      </w:r>
      <w:r w:rsidRPr="00A92B33">
        <w:t xml:space="preserve"> mají za cíl napomáhat transparentnosti řízení a zajištění účastníkům řízení v nejvyšší míře objektivní zaznamenání skutečností při soudním jednání. Audiozáznamy mohou být dále zpracovávány jako digitální data, v podobě např. automatizovaného přepisu za využití inovativních technologií (AI), které dále zefektivní soudní řízení. </w:t>
      </w:r>
      <w:r w:rsidR="008828D5">
        <w:t xml:space="preserve">Tento záměr naplňuje požadavek </w:t>
      </w:r>
      <w:r w:rsidR="008828D5" w:rsidRPr="007062AF">
        <w:rPr>
          <w:iCs w:val="0"/>
        </w:rPr>
        <w:t>Sdělení EK „Digitalizace soudnictví v Evropské unii – Soubor příležitostí“</w:t>
      </w:r>
      <w:r w:rsidR="008828D5">
        <w:rPr>
          <w:iCs w:val="0"/>
        </w:rPr>
        <w:t xml:space="preserve"> a </w:t>
      </w:r>
      <w:r w:rsidR="008828D5">
        <w:t>Závěrů</w:t>
      </w:r>
      <w:r w:rsidR="008828D5" w:rsidRPr="004E45E8">
        <w:t xml:space="preserve"> </w:t>
      </w:r>
      <w:r w:rsidR="008828D5">
        <w:t>Rady „Přístup ke spravedlnosti – využití příležitostí, jež nabízí digitalizace“ na využívání aplikací umělé inteligence, což by mohlo zlepšit fungování justičních systémů ve prospěch občanů a podniků tím, že pomůže soudcům a soudním zaměstnancům v jejich činnosti, urychlí soudní řízení a pomůže zlepšit srovnatelnost a kvalitu soudních rozhodnutí.</w:t>
      </w:r>
      <w:bookmarkStart w:id="1" w:name="_GoBack"/>
      <w:bookmarkEnd w:id="1"/>
    </w:p>
    <w:sectPr w:rsidR="00A92B33" w:rsidRPr="00A92B33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3C79" w14:textId="77777777" w:rsidR="00C87EA4" w:rsidRDefault="00C87EA4" w:rsidP="00677FE0">
      <w:pPr>
        <w:spacing w:after="0" w:line="240" w:lineRule="auto"/>
      </w:pPr>
      <w:r>
        <w:separator/>
      </w:r>
    </w:p>
  </w:endnote>
  <w:endnote w:type="continuationSeparator" w:id="0">
    <w:p w14:paraId="41A0E5AC" w14:textId="77777777" w:rsidR="00C87EA4" w:rsidRDefault="00C87EA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FC9D" w14:textId="77777777" w:rsidR="00C87EA4" w:rsidRDefault="00C87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E4FE" w14:textId="77777777" w:rsidR="00C87EA4" w:rsidRDefault="00C87E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2493" w14:textId="77777777" w:rsidR="00C87EA4" w:rsidRDefault="00C87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362B" w14:textId="77777777" w:rsidR="00C87EA4" w:rsidRDefault="00C87EA4" w:rsidP="00677FE0">
      <w:pPr>
        <w:spacing w:after="0" w:line="240" w:lineRule="auto"/>
      </w:pPr>
      <w:r>
        <w:separator/>
      </w:r>
    </w:p>
  </w:footnote>
  <w:footnote w:type="continuationSeparator" w:id="0">
    <w:p w14:paraId="2EB6E328" w14:textId="77777777" w:rsidR="00C87EA4" w:rsidRDefault="00C87EA4" w:rsidP="00677FE0">
      <w:pPr>
        <w:spacing w:after="0" w:line="240" w:lineRule="auto"/>
      </w:pPr>
      <w:r>
        <w:continuationSeparator/>
      </w:r>
    </w:p>
  </w:footnote>
  <w:footnote w:id="1">
    <w:p w14:paraId="350AB582" w14:textId="77777777" w:rsidR="00C87EA4" w:rsidRPr="00A87B13" w:rsidRDefault="00C87EA4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38AB" w14:textId="77777777" w:rsidR="00C87EA4" w:rsidRDefault="00C87E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BA37" w14:textId="77777777" w:rsidR="00C87EA4" w:rsidRDefault="00C87E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2BA" w14:textId="77777777" w:rsidR="00C87EA4" w:rsidRDefault="00C87E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A3A0490"/>
    <w:multiLevelType w:val="hybridMultilevel"/>
    <w:tmpl w:val="ADDC6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7C93B2B"/>
    <w:multiLevelType w:val="hybridMultilevel"/>
    <w:tmpl w:val="ACEECBD0"/>
    <w:lvl w:ilvl="0" w:tplc="204A41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63F1"/>
    <w:multiLevelType w:val="hybridMultilevel"/>
    <w:tmpl w:val="124A0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64DF4"/>
    <w:multiLevelType w:val="hybridMultilevel"/>
    <w:tmpl w:val="93A0F1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3" w15:restartNumberingAfterBreak="0">
    <w:nsid w:val="5AEE26E7"/>
    <w:multiLevelType w:val="hybridMultilevel"/>
    <w:tmpl w:val="35207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35F43"/>
    <w:multiLevelType w:val="multilevel"/>
    <w:tmpl w:val="0D8ABE32"/>
    <w:numStyleLink w:val="VariantaB-sla"/>
  </w:abstractNum>
  <w:abstractNum w:abstractNumId="25" w15:restartNumberingAfterBreak="0">
    <w:nsid w:val="632E2055"/>
    <w:multiLevelType w:val="hybridMultilevel"/>
    <w:tmpl w:val="4F2EF8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CCE"/>
    <w:multiLevelType w:val="hybridMultilevel"/>
    <w:tmpl w:val="D272FD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A18BF"/>
    <w:multiLevelType w:val="hybridMultilevel"/>
    <w:tmpl w:val="13D668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513FD"/>
    <w:multiLevelType w:val="hybridMultilevel"/>
    <w:tmpl w:val="73CCE8A8"/>
    <w:lvl w:ilvl="0" w:tplc="58EA94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0"/>
  </w:num>
  <w:num w:numId="5">
    <w:abstractNumId w:val="24"/>
  </w:num>
  <w:num w:numId="6">
    <w:abstractNumId w:val="10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8"/>
  </w:num>
  <w:num w:numId="12">
    <w:abstractNumId w:val="26"/>
  </w:num>
  <w:num w:numId="13">
    <w:abstractNumId w:val="19"/>
  </w:num>
  <w:num w:numId="14">
    <w:abstractNumId w:val="27"/>
  </w:num>
  <w:num w:numId="15">
    <w:abstractNumId w:val="28"/>
  </w:num>
  <w:num w:numId="16">
    <w:abstractNumId w:val="18"/>
  </w:num>
  <w:num w:numId="17">
    <w:abstractNumId w:val="2"/>
  </w:num>
  <w:num w:numId="18">
    <w:abstractNumId w:val="7"/>
  </w:num>
  <w:num w:numId="19">
    <w:abstractNumId w:val="11"/>
  </w:num>
  <w:num w:numId="20">
    <w:abstractNumId w:val="20"/>
  </w:num>
  <w:num w:numId="21">
    <w:abstractNumId w:val="9"/>
  </w:num>
  <w:num w:numId="22">
    <w:abstractNumId w:val="12"/>
  </w:num>
  <w:num w:numId="23">
    <w:abstractNumId w:val="15"/>
  </w:num>
  <w:num w:numId="24">
    <w:abstractNumId w:val="25"/>
  </w:num>
  <w:num w:numId="25">
    <w:abstractNumId w:val="1"/>
  </w:num>
  <w:num w:numId="26">
    <w:abstractNumId w:val="5"/>
  </w:num>
  <w:num w:numId="27">
    <w:abstractNumId w:val="29"/>
  </w:num>
  <w:num w:numId="28">
    <w:abstractNumId w:val="30"/>
  </w:num>
  <w:num w:numId="29">
    <w:abstractNumId w:val="31"/>
  </w:num>
  <w:num w:numId="30">
    <w:abstractNumId w:val="23"/>
  </w:num>
  <w:num w:numId="31">
    <w:abstractNumId w:val="21"/>
  </w:num>
  <w:num w:numId="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015306"/>
    <w:rsid w:val="00020440"/>
    <w:rsid w:val="0002674B"/>
    <w:rsid w:val="00030685"/>
    <w:rsid w:val="0004162E"/>
    <w:rsid w:val="00042B69"/>
    <w:rsid w:val="0004786B"/>
    <w:rsid w:val="00063405"/>
    <w:rsid w:val="00070134"/>
    <w:rsid w:val="000809B9"/>
    <w:rsid w:val="00081843"/>
    <w:rsid w:val="00083DF4"/>
    <w:rsid w:val="0008544E"/>
    <w:rsid w:val="00086A95"/>
    <w:rsid w:val="00090279"/>
    <w:rsid w:val="00090357"/>
    <w:rsid w:val="00090B40"/>
    <w:rsid w:val="00095A0A"/>
    <w:rsid w:val="00095EBD"/>
    <w:rsid w:val="000A39A6"/>
    <w:rsid w:val="000A47B6"/>
    <w:rsid w:val="000B1B3D"/>
    <w:rsid w:val="000C0598"/>
    <w:rsid w:val="000C4CAF"/>
    <w:rsid w:val="000D652B"/>
    <w:rsid w:val="000E2207"/>
    <w:rsid w:val="00121485"/>
    <w:rsid w:val="001268B0"/>
    <w:rsid w:val="0015052B"/>
    <w:rsid w:val="00154B73"/>
    <w:rsid w:val="001610D5"/>
    <w:rsid w:val="001745AA"/>
    <w:rsid w:val="0018051B"/>
    <w:rsid w:val="001866D5"/>
    <w:rsid w:val="001A68B5"/>
    <w:rsid w:val="001B0E8D"/>
    <w:rsid w:val="001B1E4A"/>
    <w:rsid w:val="001B58AA"/>
    <w:rsid w:val="001B5D60"/>
    <w:rsid w:val="001C4DFD"/>
    <w:rsid w:val="001D27C0"/>
    <w:rsid w:val="001E74C3"/>
    <w:rsid w:val="001F6937"/>
    <w:rsid w:val="0020024B"/>
    <w:rsid w:val="00207FC3"/>
    <w:rsid w:val="00220DE3"/>
    <w:rsid w:val="00242291"/>
    <w:rsid w:val="002424D3"/>
    <w:rsid w:val="0025290D"/>
    <w:rsid w:val="00260372"/>
    <w:rsid w:val="00262DAF"/>
    <w:rsid w:val="0027222D"/>
    <w:rsid w:val="00285AED"/>
    <w:rsid w:val="00295991"/>
    <w:rsid w:val="002C1423"/>
    <w:rsid w:val="002C20CF"/>
    <w:rsid w:val="002C460F"/>
    <w:rsid w:val="002C4FCC"/>
    <w:rsid w:val="002D2B80"/>
    <w:rsid w:val="002E19BA"/>
    <w:rsid w:val="002E2442"/>
    <w:rsid w:val="002F0E8C"/>
    <w:rsid w:val="00304970"/>
    <w:rsid w:val="00310FA0"/>
    <w:rsid w:val="00320481"/>
    <w:rsid w:val="003250CB"/>
    <w:rsid w:val="003300C1"/>
    <w:rsid w:val="00333A9E"/>
    <w:rsid w:val="00351CAF"/>
    <w:rsid w:val="00363201"/>
    <w:rsid w:val="00365B1C"/>
    <w:rsid w:val="00366AB6"/>
    <w:rsid w:val="003721A1"/>
    <w:rsid w:val="0039063C"/>
    <w:rsid w:val="003A46A8"/>
    <w:rsid w:val="003A51AA"/>
    <w:rsid w:val="003B0E92"/>
    <w:rsid w:val="003B565A"/>
    <w:rsid w:val="003D00A1"/>
    <w:rsid w:val="003D3067"/>
    <w:rsid w:val="003E5B9C"/>
    <w:rsid w:val="003F5ABC"/>
    <w:rsid w:val="0040692C"/>
    <w:rsid w:val="0041427F"/>
    <w:rsid w:val="00414742"/>
    <w:rsid w:val="00420271"/>
    <w:rsid w:val="004509E5"/>
    <w:rsid w:val="004562DC"/>
    <w:rsid w:val="00475F25"/>
    <w:rsid w:val="00486FB9"/>
    <w:rsid w:val="00493245"/>
    <w:rsid w:val="004C212A"/>
    <w:rsid w:val="004E45E8"/>
    <w:rsid w:val="004E6019"/>
    <w:rsid w:val="004F64EE"/>
    <w:rsid w:val="0050009E"/>
    <w:rsid w:val="00500232"/>
    <w:rsid w:val="005015C4"/>
    <w:rsid w:val="00504668"/>
    <w:rsid w:val="00504DF6"/>
    <w:rsid w:val="005119E2"/>
    <w:rsid w:val="00524194"/>
    <w:rsid w:val="00536992"/>
    <w:rsid w:val="00545113"/>
    <w:rsid w:val="005455E1"/>
    <w:rsid w:val="005502BD"/>
    <w:rsid w:val="00556787"/>
    <w:rsid w:val="00576306"/>
    <w:rsid w:val="00582276"/>
    <w:rsid w:val="00586036"/>
    <w:rsid w:val="005B0632"/>
    <w:rsid w:val="005B3F5C"/>
    <w:rsid w:val="005C1206"/>
    <w:rsid w:val="005C2560"/>
    <w:rsid w:val="005C4AD7"/>
    <w:rsid w:val="005C6CAD"/>
    <w:rsid w:val="005D1A33"/>
    <w:rsid w:val="005E45F1"/>
    <w:rsid w:val="005F7585"/>
    <w:rsid w:val="00603DA9"/>
    <w:rsid w:val="00605759"/>
    <w:rsid w:val="0062474E"/>
    <w:rsid w:val="00650C6C"/>
    <w:rsid w:val="00652FE6"/>
    <w:rsid w:val="006570F5"/>
    <w:rsid w:val="00660826"/>
    <w:rsid w:val="00667898"/>
    <w:rsid w:val="00677FE0"/>
    <w:rsid w:val="006953C3"/>
    <w:rsid w:val="006A7342"/>
    <w:rsid w:val="006B6764"/>
    <w:rsid w:val="006C23E0"/>
    <w:rsid w:val="006C30EB"/>
    <w:rsid w:val="006D04EF"/>
    <w:rsid w:val="006E0EF7"/>
    <w:rsid w:val="006E2FB0"/>
    <w:rsid w:val="006F134F"/>
    <w:rsid w:val="006F1BEA"/>
    <w:rsid w:val="007062AF"/>
    <w:rsid w:val="007102D2"/>
    <w:rsid w:val="00712D72"/>
    <w:rsid w:val="00713948"/>
    <w:rsid w:val="0072734C"/>
    <w:rsid w:val="007340FE"/>
    <w:rsid w:val="00741CFD"/>
    <w:rsid w:val="007513F7"/>
    <w:rsid w:val="00753A27"/>
    <w:rsid w:val="007842BA"/>
    <w:rsid w:val="00787725"/>
    <w:rsid w:val="0079342A"/>
    <w:rsid w:val="007A2737"/>
    <w:rsid w:val="007B4949"/>
    <w:rsid w:val="007C0788"/>
    <w:rsid w:val="007C636F"/>
    <w:rsid w:val="007C6A25"/>
    <w:rsid w:val="007E55C0"/>
    <w:rsid w:val="007F0BC6"/>
    <w:rsid w:val="007F42CB"/>
    <w:rsid w:val="00831374"/>
    <w:rsid w:val="00852465"/>
    <w:rsid w:val="00857580"/>
    <w:rsid w:val="00864C4C"/>
    <w:rsid w:val="00865238"/>
    <w:rsid w:val="00866685"/>
    <w:rsid w:val="008667BF"/>
    <w:rsid w:val="008828D5"/>
    <w:rsid w:val="008953E7"/>
    <w:rsid w:val="00895645"/>
    <w:rsid w:val="008A7851"/>
    <w:rsid w:val="008C3782"/>
    <w:rsid w:val="008D4A32"/>
    <w:rsid w:val="008D593A"/>
    <w:rsid w:val="008E7760"/>
    <w:rsid w:val="0091766D"/>
    <w:rsid w:val="00922001"/>
    <w:rsid w:val="00922C17"/>
    <w:rsid w:val="009325EA"/>
    <w:rsid w:val="00942DDD"/>
    <w:rsid w:val="00942EC8"/>
    <w:rsid w:val="009516A8"/>
    <w:rsid w:val="00963A99"/>
    <w:rsid w:val="0097036D"/>
    <w:rsid w:val="0097705C"/>
    <w:rsid w:val="00996DF6"/>
    <w:rsid w:val="009A3F2B"/>
    <w:rsid w:val="009B503A"/>
    <w:rsid w:val="009C04D3"/>
    <w:rsid w:val="009D2E78"/>
    <w:rsid w:val="009F393D"/>
    <w:rsid w:val="009F43F5"/>
    <w:rsid w:val="009F7F46"/>
    <w:rsid w:val="00A000BF"/>
    <w:rsid w:val="00A0587E"/>
    <w:rsid w:val="00A24C1F"/>
    <w:rsid w:val="00A275BC"/>
    <w:rsid w:val="00A356B5"/>
    <w:rsid w:val="00A464B4"/>
    <w:rsid w:val="00A55375"/>
    <w:rsid w:val="00A63D6B"/>
    <w:rsid w:val="00A84A26"/>
    <w:rsid w:val="00A84B52"/>
    <w:rsid w:val="00A8660F"/>
    <w:rsid w:val="00A87B13"/>
    <w:rsid w:val="00A92B33"/>
    <w:rsid w:val="00A95C48"/>
    <w:rsid w:val="00AA129D"/>
    <w:rsid w:val="00AA7056"/>
    <w:rsid w:val="00AB1E4E"/>
    <w:rsid w:val="00AB31C6"/>
    <w:rsid w:val="00AB523B"/>
    <w:rsid w:val="00AD7E40"/>
    <w:rsid w:val="00AF2980"/>
    <w:rsid w:val="00AF3BAB"/>
    <w:rsid w:val="00B1114A"/>
    <w:rsid w:val="00B1477A"/>
    <w:rsid w:val="00B1729A"/>
    <w:rsid w:val="00B20993"/>
    <w:rsid w:val="00B300B3"/>
    <w:rsid w:val="00B31350"/>
    <w:rsid w:val="00B32C5E"/>
    <w:rsid w:val="00B33950"/>
    <w:rsid w:val="00B42E96"/>
    <w:rsid w:val="00B50EE6"/>
    <w:rsid w:val="00B52185"/>
    <w:rsid w:val="00B6032A"/>
    <w:rsid w:val="00B94A2A"/>
    <w:rsid w:val="00B9753A"/>
    <w:rsid w:val="00BB0582"/>
    <w:rsid w:val="00BB479C"/>
    <w:rsid w:val="00BC4720"/>
    <w:rsid w:val="00BD0B80"/>
    <w:rsid w:val="00BD33C3"/>
    <w:rsid w:val="00BD75A2"/>
    <w:rsid w:val="00BF2876"/>
    <w:rsid w:val="00C020EE"/>
    <w:rsid w:val="00C2017A"/>
    <w:rsid w:val="00C2026B"/>
    <w:rsid w:val="00C20470"/>
    <w:rsid w:val="00C317DF"/>
    <w:rsid w:val="00C34B2F"/>
    <w:rsid w:val="00C4641B"/>
    <w:rsid w:val="00C556AB"/>
    <w:rsid w:val="00C666BD"/>
    <w:rsid w:val="00C6690E"/>
    <w:rsid w:val="00C703C5"/>
    <w:rsid w:val="00C805F2"/>
    <w:rsid w:val="00C87EA4"/>
    <w:rsid w:val="00C925FB"/>
    <w:rsid w:val="00C96099"/>
    <w:rsid w:val="00C96EFE"/>
    <w:rsid w:val="00CB36B0"/>
    <w:rsid w:val="00CC5E40"/>
    <w:rsid w:val="00CE0581"/>
    <w:rsid w:val="00CE271E"/>
    <w:rsid w:val="00CF104D"/>
    <w:rsid w:val="00CF21D8"/>
    <w:rsid w:val="00CF3324"/>
    <w:rsid w:val="00CF5796"/>
    <w:rsid w:val="00D0211A"/>
    <w:rsid w:val="00D1569F"/>
    <w:rsid w:val="00D20B1E"/>
    <w:rsid w:val="00D22462"/>
    <w:rsid w:val="00D230AC"/>
    <w:rsid w:val="00D32489"/>
    <w:rsid w:val="00D3349E"/>
    <w:rsid w:val="00D35CD2"/>
    <w:rsid w:val="00D50711"/>
    <w:rsid w:val="00D6670A"/>
    <w:rsid w:val="00D71EF7"/>
    <w:rsid w:val="00D73CB8"/>
    <w:rsid w:val="00D76F54"/>
    <w:rsid w:val="00D840C5"/>
    <w:rsid w:val="00D97E67"/>
    <w:rsid w:val="00DA7591"/>
    <w:rsid w:val="00DB2EEB"/>
    <w:rsid w:val="00DB6F34"/>
    <w:rsid w:val="00DC646D"/>
    <w:rsid w:val="00DE0ED4"/>
    <w:rsid w:val="00E237E4"/>
    <w:rsid w:val="00E32798"/>
    <w:rsid w:val="00E33CC8"/>
    <w:rsid w:val="00E36B8D"/>
    <w:rsid w:val="00E51C91"/>
    <w:rsid w:val="00E56F24"/>
    <w:rsid w:val="00E57068"/>
    <w:rsid w:val="00E667C1"/>
    <w:rsid w:val="00E67EEC"/>
    <w:rsid w:val="00E72C6C"/>
    <w:rsid w:val="00EC3F88"/>
    <w:rsid w:val="00ED337B"/>
    <w:rsid w:val="00ED36D8"/>
    <w:rsid w:val="00ED612A"/>
    <w:rsid w:val="00EE6BD7"/>
    <w:rsid w:val="00EF374D"/>
    <w:rsid w:val="00F05C17"/>
    <w:rsid w:val="00F0689D"/>
    <w:rsid w:val="00F3526D"/>
    <w:rsid w:val="00F36A11"/>
    <w:rsid w:val="00F51096"/>
    <w:rsid w:val="00F53AB3"/>
    <w:rsid w:val="00F66F66"/>
    <w:rsid w:val="00F77D61"/>
    <w:rsid w:val="00F8491A"/>
    <w:rsid w:val="00FB01B5"/>
    <w:rsid w:val="00FB2FFA"/>
    <w:rsid w:val="00FC39F6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758E-458E-400C-A4E9-7E535E5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CADE-9F35-43CD-8B7E-97AFE2DA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384D36C8.dotm</Template>
  <TotalTime>6</TotalTime>
  <Pages>11</Pages>
  <Words>4681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3</cp:revision>
  <cp:lastPrinted>2021-01-14T12:01:00Z</cp:lastPrinted>
  <dcterms:created xsi:type="dcterms:W3CDTF">2021-01-15T12:42:00Z</dcterms:created>
  <dcterms:modified xsi:type="dcterms:W3CDTF">2021-01-28T12:11:00Z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