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B5455" w:rsidRDefault="005F4671">
      <w:pPr>
        <w:keepNext/>
        <w:keepLines/>
        <w:pBdr>
          <w:top w:val="nil"/>
          <w:left w:val="nil"/>
          <w:bottom w:val="nil"/>
          <w:right w:val="nil"/>
          <w:between w:val="nil"/>
        </w:pBdr>
        <w:spacing w:before="160" w:after="0" w:line="276"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1.5 Digitální transformace podniků (MPO) </w:t>
      </w:r>
    </w:p>
    <w:p w14:paraId="00000002" w14:textId="77777777" w:rsidR="00FB5455" w:rsidRDefault="00FB5455">
      <w:pPr>
        <w:pStyle w:val="Nadpis2"/>
        <w:spacing w:line="276" w:lineRule="auto"/>
        <w:rPr>
          <w:rFonts w:ascii="Times New Roman" w:eastAsia="Times New Roman" w:hAnsi="Times New Roman" w:cs="Times New Roman"/>
          <w:sz w:val="28"/>
          <w:szCs w:val="28"/>
        </w:rPr>
      </w:pPr>
    </w:p>
    <w:p w14:paraId="00000003" w14:textId="77777777" w:rsidR="00FB5455" w:rsidRDefault="005F4671">
      <w:pPr>
        <w:pStyle w:val="Nadpis2"/>
        <w:spacing w:line="276" w:lineRule="auto"/>
        <w:rPr>
          <w:rFonts w:ascii="Times New Roman" w:eastAsia="Times New Roman" w:hAnsi="Times New Roman" w:cs="Times New Roman"/>
          <w:b w:val="0"/>
          <w:i/>
          <w:color w:val="2196FF"/>
          <w:sz w:val="23"/>
          <w:szCs w:val="23"/>
        </w:rPr>
      </w:pPr>
      <w:r>
        <w:rPr>
          <w:rFonts w:ascii="Times New Roman" w:eastAsia="Times New Roman" w:hAnsi="Times New Roman" w:cs="Times New Roman"/>
          <w:color w:val="000000"/>
          <w:sz w:val="28"/>
          <w:szCs w:val="28"/>
        </w:rPr>
        <w:t>1. Popis komponenty</w:t>
      </w:r>
    </w:p>
    <w:p w14:paraId="00000004"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Souhrnný box pro komponentu </w:t>
      </w:r>
      <w:r>
        <w:rPr>
          <w:rFonts w:ascii="Times New Roman" w:eastAsia="Times New Roman" w:hAnsi="Times New Roman" w:cs="Times New Roman"/>
          <w:b/>
          <w:sz w:val="23"/>
          <w:szCs w:val="23"/>
        </w:rPr>
        <w:t>1.5 Digitální transformace podniků</w:t>
      </w:r>
    </w:p>
    <w:p w14:paraId="00000005"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bookmarkStart w:id="0" w:name="_gjdgxs" w:colFirst="0" w:colLast="0"/>
      <w:bookmarkEnd w:id="0"/>
      <w:r>
        <w:rPr>
          <w:rFonts w:ascii="Times New Roman" w:eastAsia="Times New Roman" w:hAnsi="Times New Roman" w:cs="Times New Roman"/>
          <w:b/>
          <w:color w:val="000000"/>
          <w:sz w:val="23"/>
          <w:szCs w:val="23"/>
        </w:rPr>
        <w:t xml:space="preserve">Oblast politiky/obor zájmu: </w:t>
      </w:r>
      <w:r>
        <w:rPr>
          <w:rFonts w:ascii="Times New Roman" w:eastAsia="Times New Roman" w:hAnsi="Times New Roman" w:cs="Times New Roman"/>
          <w:color w:val="000000"/>
          <w:sz w:val="23"/>
          <w:szCs w:val="23"/>
        </w:rPr>
        <w:t>Digital</w:t>
      </w:r>
    </w:p>
    <w:p w14:paraId="00000006"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bookmarkStart w:id="1" w:name="_nj1ks6p3kwye" w:colFirst="0" w:colLast="0"/>
      <w:bookmarkEnd w:id="1"/>
      <w:r>
        <w:rPr>
          <w:rFonts w:ascii="Times New Roman" w:eastAsia="Times New Roman" w:hAnsi="Times New Roman" w:cs="Times New Roman"/>
          <w:b/>
          <w:color w:val="000000"/>
          <w:sz w:val="23"/>
          <w:szCs w:val="23"/>
        </w:rPr>
        <w:t xml:space="preserve">Cíl: </w:t>
      </w:r>
      <w:r>
        <w:rPr>
          <w:rFonts w:ascii="Times New Roman" w:eastAsia="Times New Roman" w:hAnsi="Times New Roman" w:cs="Times New Roman"/>
          <w:color w:val="000000"/>
          <w:sz w:val="23"/>
          <w:szCs w:val="23"/>
        </w:rPr>
        <w:t>Cílem plně fungujícího ekosystému je komplexní provázanost všech aktérů v systému a jejich aktivní nabídka vůči ostatním. Principem podpory je umožnit nabídku všem subjektům za účelem zvyšování digitální transformace a využití technologií.</w:t>
      </w:r>
      <w:r>
        <w:rPr>
          <w:rFonts w:ascii="Times New Roman" w:eastAsia="Times New Roman" w:hAnsi="Times New Roman" w:cs="Times New Roman"/>
          <w:b/>
          <w:color w:val="000000"/>
          <w:sz w:val="23"/>
          <w:szCs w:val="23"/>
        </w:rPr>
        <w:t xml:space="preserve"> </w:t>
      </w:r>
    </w:p>
    <w:p w14:paraId="00000007"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Reformy a/nebo </w:t>
      </w:r>
      <w:r>
        <w:rPr>
          <w:rFonts w:ascii="Times New Roman" w:eastAsia="Times New Roman" w:hAnsi="Times New Roman" w:cs="Times New Roman"/>
          <w:b/>
          <w:color w:val="000000"/>
          <w:sz w:val="23"/>
          <w:szCs w:val="23"/>
        </w:rPr>
        <w:t>investice</w:t>
      </w:r>
      <w:r>
        <w:rPr>
          <w:rFonts w:ascii="Times New Roman" w:eastAsia="Times New Roman" w:hAnsi="Times New Roman" w:cs="Times New Roman"/>
          <w:b/>
          <w:color w:val="000000"/>
          <w:sz w:val="23"/>
          <w:szCs w:val="23"/>
          <w:vertAlign w:val="superscript"/>
        </w:rPr>
        <w:footnoteReference w:id="1"/>
      </w:r>
      <w:r>
        <w:rPr>
          <w:rFonts w:ascii="Times New Roman" w:eastAsia="Times New Roman" w:hAnsi="Times New Roman" w:cs="Times New Roman"/>
          <w:b/>
          <w:color w:val="000000"/>
          <w:sz w:val="23"/>
          <w:szCs w:val="23"/>
        </w:rPr>
        <w:t xml:space="preserve">: </w:t>
      </w:r>
    </w:p>
    <w:p w14:paraId="00000008"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Evropská a národní centra digitálních inovací (e/DIH) - Propojená síť Evropských center pro digitální inovace vznikne v průběhu několika let a bude doplňována o další kvalitní projekty národního charakteru. </w:t>
      </w:r>
    </w:p>
    <w:p w14:paraId="00000009"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Evropská centra excelence – K</w:t>
      </w:r>
      <w:r>
        <w:rPr>
          <w:rFonts w:ascii="Times New Roman" w:eastAsia="Times New Roman" w:hAnsi="Times New Roman" w:cs="Times New Roman"/>
          <w:color w:val="000000"/>
          <w:sz w:val="23"/>
          <w:szCs w:val="23"/>
        </w:rPr>
        <w:t xml:space="preserve">oordinace národních </w:t>
      </w:r>
      <w:proofErr w:type="spellStart"/>
      <w:r>
        <w:rPr>
          <w:rFonts w:ascii="Times New Roman" w:eastAsia="Times New Roman" w:hAnsi="Times New Roman" w:cs="Times New Roman"/>
          <w:color w:val="000000"/>
          <w:sz w:val="23"/>
          <w:szCs w:val="23"/>
        </w:rPr>
        <w:t>stakeholderů</w:t>
      </w:r>
      <w:proofErr w:type="spellEnd"/>
      <w:r>
        <w:rPr>
          <w:rFonts w:ascii="Times New Roman" w:eastAsia="Times New Roman" w:hAnsi="Times New Roman" w:cs="Times New Roman"/>
          <w:color w:val="000000"/>
          <w:sz w:val="23"/>
          <w:szCs w:val="23"/>
        </w:rPr>
        <w:t xml:space="preserve"> pro přípravu projektů na koordinaci již podpořeného národního projektu Evropského centra excelence v oblasti umělé inteligence pro bezpečnější společnost do evropské sítě Center Excelence.</w:t>
      </w:r>
    </w:p>
    <w:p w14:paraId="0000000A"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 Evropská referenční testovací c</w:t>
      </w:r>
      <w:r>
        <w:rPr>
          <w:rFonts w:ascii="Times New Roman" w:eastAsia="Times New Roman" w:hAnsi="Times New Roman" w:cs="Times New Roman"/>
          <w:color w:val="000000"/>
          <w:sz w:val="23"/>
          <w:szCs w:val="23"/>
        </w:rPr>
        <w:t>entra – Experimentování a testování nejmodernějších technologií v reálných prostředích je důležitým krokem při uvádění technologie na trh a je součástí inovačního řetězce, kde evropský ekosystém AI potřebuje významnou podporu, aby zůstal globálně konkurenc</w:t>
      </w:r>
      <w:r>
        <w:rPr>
          <w:rFonts w:ascii="Times New Roman" w:eastAsia="Times New Roman" w:hAnsi="Times New Roman" w:cs="Times New Roman"/>
          <w:color w:val="000000"/>
          <w:sz w:val="23"/>
          <w:szCs w:val="23"/>
        </w:rPr>
        <w:t>eschopný. Rozhodující role zkušebních a experimentálních zařízení byla potvrzena současnou krizí, protože mnoho dobrých řešení pro řešení současných potřeb.</w:t>
      </w:r>
    </w:p>
    <w:p w14:paraId="0000000B"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 V reformě zaměřené na programy přímé podpory digitální transformace podniků umožňuje převážně ma</w:t>
      </w:r>
      <w:r>
        <w:rPr>
          <w:rFonts w:ascii="Times New Roman" w:eastAsia="Times New Roman" w:hAnsi="Times New Roman" w:cs="Times New Roman"/>
          <w:sz w:val="23"/>
          <w:szCs w:val="23"/>
        </w:rPr>
        <w:t>lým a středním podnikům, kteří nebudou spolupracovat se sítí Evropských center pro digitální inovace, digitalizovat své nevýrobní procesy prostřednictvím konkrétně zaměřených projektů. Programy digitální transformace výrobních i nevýrobních podniků a zvýše</w:t>
      </w:r>
      <w:r>
        <w:rPr>
          <w:rFonts w:ascii="Times New Roman" w:eastAsia="Times New Roman" w:hAnsi="Times New Roman" w:cs="Times New Roman"/>
          <w:sz w:val="23"/>
          <w:szCs w:val="23"/>
        </w:rPr>
        <w:t>ní odolnosti (vč. např. kybernetické bezpečnosti) - Příprava národních finančních programů na jednotlivé projekty digitalizace nevýrobních podniků. Může být provázáno na národní digitální ekosystém, ale zaměřeno na konkrétní projekty digitalizace.</w:t>
      </w:r>
    </w:p>
    <w:p w14:paraId="0000000C"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Odhadova</w:t>
      </w:r>
      <w:r>
        <w:rPr>
          <w:rFonts w:ascii="Times New Roman" w:eastAsia="Times New Roman" w:hAnsi="Times New Roman" w:cs="Times New Roman"/>
          <w:b/>
          <w:color w:val="000000"/>
          <w:sz w:val="23"/>
          <w:szCs w:val="23"/>
        </w:rPr>
        <w:t xml:space="preserve">né náklady: </w:t>
      </w:r>
    </w:p>
    <w:p w14:paraId="0000000D"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Celkové alokované prostředky v NPO činí </w:t>
      </w:r>
      <w:r>
        <w:rPr>
          <w:rFonts w:ascii="Times New Roman" w:eastAsia="Times New Roman" w:hAnsi="Times New Roman" w:cs="Times New Roman"/>
          <w:color w:val="000000"/>
          <w:sz w:val="23"/>
          <w:szCs w:val="23"/>
          <w:highlight w:val="yellow"/>
        </w:rPr>
        <w:t>1600</w:t>
      </w:r>
      <w:r>
        <w:rPr>
          <w:rFonts w:ascii="Times New Roman" w:eastAsia="Times New Roman" w:hAnsi="Times New Roman" w:cs="Times New Roman"/>
          <w:color w:val="000000"/>
          <w:sz w:val="23"/>
          <w:szCs w:val="23"/>
        </w:rPr>
        <w:t xml:space="preserve"> m</w:t>
      </w:r>
      <w:r>
        <w:rPr>
          <w:rFonts w:ascii="Times New Roman" w:eastAsia="Times New Roman" w:hAnsi="Times New Roman" w:cs="Times New Roman"/>
          <w:sz w:val="23"/>
          <w:szCs w:val="23"/>
        </w:rPr>
        <w:t>il</w:t>
      </w:r>
      <w:r>
        <w:rPr>
          <w:rFonts w:ascii="Times New Roman" w:eastAsia="Times New Roman" w:hAnsi="Times New Roman" w:cs="Times New Roman"/>
          <w:color w:val="000000"/>
          <w:sz w:val="23"/>
          <w:szCs w:val="23"/>
        </w:rPr>
        <w:t>. Kč</w:t>
      </w:r>
    </w:p>
    <w:p w14:paraId="0000000E"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Celkové investiční výdaje na komponentu lze odhadnout na úrovni </w:t>
      </w:r>
      <w:r>
        <w:rPr>
          <w:rFonts w:ascii="Times New Roman" w:eastAsia="Times New Roman" w:hAnsi="Times New Roman" w:cs="Times New Roman"/>
          <w:color w:val="000000"/>
          <w:sz w:val="23"/>
          <w:szCs w:val="23"/>
          <w:highlight w:val="yellow"/>
        </w:rPr>
        <w:t>2 600</w:t>
      </w:r>
      <w:r>
        <w:rPr>
          <w:rFonts w:ascii="Times New Roman" w:eastAsia="Times New Roman" w:hAnsi="Times New Roman" w:cs="Times New Roman"/>
          <w:color w:val="000000"/>
          <w:sz w:val="23"/>
          <w:szCs w:val="23"/>
        </w:rPr>
        <w:t xml:space="preserve"> m</w:t>
      </w:r>
      <w:r>
        <w:rPr>
          <w:rFonts w:ascii="Times New Roman" w:eastAsia="Times New Roman" w:hAnsi="Times New Roman" w:cs="Times New Roman"/>
          <w:sz w:val="23"/>
          <w:szCs w:val="23"/>
        </w:rPr>
        <w:t>il</w:t>
      </w:r>
      <w:r>
        <w:rPr>
          <w:rFonts w:ascii="Times New Roman" w:eastAsia="Times New Roman" w:hAnsi="Times New Roman" w:cs="Times New Roman"/>
          <w:color w:val="000000"/>
          <w:sz w:val="23"/>
          <w:szCs w:val="23"/>
        </w:rPr>
        <w:t>. Kč.</w:t>
      </w:r>
    </w:p>
    <w:p w14:paraId="0000000F"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Veškeré projekty uvedené projekty budou </w:t>
      </w:r>
      <w:proofErr w:type="spellStart"/>
      <w:r>
        <w:rPr>
          <w:rFonts w:ascii="Times New Roman" w:eastAsia="Times New Roman" w:hAnsi="Times New Roman" w:cs="Times New Roman"/>
          <w:color w:val="000000"/>
          <w:sz w:val="23"/>
          <w:szCs w:val="23"/>
        </w:rPr>
        <w:t>zasmluvněny</w:t>
      </w:r>
      <w:proofErr w:type="spellEnd"/>
      <w:r>
        <w:rPr>
          <w:rFonts w:ascii="Times New Roman" w:eastAsia="Times New Roman" w:hAnsi="Times New Roman" w:cs="Times New Roman"/>
          <w:color w:val="000000"/>
          <w:sz w:val="23"/>
          <w:szCs w:val="23"/>
        </w:rPr>
        <w:t xml:space="preserve"> nejpozději ve </w:t>
      </w:r>
      <w:r>
        <w:rPr>
          <w:rFonts w:ascii="Times New Roman" w:eastAsia="Times New Roman" w:hAnsi="Times New Roman" w:cs="Times New Roman"/>
          <w:color w:val="000000"/>
          <w:sz w:val="23"/>
          <w:szCs w:val="23"/>
          <w:highlight w:val="yellow"/>
        </w:rPr>
        <w:t>202</w:t>
      </w:r>
      <w:r>
        <w:rPr>
          <w:rFonts w:ascii="Times New Roman" w:eastAsia="Times New Roman" w:hAnsi="Times New Roman" w:cs="Times New Roman"/>
          <w:sz w:val="23"/>
          <w:szCs w:val="23"/>
          <w:highlight w:val="yellow"/>
        </w:rPr>
        <w:t>3</w:t>
      </w:r>
      <w:r>
        <w:rPr>
          <w:rFonts w:ascii="Times New Roman" w:eastAsia="Times New Roman" w:hAnsi="Times New Roman" w:cs="Times New Roman"/>
          <w:color w:val="000000"/>
          <w:sz w:val="23"/>
          <w:szCs w:val="23"/>
        </w:rPr>
        <w:t>.</w:t>
      </w:r>
    </w:p>
    <w:p w14:paraId="00000010" w14:textId="77777777" w:rsidR="00FB5455" w:rsidRDefault="005F4671">
      <w:pPr>
        <w:pBdr>
          <w:top w:val="single" w:sz="4" w:space="1" w:color="000000"/>
          <w:left w:val="single" w:sz="4" w:space="4" w:color="000000"/>
          <w:bottom w:val="single" w:sz="4" w:space="1" w:color="000000"/>
          <w:right w:val="single" w:sz="4" w:space="4" w:color="000000"/>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Cca 15 % z celkové alokace bude čerpáno v roce 2024.</w:t>
      </w:r>
    </w:p>
    <w:p w14:paraId="00000011"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p>
    <w:p w14:paraId="00000012"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Detail komponenty</w:t>
      </w:r>
    </w:p>
    <w:p w14:paraId="00000013"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Cílem Ministerstva průmyslu a obchodu je vytvořit propojený a soběstačný digitální ekosystém, jehož součástí bude síť evropských a případně národních Center pro digitální inovace (Digital </w:t>
      </w:r>
      <w:proofErr w:type="spellStart"/>
      <w:r>
        <w:rPr>
          <w:rFonts w:ascii="Times New Roman" w:eastAsia="Times New Roman" w:hAnsi="Times New Roman" w:cs="Times New Roman"/>
          <w:color w:val="000000"/>
          <w:sz w:val="23"/>
          <w:szCs w:val="23"/>
        </w:rPr>
        <w:t>innovation</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hubs</w:t>
      </w:r>
      <w:proofErr w:type="spellEnd"/>
      <w:r>
        <w:rPr>
          <w:rFonts w:ascii="Times New Roman" w:eastAsia="Times New Roman" w:hAnsi="Times New Roman" w:cs="Times New Roman"/>
          <w:color w:val="000000"/>
          <w:sz w:val="23"/>
          <w:szCs w:val="23"/>
        </w:rPr>
        <w:t>, DIH). Hlavní aktivitou DIH bude šíření nových techn</w:t>
      </w:r>
      <w:r>
        <w:rPr>
          <w:rFonts w:ascii="Times New Roman" w:eastAsia="Times New Roman" w:hAnsi="Times New Roman" w:cs="Times New Roman"/>
          <w:color w:val="000000"/>
          <w:sz w:val="23"/>
          <w:szCs w:val="23"/>
        </w:rPr>
        <w:t>ologií a podpora digitální transformace malých a středních podniků. Pro doplnění celkové funkce kvalifikované, technologicky a infrastrukturně vybavené podpory pro digitální transformaci se předpokládají aktivity spojené s činností DIH.</w:t>
      </w:r>
    </w:p>
    <w:p w14:paraId="00000014"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Mezi další pilíře z</w:t>
      </w:r>
      <w:r>
        <w:rPr>
          <w:rFonts w:ascii="Times New Roman" w:eastAsia="Times New Roman" w:hAnsi="Times New Roman" w:cs="Times New Roman"/>
          <w:color w:val="000000"/>
          <w:sz w:val="23"/>
          <w:szCs w:val="23"/>
        </w:rPr>
        <w:t xml:space="preserve">míněného evropského ekosystému patří síť center excelence v oblasti umělé inteligence či síť kompetenčních center v oblastech </w:t>
      </w:r>
      <w:proofErr w:type="spellStart"/>
      <w:r>
        <w:rPr>
          <w:rFonts w:ascii="Times New Roman" w:eastAsia="Times New Roman" w:hAnsi="Times New Roman" w:cs="Times New Roman"/>
          <w:color w:val="000000"/>
          <w:sz w:val="23"/>
          <w:szCs w:val="23"/>
        </w:rPr>
        <w:t>superpočítání</w:t>
      </w:r>
      <w:proofErr w:type="spellEnd"/>
      <w:r>
        <w:rPr>
          <w:rFonts w:ascii="Times New Roman" w:eastAsia="Times New Roman" w:hAnsi="Times New Roman" w:cs="Times New Roman"/>
          <w:color w:val="000000"/>
          <w:sz w:val="23"/>
          <w:szCs w:val="23"/>
        </w:rPr>
        <w:t xml:space="preserve"> (HPC), </w:t>
      </w:r>
      <w:proofErr w:type="spellStart"/>
      <w:r>
        <w:rPr>
          <w:rFonts w:ascii="Times New Roman" w:eastAsia="Times New Roman" w:hAnsi="Times New Roman" w:cs="Times New Roman"/>
          <w:color w:val="000000"/>
          <w:sz w:val="23"/>
          <w:szCs w:val="23"/>
        </w:rPr>
        <w:t>kyberbezpečnosti</w:t>
      </w:r>
      <w:proofErr w:type="spellEnd"/>
      <w:r>
        <w:rPr>
          <w:rFonts w:ascii="Times New Roman" w:eastAsia="Times New Roman" w:hAnsi="Times New Roman" w:cs="Times New Roman"/>
          <w:color w:val="000000"/>
          <w:sz w:val="23"/>
          <w:szCs w:val="23"/>
        </w:rPr>
        <w:t xml:space="preserve"> a dalších pokročilých dovedností. Významnou roli v celém systému hrají také tzv. Referenční </w:t>
      </w:r>
      <w:r>
        <w:rPr>
          <w:rFonts w:ascii="Times New Roman" w:eastAsia="Times New Roman" w:hAnsi="Times New Roman" w:cs="Times New Roman"/>
          <w:color w:val="000000"/>
          <w:sz w:val="23"/>
          <w:szCs w:val="23"/>
        </w:rPr>
        <w:t>a testovací zařízení, na testování nově vyvinuté technologie tak, aby mohly být šířeny přes síť EDIH mezi malé a střední podniky. Všechny subjekty v systému by měly mít svou specializaci, kterou prostřednictvím jednotlivých cílených nástrojů, s různou míro</w:t>
      </w:r>
      <w:r>
        <w:rPr>
          <w:rFonts w:ascii="Times New Roman" w:eastAsia="Times New Roman" w:hAnsi="Times New Roman" w:cs="Times New Roman"/>
          <w:color w:val="000000"/>
          <w:sz w:val="23"/>
          <w:szCs w:val="23"/>
        </w:rPr>
        <w:t>u expertízy a dalších subjektů přenesou až ke konečným uživatelům.</w:t>
      </w:r>
    </w:p>
    <w:p w14:paraId="00000015"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Různorodost zaměření DIH, a následně EDIH, je klíčová pro vytvoření co nejkvalitnější podnikatelské infrastruktury včetně využití </w:t>
      </w:r>
      <w:proofErr w:type="spellStart"/>
      <w:r>
        <w:rPr>
          <w:rFonts w:ascii="Times New Roman" w:eastAsia="Times New Roman" w:hAnsi="Times New Roman" w:cs="Times New Roman"/>
          <w:color w:val="000000"/>
          <w:sz w:val="23"/>
          <w:szCs w:val="23"/>
        </w:rPr>
        <w:t>brownfieldů</w:t>
      </w:r>
      <w:proofErr w:type="spellEnd"/>
      <w:r>
        <w:rPr>
          <w:rFonts w:ascii="Times New Roman" w:eastAsia="Times New Roman" w:hAnsi="Times New Roman" w:cs="Times New Roman"/>
          <w:color w:val="000000"/>
          <w:sz w:val="23"/>
          <w:szCs w:val="23"/>
        </w:rPr>
        <w:t xml:space="preserve"> a nejširšího portfolia služeb, které bude síť D</w:t>
      </w:r>
      <w:r>
        <w:rPr>
          <w:rFonts w:ascii="Times New Roman" w:eastAsia="Times New Roman" w:hAnsi="Times New Roman" w:cs="Times New Roman"/>
          <w:color w:val="000000"/>
          <w:sz w:val="23"/>
          <w:szCs w:val="23"/>
        </w:rPr>
        <w:t>IH schopna poskytovat co nejširší škále subjektů. Zároveň vzhledem ke geografické velikosti a infrastrukturní dostupnosti se předpokládá specializace jednotlivých DIH na určitou oblast.</w:t>
      </w:r>
    </w:p>
    <w:p w14:paraId="00000016" w14:textId="77777777" w:rsidR="00FB5455" w:rsidRDefault="00FB5455">
      <w:pPr>
        <w:pStyle w:val="Nadpis2"/>
        <w:spacing w:line="276" w:lineRule="auto"/>
        <w:rPr>
          <w:rFonts w:ascii="Times New Roman" w:eastAsia="Times New Roman" w:hAnsi="Times New Roman" w:cs="Times New Roman"/>
          <w:sz w:val="28"/>
          <w:szCs w:val="28"/>
        </w:rPr>
      </w:pPr>
    </w:p>
    <w:p w14:paraId="00000017" w14:textId="77777777" w:rsidR="00FB5455" w:rsidRDefault="005F4671">
      <w:pPr>
        <w:pStyle w:val="Nadpis2"/>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color w:val="000000"/>
          <w:sz w:val="28"/>
          <w:szCs w:val="28"/>
        </w:rPr>
        <w:t>Hlavní výzvy a cíle</w:t>
      </w:r>
    </w:p>
    <w:p w14:paraId="00000018"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i/>
          <w:color w:val="2196FF"/>
          <w:sz w:val="23"/>
          <w:szCs w:val="23"/>
        </w:rPr>
      </w:pPr>
    </w:p>
    <w:p w14:paraId="00000019"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Hlavní výzvy</w:t>
      </w:r>
    </w:p>
    <w:p w14:paraId="0000001A"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Hlavními výzvami jsou v této </w:t>
      </w:r>
      <w:r>
        <w:rPr>
          <w:rFonts w:ascii="Times New Roman" w:eastAsia="Times New Roman" w:hAnsi="Times New Roman" w:cs="Times New Roman"/>
          <w:color w:val="000000"/>
          <w:sz w:val="23"/>
          <w:szCs w:val="23"/>
        </w:rPr>
        <w:t xml:space="preserve">komponentě vytvořit kvalitní a ucelený regulační rámec pro zavádění nových technologií s tím, že je zcela zásadní nezabrzdil výzkumné a vývojové kapacity. Evropská unie je v oblasti digitálních technologií až za Spojenými státy a Čínou. Z tohoto důvodu je </w:t>
      </w:r>
      <w:r>
        <w:rPr>
          <w:rFonts w:ascii="Times New Roman" w:eastAsia="Times New Roman" w:hAnsi="Times New Roman" w:cs="Times New Roman"/>
          <w:color w:val="000000"/>
          <w:sz w:val="23"/>
          <w:szCs w:val="23"/>
        </w:rPr>
        <w:t xml:space="preserve">jasné, že regulace umělé inteligence, či jiných technologií, nesmí zbrzdit výzkum a vývoj nových aplikací a technologického pokroku. </w:t>
      </w:r>
    </w:p>
    <w:p w14:paraId="0000001B"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Další zcela zásadní výzvou bude koordinace </w:t>
      </w:r>
      <w:proofErr w:type="spellStart"/>
      <w:r>
        <w:rPr>
          <w:rFonts w:ascii="Times New Roman" w:eastAsia="Times New Roman" w:hAnsi="Times New Roman" w:cs="Times New Roman"/>
          <w:color w:val="000000"/>
          <w:sz w:val="23"/>
          <w:szCs w:val="23"/>
        </w:rPr>
        <w:t>stakeholderů</w:t>
      </w:r>
      <w:proofErr w:type="spellEnd"/>
      <w:r>
        <w:rPr>
          <w:rFonts w:ascii="Times New Roman" w:eastAsia="Times New Roman" w:hAnsi="Times New Roman" w:cs="Times New Roman"/>
          <w:color w:val="000000"/>
          <w:sz w:val="23"/>
          <w:szCs w:val="23"/>
        </w:rPr>
        <w:t xml:space="preserve"> v oblasti nových technologií. Všeobecný prospěch musí být priorito</w:t>
      </w:r>
      <w:r>
        <w:rPr>
          <w:rFonts w:ascii="Times New Roman" w:eastAsia="Times New Roman" w:hAnsi="Times New Roman" w:cs="Times New Roman"/>
          <w:color w:val="000000"/>
          <w:sz w:val="23"/>
          <w:szCs w:val="23"/>
        </w:rPr>
        <w:t>u oproti individuálnímu užitku. Tento fakt, a možné propojovaní jednotlivých aktérů ekosystému může hrát opravdu zcela zásadní roli pro další výzkum v této oblasti.</w:t>
      </w:r>
    </w:p>
    <w:p w14:paraId="0000001C"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
    <w:p w14:paraId="0000001D"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Cíle </w:t>
      </w:r>
    </w:p>
    <w:p w14:paraId="0000001E" w14:textId="77777777" w:rsidR="00FB5455" w:rsidRDefault="15851376" w:rsidP="15851376">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15851376">
        <w:rPr>
          <w:rFonts w:ascii="Times New Roman" w:eastAsia="Times New Roman" w:hAnsi="Times New Roman" w:cs="Times New Roman"/>
          <w:color w:val="000000"/>
          <w:sz w:val="23"/>
          <w:szCs w:val="23"/>
        </w:rPr>
        <w:t xml:space="preserve">Cílem reformy je vytvořit propojenou sít evropských a národních center pro digitální inovace, která umožní rozšíření nových technologií (umělá inteligence, HPC, </w:t>
      </w:r>
      <w:proofErr w:type="spellStart"/>
      <w:r w:rsidRPr="15851376">
        <w:rPr>
          <w:rFonts w:ascii="Times New Roman" w:eastAsia="Times New Roman" w:hAnsi="Times New Roman" w:cs="Times New Roman"/>
          <w:color w:val="000000"/>
          <w:sz w:val="23"/>
          <w:szCs w:val="23"/>
        </w:rPr>
        <w:t>kyberbezpečnost</w:t>
      </w:r>
      <w:proofErr w:type="spellEnd"/>
      <w:r w:rsidRPr="15851376">
        <w:rPr>
          <w:rFonts w:ascii="Times New Roman" w:eastAsia="Times New Roman" w:hAnsi="Times New Roman" w:cs="Times New Roman"/>
          <w:color w:val="000000"/>
          <w:sz w:val="23"/>
          <w:szCs w:val="23"/>
        </w:rPr>
        <w:t xml:space="preserve"> a digitální dovednosti) mezi malé a střední podniky a ostatní klienty. Různorodost zaměření (E)DIH je klíčová pro vytvoření co nejširšího portfolia služeb, které bude síť EDIH schopna poskytovat co nejširší škále subjektů. Celá síť bude napojená na ostatní pilíře inovačního/digitálního ekosystému. Zcela zásadní je také vztah k Evropským centrům excelence a Testovacím a experimentálním zařízením. Logické propojení všech aktérů ekosystému a zavádění vazeb umožní snazší zavádění nově vzniklých a otestovaných aplikací a</w:t>
      </w:r>
      <w:r w:rsidRPr="15851376">
        <w:rPr>
          <w:rFonts w:ascii="Times New Roman" w:eastAsia="Times New Roman" w:hAnsi="Times New Roman" w:cs="Times New Roman"/>
          <w:i/>
          <w:iCs/>
          <w:color w:val="2196FF"/>
          <w:sz w:val="23"/>
          <w:szCs w:val="23"/>
        </w:rPr>
        <w:t xml:space="preserve"> </w:t>
      </w:r>
      <w:r w:rsidRPr="15851376">
        <w:rPr>
          <w:rFonts w:ascii="Times New Roman" w:eastAsia="Times New Roman" w:hAnsi="Times New Roman" w:cs="Times New Roman"/>
          <w:color w:val="000000"/>
          <w:sz w:val="23"/>
          <w:szCs w:val="23"/>
        </w:rPr>
        <w:t>technologií.</w:t>
      </w:r>
    </w:p>
    <w:p w14:paraId="0000001F"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Testovací a experimentální zařízení mají být jakýsi mezistupeň mez výzkumem, tedy Centrem excelence, a rozšíření technologií mezi malé a střední podniky. Na této úrovni by mělo být umožněno výzkumným kapacitám testování vyvinutých technologií a aplikací, t</w:t>
      </w:r>
      <w:r>
        <w:rPr>
          <w:rFonts w:ascii="Times New Roman" w:eastAsia="Times New Roman" w:hAnsi="Times New Roman" w:cs="Times New Roman"/>
          <w:sz w:val="23"/>
          <w:szCs w:val="23"/>
        </w:rPr>
        <w:t>ak aby mohly být využity MSP.</w:t>
      </w:r>
    </w:p>
    <w:p w14:paraId="00000020" w14:textId="67BD22AE" w:rsidR="00FB5455" w:rsidRDefault="15851376" w:rsidP="15851376">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sidRPr="15851376">
        <w:rPr>
          <w:rFonts w:ascii="Times New Roman" w:eastAsia="Times New Roman" w:hAnsi="Times New Roman" w:cs="Times New Roman"/>
          <w:sz w:val="23"/>
          <w:szCs w:val="23"/>
        </w:rPr>
        <w:t xml:space="preserve">Evropská centra pro digitální inovace mají jako hlavní cíl podpořit digitalizaci malých a středních podniků, napomoci jim v boji s </w:t>
      </w:r>
      <w:proofErr w:type="spellStart"/>
      <w:r w:rsidRPr="15851376">
        <w:rPr>
          <w:rFonts w:ascii="Times New Roman" w:eastAsia="Times New Roman" w:hAnsi="Times New Roman" w:cs="Times New Roman"/>
          <w:sz w:val="23"/>
          <w:szCs w:val="23"/>
        </w:rPr>
        <w:t>koronakrizí</w:t>
      </w:r>
      <w:proofErr w:type="spellEnd"/>
      <w:r w:rsidRPr="15851376">
        <w:rPr>
          <w:rFonts w:ascii="Times New Roman" w:eastAsia="Times New Roman" w:hAnsi="Times New Roman" w:cs="Times New Roman"/>
          <w:sz w:val="23"/>
          <w:szCs w:val="23"/>
        </w:rPr>
        <w:t xml:space="preserve"> a umožnit, díky expertíze v dané oblasti, zavádění nových technologií, jako jsou například umělá inteligence, </w:t>
      </w:r>
      <w:proofErr w:type="spellStart"/>
      <w:r w:rsidRPr="15851376">
        <w:rPr>
          <w:rFonts w:ascii="Times New Roman" w:eastAsia="Times New Roman" w:hAnsi="Times New Roman" w:cs="Times New Roman"/>
          <w:sz w:val="23"/>
          <w:szCs w:val="23"/>
        </w:rPr>
        <w:t>kyberbezpečnost</w:t>
      </w:r>
      <w:proofErr w:type="spellEnd"/>
      <w:r w:rsidRPr="15851376">
        <w:rPr>
          <w:rFonts w:ascii="Times New Roman" w:eastAsia="Times New Roman" w:hAnsi="Times New Roman" w:cs="Times New Roman"/>
          <w:sz w:val="23"/>
          <w:szCs w:val="23"/>
        </w:rPr>
        <w:t xml:space="preserve">, či využívání prvků </w:t>
      </w:r>
      <w:proofErr w:type="spellStart"/>
      <w:r w:rsidRPr="15851376">
        <w:rPr>
          <w:rFonts w:ascii="Times New Roman" w:eastAsia="Times New Roman" w:hAnsi="Times New Roman" w:cs="Times New Roman"/>
          <w:sz w:val="23"/>
          <w:szCs w:val="23"/>
        </w:rPr>
        <w:t>superpočítání</w:t>
      </w:r>
      <w:proofErr w:type="spellEnd"/>
      <w:r w:rsidRPr="15851376">
        <w:rPr>
          <w:rFonts w:ascii="Times New Roman" w:eastAsia="Times New Roman" w:hAnsi="Times New Roman" w:cs="Times New Roman"/>
          <w:sz w:val="23"/>
          <w:szCs w:val="23"/>
        </w:rPr>
        <w:t xml:space="preserve">. Digitalizace průmyslu by ve své podstatě měla naplňovat primárně digitální cíle, ačkoli sekundárně může ovlivnit i cíle snížení emisí (nové technologie by měly pomoci snížit uhlíkové emise), ale také napomoci nastartovat oběhové hospodářství (využívání odpadů a recyklace). </w:t>
      </w:r>
    </w:p>
    <w:p w14:paraId="00000021"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p>
    <w:p w14:paraId="00000024"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i/>
          <w:color w:val="2196FF"/>
          <w:sz w:val="23"/>
          <w:szCs w:val="23"/>
        </w:rPr>
      </w:pPr>
      <w:r>
        <w:rPr>
          <w:rFonts w:ascii="Times New Roman" w:eastAsia="Times New Roman" w:hAnsi="Times New Roman" w:cs="Times New Roman"/>
          <w:b/>
          <w:color w:val="000000"/>
          <w:sz w:val="24"/>
          <w:szCs w:val="24"/>
        </w:rPr>
        <w:lastRenderedPageBreak/>
        <w:t>c) Národní strategický kontext</w:t>
      </w:r>
    </w:p>
    <w:p w14:paraId="00000025" w14:textId="77777777" w:rsidR="00FB5455" w:rsidRDefault="005F4671">
      <w:pPr>
        <w:numPr>
          <w:ilvl w:val="0"/>
          <w:numId w:val="2"/>
        </w:numPr>
        <w:pBdr>
          <w:top w:val="nil"/>
          <w:left w:val="nil"/>
          <w:bottom w:val="nil"/>
          <w:right w:val="nil"/>
          <w:between w:val="nil"/>
        </w:pBdr>
        <w:spacing w:after="120" w:line="276" w:lineRule="auto"/>
        <w:jc w:val="both"/>
      </w:pPr>
      <w:r>
        <w:rPr>
          <w:rFonts w:ascii="Times New Roman" w:eastAsia="Times New Roman" w:hAnsi="Times New Roman" w:cs="Times New Roman"/>
          <w:color w:val="000000"/>
          <w:sz w:val="23"/>
          <w:szCs w:val="23"/>
        </w:rPr>
        <w:t>Program Digitální Evropa pomůže evropským podnikům, zejména menším podnikům, využívat rozsáhlých příležitostí, jež s sebou přináší digitální transformace, rozvíjet se a získat konkurenční výhodu. Současně bude mít i významný vliv na překlenutí digitální pr</w:t>
      </w:r>
      <w:r>
        <w:rPr>
          <w:rFonts w:ascii="Times New Roman" w:eastAsia="Times New Roman" w:hAnsi="Times New Roman" w:cs="Times New Roman"/>
          <w:color w:val="000000"/>
          <w:sz w:val="23"/>
          <w:szCs w:val="23"/>
        </w:rPr>
        <w:t xml:space="preserve">opasti, přičemž cílem je, aby každý disponoval dovednostmi a znalostmi nezbytnými pro plné zapojení do digitalizované společnosti. Program bude rovněž podporovat větší profesionalitu s přihlédnutím </w:t>
      </w:r>
      <w:proofErr w:type="gramStart"/>
      <w:r>
        <w:rPr>
          <w:rFonts w:ascii="Times New Roman" w:eastAsia="Times New Roman" w:hAnsi="Times New Roman" w:cs="Times New Roman"/>
          <w:color w:val="000000"/>
          <w:sz w:val="23"/>
          <w:szCs w:val="23"/>
        </w:rPr>
        <w:t>k</w:t>
      </w:r>
      <w:proofErr w:type="gramEnd"/>
      <w:r>
        <w:rPr>
          <w:rFonts w:ascii="Times New Roman" w:eastAsia="Times New Roman" w:hAnsi="Times New Roman" w:cs="Times New Roman"/>
          <w:color w:val="000000"/>
          <w:sz w:val="23"/>
          <w:szCs w:val="23"/>
        </w:rPr>
        <w:t xml:space="preserve"> genderové vyváženosti, a to zejména pokud jde o vysoce v</w:t>
      </w:r>
      <w:r>
        <w:rPr>
          <w:rFonts w:ascii="Times New Roman" w:eastAsia="Times New Roman" w:hAnsi="Times New Roman" w:cs="Times New Roman"/>
          <w:color w:val="000000"/>
          <w:sz w:val="23"/>
          <w:szCs w:val="23"/>
        </w:rPr>
        <w:t xml:space="preserve">ýkonnou výpočetní techniku a </w:t>
      </w:r>
      <w:proofErr w:type="spellStart"/>
      <w:r>
        <w:rPr>
          <w:rFonts w:ascii="Times New Roman" w:eastAsia="Times New Roman" w:hAnsi="Times New Roman" w:cs="Times New Roman"/>
          <w:color w:val="000000"/>
          <w:sz w:val="23"/>
          <w:szCs w:val="23"/>
        </w:rPr>
        <w:t>cloud</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computing</w:t>
      </w:r>
      <w:proofErr w:type="spellEnd"/>
      <w:r>
        <w:rPr>
          <w:rFonts w:ascii="Times New Roman" w:eastAsia="Times New Roman" w:hAnsi="Times New Roman" w:cs="Times New Roman"/>
          <w:color w:val="000000"/>
          <w:sz w:val="23"/>
          <w:szCs w:val="23"/>
        </w:rPr>
        <w:t>, analýzy velkých objemů dat a kybernetickou bezpečnost.</w:t>
      </w:r>
    </w:p>
    <w:p w14:paraId="00000026" w14:textId="77777777" w:rsidR="00FB5455" w:rsidRDefault="005F4671">
      <w:pPr>
        <w:numPr>
          <w:ilvl w:val="0"/>
          <w:numId w:val="2"/>
        </w:numPr>
        <w:pBdr>
          <w:top w:val="nil"/>
          <w:left w:val="nil"/>
          <w:bottom w:val="nil"/>
          <w:right w:val="nil"/>
          <w:between w:val="nil"/>
        </w:pBdr>
        <w:spacing w:after="120" w:line="276" w:lineRule="auto"/>
        <w:jc w:val="both"/>
      </w:pPr>
      <w:r>
        <w:rPr>
          <w:rFonts w:ascii="Times New Roman" w:eastAsia="Times New Roman" w:hAnsi="Times New Roman" w:cs="Times New Roman"/>
          <w:color w:val="000000"/>
          <w:sz w:val="23"/>
          <w:szCs w:val="23"/>
        </w:rPr>
        <w:t>Horizont Evropa je ambiciózní rámcový program EU pro výzkum a inovace (2021–2027) k posílení vědeckotechnické základny EU a Evropského, výzkumného prostoru (EVP), ke zvýšení inovační kapacity, konkurenceschopnosti a tvorby pracovních míst v Evropě k plnění</w:t>
      </w:r>
      <w:r>
        <w:rPr>
          <w:rFonts w:ascii="Times New Roman" w:eastAsia="Times New Roman" w:hAnsi="Times New Roman" w:cs="Times New Roman"/>
          <w:color w:val="000000"/>
          <w:sz w:val="23"/>
          <w:szCs w:val="23"/>
        </w:rPr>
        <w:t xml:space="preserve"> priorit občanů a udržení našeho sociálněekonomického modelu a hodnot</w:t>
      </w:r>
    </w:p>
    <w:p w14:paraId="00000027" w14:textId="77777777" w:rsidR="00FB5455" w:rsidRDefault="005F4671">
      <w:pPr>
        <w:numPr>
          <w:ilvl w:val="0"/>
          <w:numId w:val="2"/>
        </w:numPr>
        <w:pBdr>
          <w:top w:val="nil"/>
          <w:left w:val="nil"/>
          <w:bottom w:val="nil"/>
          <w:right w:val="nil"/>
          <w:between w:val="nil"/>
        </w:pBdr>
        <w:spacing w:after="120" w:line="276" w:lineRule="auto"/>
        <w:jc w:val="both"/>
      </w:pPr>
      <w:r>
        <w:rPr>
          <w:rFonts w:ascii="Times New Roman" w:eastAsia="Times New Roman" w:hAnsi="Times New Roman" w:cs="Times New Roman"/>
          <w:color w:val="000000"/>
          <w:sz w:val="23"/>
          <w:szCs w:val="23"/>
        </w:rPr>
        <w:t>OP TAK a služby podpory infrastruktury.</w:t>
      </w:r>
    </w:p>
    <w:p w14:paraId="00000028" w14:textId="77777777" w:rsidR="00FB5455" w:rsidRDefault="005F4671">
      <w:pPr>
        <w:numPr>
          <w:ilvl w:val="0"/>
          <w:numId w:val="2"/>
        </w:numPr>
        <w:pBdr>
          <w:top w:val="nil"/>
          <w:left w:val="nil"/>
          <w:bottom w:val="nil"/>
          <w:right w:val="nil"/>
          <w:between w:val="nil"/>
        </w:pBdr>
        <w:spacing w:after="120" w:line="276" w:lineRule="auto"/>
        <w:jc w:val="both"/>
      </w:pPr>
      <w:r>
        <w:rPr>
          <w:rFonts w:ascii="Times New Roman" w:eastAsia="Times New Roman" w:hAnsi="Times New Roman" w:cs="Times New Roman"/>
          <w:color w:val="000000"/>
          <w:sz w:val="23"/>
          <w:szCs w:val="23"/>
        </w:rPr>
        <w:t xml:space="preserve">Program Country </w:t>
      </w:r>
      <w:proofErr w:type="spellStart"/>
      <w:r>
        <w:rPr>
          <w:rFonts w:ascii="Times New Roman" w:eastAsia="Times New Roman" w:hAnsi="Times New Roman" w:cs="Times New Roman"/>
          <w:color w:val="000000"/>
          <w:sz w:val="23"/>
          <w:szCs w:val="23"/>
        </w:rPr>
        <w:t>for</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the</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Future</w:t>
      </w:r>
      <w:proofErr w:type="spellEnd"/>
      <w:r>
        <w:rPr>
          <w:rFonts w:ascii="Times New Roman" w:eastAsia="Times New Roman" w:hAnsi="Times New Roman" w:cs="Times New Roman"/>
          <w:color w:val="000000"/>
          <w:sz w:val="23"/>
          <w:szCs w:val="23"/>
        </w:rPr>
        <w:t xml:space="preserve">, jehož hlavním cílem je zvýšení mezinárodní konkurenceschopnosti podniků prostřednictvím propojení spolupráce mezi </w:t>
      </w:r>
      <w:r>
        <w:rPr>
          <w:rFonts w:ascii="Times New Roman" w:eastAsia="Times New Roman" w:hAnsi="Times New Roman" w:cs="Times New Roman"/>
          <w:color w:val="000000"/>
          <w:sz w:val="23"/>
          <w:szCs w:val="23"/>
        </w:rPr>
        <w:t>akademickou sférou, podnikatelským sektorem, inovačním prostředím a většího využití výsledků výzkumu a vývoje do praxe, a to včetně usnadnění vstupu na nové trhy či posunem výše v globálních hodnotových řetězcích. Program je zaměřen na řadu aktivit směřují</w:t>
      </w:r>
      <w:r>
        <w:rPr>
          <w:rFonts w:ascii="Times New Roman" w:eastAsia="Times New Roman" w:hAnsi="Times New Roman" w:cs="Times New Roman"/>
          <w:color w:val="000000"/>
          <w:sz w:val="23"/>
          <w:szCs w:val="23"/>
        </w:rPr>
        <w:t>cích ke zvýšení inovační výkonnosti české ekonomiky. V souladu s vizí Inovační strategie České republiky 2019–2030 je proto konečným cílem zařadit se mezi inovační lídry Evropy. Časově tak splnění tohoto cíle strategie koresponduje s plánovaným termínem ho</w:t>
      </w:r>
      <w:r>
        <w:rPr>
          <w:rFonts w:ascii="Times New Roman" w:eastAsia="Times New Roman" w:hAnsi="Times New Roman" w:cs="Times New Roman"/>
          <w:color w:val="000000"/>
          <w:sz w:val="23"/>
          <w:szCs w:val="23"/>
        </w:rPr>
        <w:t>dnocením dopadů Programu v roce 2031.</w:t>
      </w:r>
    </w:p>
    <w:p w14:paraId="00000029"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p>
    <w:p w14:paraId="0000002A"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Předchozí snahy</w:t>
      </w:r>
    </w:p>
    <w:p w14:paraId="0000002B"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Ministerstvo průmyslu a obchodu zřídilo Platformu pro Centra pro digitální inovace. Tato platforma slouží jako nástroj Ministerstva průmyslu a obchodu k předávání informací mezi státní správou a </w:t>
      </w:r>
      <w:proofErr w:type="spellStart"/>
      <w:r>
        <w:rPr>
          <w:rFonts w:ascii="Times New Roman" w:eastAsia="Times New Roman" w:hAnsi="Times New Roman" w:cs="Times New Roman"/>
          <w:color w:val="000000"/>
          <w:sz w:val="23"/>
          <w:szCs w:val="23"/>
        </w:rPr>
        <w:t>stakeh</w:t>
      </w:r>
      <w:r>
        <w:rPr>
          <w:rFonts w:ascii="Times New Roman" w:eastAsia="Times New Roman" w:hAnsi="Times New Roman" w:cs="Times New Roman"/>
          <w:color w:val="000000"/>
          <w:sz w:val="23"/>
          <w:szCs w:val="23"/>
        </w:rPr>
        <w:t>oldery</w:t>
      </w:r>
      <w:proofErr w:type="spellEnd"/>
      <w:r>
        <w:rPr>
          <w:rFonts w:ascii="Times New Roman" w:eastAsia="Times New Roman" w:hAnsi="Times New Roman" w:cs="Times New Roman"/>
          <w:color w:val="000000"/>
          <w:sz w:val="23"/>
          <w:szCs w:val="23"/>
        </w:rPr>
        <w:t xml:space="preserve"> v oblast digitálních inovací. </w:t>
      </w:r>
    </w:p>
    <w:p w14:paraId="0000002C" w14:textId="3128CA32" w:rsidR="00FB5455" w:rsidRDefault="15851376" w:rsidP="15851376">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15851376">
        <w:rPr>
          <w:rFonts w:ascii="Times New Roman" w:eastAsia="Times New Roman" w:hAnsi="Times New Roman" w:cs="Times New Roman"/>
          <w:color w:val="000000"/>
          <w:sz w:val="23"/>
          <w:szCs w:val="23"/>
        </w:rPr>
        <w:t xml:space="preserve">Ministerstvo průmyslu a obchodu uskutečnilo v návaznosti na metodický dokument Evropské komise </w:t>
      </w:r>
      <w:proofErr w:type="spellStart"/>
      <w:r w:rsidRPr="15851376">
        <w:rPr>
          <w:rFonts w:ascii="Times New Roman" w:eastAsia="Times New Roman" w:hAnsi="Times New Roman" w:cs="Times New Roman"/>
          <w:color w:val="000000"/>
          <w:sz w:val="23"/>
          <w:szCs w:val="23"/>
        </w:rPr>
        <w:t>European</w:t>
      </w:r>
      <w:proofErr w:type="spellEnd"/>
      <w:r w:rsidRPr="15851376">
        <w:rPr>
          <w:rFonts w:ascii="Times New Roman" w:eastAsia="Times New Roman" w:hAnsi="Times New Roman" w:cs="Times New Roman"/>
          <w:color w:val="000000"/>
          <w:sz w:val="23"/>
          <w:szCs w:val="23"/>
        </w:rPr>
        <w:t xml:space="preserve"> Digital </w:t>
      </w:r>
      <w:proofErr w:type="spellStart"/>
      <w:r w:rsidRPr="15851376">
        <w:rPr>
          <w:rFonts w:ascii="Times New Roman" w:eastAsia="Times New Roman" w:hAnsi="Times New Roman" w:cs="Times New Roman"/>
          <w:color w:val="000000"/>
          <w:sz w:val="23"/>
          <w:szCs w:val="23"/>
        </w:rPr>
        <w:t>Innovation</w:t>
      </w:r>
      <w:proofErr w:type="spellEnd"/>
      <w:r w:rsidRPr="15851376">
        <w:rPr>
          <w:rFonts w:ascii="Times New Roman" w:eastAsia="Times New Roman" w:hAnsi="Times New Roman" w:cs="Times New Roman"/>
          <w:color w:val="000000"/>
          <w:sz w:val="23"/>
          <w:szCs w:val="23"/>
        </w:rPr>
        <w:t xml:space="preserve"> </w:t>
      </w:r>
      <w:proofErr w:type="spellStart"/>
      <w:r w:rsidRPr="15851376">
        <w:rPr>
          <w:rFonts w:ascii="Times New Roman" w:eastAsia="Times New Roman" w:hAnsi="Times New Roman" w:cs="Times New Roman"/>
          <w:color w:val="000000"/>
          <w:sz w:val="23"/>
          <w:szCs w:val="23"/>
        </w:rPr>
        <w:t>Hubs</w:t>
      </w:r>
      <w:proofErr w:type="spellEnd"/>
      <w:r w:rsidRPr="15851376">
        <w:rPr>
          <w:rFonts w:ascii="Times New Roman" w:eastAsia="Times New Roman" w:hAnsi="Times New Roman" w:cs="Times New Roman"/>
          <w:color w:val="000000"/>
          <w:sz w:val="23"/>
          <w:szCs w:val="23"/>
        </w:rPr>
        <w:t xml:space="preserve"> in Digital </w:t>
      </w:r>
      <w:proofErr w:type="spellStart"/>
      <w:r w:rsidRPr="15851376">
        <w:rPr>
          <w:rFonts w:ascii="Times New Roman" w:eastAsia="Times New Roman" w:hAnsi="Times New Roman" w:cs="Times New Roman"/>
          <w:color w:val="000000"/>
          <w:sz w:val="23"/>
          <w:szCs w:val="23"/>
        </w:rPr>
        <w:t>Europe</w:t>
      </w:r>
      <w:proofErr w:type="spellEnd"/>
      <w:r w:rsidRPr="15851376">
        <w:rPr>
          <w:rFonts w:ascii="Times New Roman" w:eastAsia="Times New Roman" w:hAnsi="Times New Roman" w:cs="Times New Roman"/>
          <w:color w:val="000000"/>
          <w:sz w:val="23"/>
          <w:szCs w:val="23"/>
        </w:rPr>
        <w:t xml:space="preserve"> </w:t>
      </w:r>
      <w:proofErr w:type="spellStart"/>
      <w:r w:rsidRPr="15851376">
        <w:rPr>
          <w:rFonts w:ascii="Times New Roman" w:eastAsia="Times New Roman" w:hAnsi="Times New Roman" w:cs="Times New Roman"/>
          <w:color w:val="000000"/>
          <w:sz w:val="23"/>
          <w:szCs w:val="23"/>
        </w:rPr>
        <w:t>Programme</w:t>
      </w:r>
      <w:proofErr w:type="spellEnd"/>
      <w:r w:rsidRPr="15851376">
        <w:rPr>
          <w:rFonts w:ascii="Times New Roman" w:eastAsia="Times New Roman" w:hAnsi="Times New Roman" w:cs="Times New Roman"/>
          <w:color w:val="000000"/>
          <w:sz w:val="23"/>
          <w:szCs w:val="23"/>
        </w:rPr>
        <w:t xml:space="preserve"> v červnu a červenci letošního roku Národní </w:t>
      </w:r>
      <w:proofErr w:type="spellStart"/>
      <w:r w:rsidRPr="15851376">
        <w:rPr>
          <w:rFonts w:ascii="Times New Roman" w:eastAsia="Times New Roman" w:hAnsi="Times New Roman" w:cs="Times New Roman"/>
          <w:color w:val="000000"/>
          <w:sz w:val="23"/>
          <w:szCs w:val="23"/>
        </w:rPr>
        <w:t>screening</w:t>
      </w:r>
      <w:proofErr w:type="spellEnd"/>
      <w:r w:rsidRPr="15851376">
        <w:rPr>
          <w:rFonts w:ascii="Times New Roman" w:eastAsia="Times New Roman" w:hAnsi="Times New Roman" w:cs="Times New Roman"/>
          <w:color w:val="000000"/>
          <w:sz w:val="23"/>
          <w:szCs w:val="23"/>
        </w:rPr>
        <w:t xml:space="preserve"> k Evropským centrům pro digitální inovace (tzv. </w:t>
      </w:r>
      <w:proofErr w:type="spellStart"/>
      <w:r w:rsidRPr="15851376">
        <w:rPr>
          <w:rFonts w:ascii="Times New Roman" w:eastAsia="Times New Roman" w:hAnsi="Times New Roman" w:cs="Times New Roman"/>
          <w:color w:val="000000"/>
          <w:sz w:val="23"/>
          <w:szCs w:val="23"/>
        </w:rPr>
        <w:t>European</w:t>
      </w:r>
      <w:proofErr w:type="spellEnd"/>
      <w:r w:rsidRPr="15851376">
        <w:rPr>
          <w:rFonts w:ascii="Times New Roman" w:eastAsia="Times New Roman" w:hAnsi="Times New Roman" w:cs="Times New Roman"/>
          <w:color w:val="000000"/>
          <w:sz w:val="23"/>
          <w:szCs w:val="23"/>
        </w:rPr>
        <w:t xml:space="preserve"> Digital </w:t>
      </w:r>
      <w:proofErr w:type="spellStart"/>
      <w:r w:rsidRPr="15851376">
        <w:rPr>
          <w:rFonts w:ascii="Times New Roman" w:eastAsia="Times New Roman" w:hAnsi="Times New Roman" w:cs="Times New Roman"/>
          <w:color w:val="000000"/>
          <w:sz w:val="23"/>
          <w:szCs w:val="23"/>
        </w:rPr>
        <w:t>Innovation</w:t>
      </w:r>
      <w:proofErr w:type="spellEnd"/>
      <w:r w:rsidRPr="15851376">
        <w:rPr>
          <w:rFonts w:ascii="Times New Roman" w:eastAsia="Times New Roman" w:hAnsi="Times New Roman" w:cs="Times New Roman"/>
          <w:color w:val="000000"/>
          <w:sz w:val="23"/>
          <w:szCs w:val="23"/>
        </w:rPr>
        <w:t xml:space="preserve"> </w:t>
      </w:r>
      <w:proofErr w:type="spellStart"/>
      <w:proofErr w:type="gramStart"/>
      <w:r w:rsidRPr="15851376">
        <w:rPr>
          <w:rFonts w:ascii="Times New Roman" w:eastAsia="Times New Roman" w:hAnsi="Times New Roman" w:cs="Times New Roman"/>
          <w:color w:val="000000"/>
          <w:sz w:val="23"/>
          <w:szCs w:val="23"/>
        </w:rPr>
        <w:t>Hubs</w:t>
      </w:r>
      <w:proofErr w:type="spellEnd"/>
      <w:r w:rsidRPr="15851376">
        <w:rPr>
          <w:rFonts w:ascii="Times New Roman" w:eastAsia="Times New Roman" w:hAnsi="Times New Roman" w:cs="Times New Roman"/>
          <w:color w:val="000000"/>
          <w:sz w:val="23"/>
          <w:szCs w:val="23"/>
        </w:rPr>
        <w:t xml:space="preserve"> - </w:t>
      </w:r>
      <w:proofErr w:type="spellStart"/>
      <w:r w:rsidRPr="15851376">
        <w:rPr>
          <w:rFonts w:ascii="Times New Roman" w:eastAsia="Times New Roman" w:hAnsi="Times New Roman" w:cs="Times New Roman"/>
          <w:color w:val="000000"/>
          <w:sz w:val="23"/>
          <w:szCs w:val="23"/>
        </w:rPr>
        <w:t>eDIHs</w:t>
      </w:r>
      <w:proofErr w:type="spellEnd"/>
      <w:proofErr w:type="gramEnd"/>
      <w:r w:rsidRPr="15851376">
        <w:rPr>
          <w:rFonts w:ascii="Times New Roman" w:eastAsia="Times New Roman" w:hAnsi="Times New Roman" w:cs="Times New Roman"/>
          <w:color w:val="000000"/>
          <w:sz w:val="23"/>
          <w:szCs w:val="23"/>
        </w:rPr>
        <w:t xml:space="preserve">). Do šetření se zapojilo celkem 21 českých subjektů z jedenácti krajů. Šetření zmapovalo aktuální situaci v ČR pro budoucí nominaci zástupců do celoevropské sítě </w:t>
      </w:r>
      <w:proofErr w:type="spellStart"/>
      <w:r w:rsidRPr="15851376">
        <w:rPr>
          <w:rFonts w:ascii="Times New Roman" w:eastAsia="Times New Roman" w:hAnsi="Times New Roman" w:cs="Times New Roman"/>
          <w:color w:val="000000"/>
          <w:sz w:val="23"/>
          <w:szCs w:val="23"/>
        </w:rPr>
        <w:t>eDIH</w:t>
      </w:r>
      <w:proofErr w:type="spellEnd"/>
      <w:r w:rsidRPr="15851376">
        <w:rPr>
          <w:rFonts w:ascii="Times New Roman" w:eastAsia="Times New Roman" w:hAnsi="Times New Roman" w:cs="Times New Roman"/>
          <w:color w:val="000000"/>
          <w:sz w:val="23"/>
          <w:szCs w:val="23"/>
        </w:rPr>
        <w:t>, které mají zásadně pomoci digitalizaci podnikatelů, především malých a středních firem. Síť Evropských center pro digitální inovace bude hrát také ústřední roli při plnění strategických cílů programu EU Digitální Evropa 2021–2027. V neposlední řade MPO vyhlásilo národní nominační výzvu na EDIH a ve stávající situaci probíhá proces vyhodnocení přijatých projektů.</w:t>
      </w:r>
    </w:p>
    <w:p w14:paraId="0000002D" w14:textId="5820BF0E" w:rsidR="00FB5455" w:rsidRDefault="15851376" w:rsidP="6ECC0782">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6ECC0782">
        <w:rPr>
          <w:rFonts w:ascii="Times New Roman" w:eastAsia="Times New Roman" w:hAnsi="Times New Roman" w:cs="Times New Roman"/>
          <w:color w:val="000000"/>
          <w:sz w:val="23"/>
          <w:szCs w:val="23"/>
        </w:rPr>
        <w:t xml:space="preserve">Ministerstvo průmyslu a obchodu připravilo v souladu s naplňováním úkolů z Národní strategie umělé inteligence v České republice v březnu 2020 Výzvu k podání žádosti o poskytnutí dotace na projekt „Evropské centrum excelence v umělé inteligenci pro bezpečnější společnost (ECE)“. Na základě doporučení Odborné komise vyhlásilo Ministerstvo průmyslu a obchodu výsledek Výzvy ECE, v </w:t>
      </w:r>
      <w:proofErr w:type="gramStart"/>
      <w:r w:rsidRPr="6ECC0782">
        <w:rPr>
          <w:rFonts w:ascii="Times New Roman" w:eastAsia="Times New Roman" w:hAnsi="Times New Roman" w:cs="Times New Roman"/>
          <w:color w:val="000000"/>
          <w:sz w:val="23"/>
          <w:szCs w:val="23"/>
        </w:rPr>
        <w:t>rámci</w:t>
      </w:r>
      <w:proofErr w:type="gramEnd"/>
      <w:r w:rsidRPr="6ECC0782">
        <w:rPr>
          <w:rFonts w:ascii="Times New Roman" w:eastAsia="Times New Roman" w:hAnsi="Times New Roman" w:cs="Times New Roman"/>
          <w:color w:val="000000"/>
          <w:sz w:val="23"/>
          <w:szCs w:val="23"/>
        </w:rPr>
        <w:t xml:space="preserve"> níž bude poskytnuta podpora projektu „AI </w:t>
      </w:r>
      <w:proofErr w:type="spellStart"/>
      <w:r w:rsidRPr="6ECC0782">
        <w:rPr>
          <w:rFonts w:ascii="Times New Roman" w:eastAsia="Times New Roman" w:hAnsi="Times New Roman" w:cs="Times New Roman"/>
          <w:color w:val="000000"/>
          <w:sz w:val="23"/>
          <w:szCs w:val="23"/>
        </w:rPr>
        <w:t>for</w:t>
      </w:r>
      <w:proofErr w:type="spellEnd"/>
      <w:r w:rsidRPr="6ECC0782">
        <w:rPr>
          <w:rFonts w:ascii="Times New Roman" w:eastAsia="Times New Roman" w:hAnsi="Times New Roman" w:cs="Times New Roman"/>
          <w:color w:val="000000"/>
          <w:sz w:val="23"/>
          <w:szCs w:val="23"/>
        </w:rPr>
        <w:t xml:space="preserve"> </w:t>
      </w:r>
      <w:proofErr w:type="spellStart"/>
      <w:r w:rsidRPr="6ECC0782">
        <w:rPr>
          <w:rFonts w:ascii="Times New Roman" w:eastAsia="Times New Roman" w:hAnsi="Times New Roman" w:cs="Times New Roman"/>
          <w:color w:val="000000"/>
          <w:sz w:val="23"/>
          <w:szCs w:val="23"/>
        </w:rPr>
        <w:t>Citizens</w:t>
      </w:r>
      <w:proofErr w:type="spellEnd"/>
      <w:r w:rsidRPr="6ECC0782">
        <w:rPr>
          <w:rFonts w:ascii="Times New Roman" w:eastAsia="Times New Roman" w:hAnsi="Times New Roman" w:cs="Times New Roman"/>
          <w:color w:val="000000"/>
          <w:sz w:val="23"/>
          <w:szCs w:val="23"/>
        </w:rPr>
        <w:t xml:space="preserve">´ </w:t>
      </w:r>
      <w:proofErr w:type="spellStart"/>
      <w:r w:rsidRPr="6ECC0782">
        <w:rPr>
          <w:rFonts w:ascii="Times New Roman" w:eastAsia="Times New Roman" w:hAnsi="Times New Roman" w:cs="Times New Roman"/>
          <w:color w:val="000000"/>
          <w:sz w:val="23"/>
          <w:szCs w:val="23"/>
        </w:rPr>
        <w:t>Safety</w:t>
      </w:r>
      <w:proofErr w:type="spellEnd"/>
      <w:r w:rsidRPr="6ECC0782">
        <w:rPr>
          <w:rFonts w:ascii="Times New Roman" w:eastAsia="Times New Roman" w:hAnsi="Times New Roman" w:cs="Times New Roman"/>
          <w:color w:val="000000"/>
          <w:sz w:val="23"/>
          <w:szCs w:val="23"/>
        </w:rPr>
        <w:t xml:space="preserve"> and </w:t>
      </w:r>
      <w:proofErr w:type="spellStart"/>
      <w:r w:rsidRPr="6ECC0782">
        <w:rPr>
          <w:rFonts w:ascii="Times New Roman" w:eastAsia="Times New Roman" w:hAnsi="Times New Roman" w:cs="Times New Roman"/>
          <w:color w:val="000000"/>
          <w:sz w:val="23"/>
          <w:szCs w:val="23"/>
        </w:rPr>
        <w:t>Security</w:t>
      </w:r>
      <w:proofErr w:type="spellEnd"/>
      <w:r w:rsidRPr="6ECC0782">
        <w:rPr>
          <w:rFonts w:ascii="Times New Roman" w:eastAsia="Times New Roman" w:hAnsi="Times New Roman" w:cs="Times New Roman"/>
          <w:color w:val="000000"/>
          <w:sz w:val="23"/>
          <w:szCs w:val="23"/>
        </w:rPr>
        <w:t xml:space="preserve"> vs. Covid-19“ konsorcia výzkumných organizací ve složení České vysoké učení technické v Praze, Masarykova univerzita Brno a Univerzita Karlova. Projekt ECE bude podpořen v období 2020–2022 celkovou částkou ve výši 14.950 tis. Kč, hrazenou z rozpočtu Ministerstva průmyslu a obchodu.</w:t>
      </w:r>
    </w:p>
    <w:p w14:paraId="0000002E"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
    <w:p w14:paraId="0000002F" w14:textId="77777777" w:rsidR="00FB5455" w:rsidRDefault="005F4671">
      <w:pPr>
        <w:keepNext/>
        <w:keepLines/>
        <w:pBdr>
          <w:top w:val="nil"/>
          <w:left w:val="nil"/>
          <w:bottom w:val="nil"/>
          <w:right w:val="nil"/>
          <w:between w:val="nil"/>
        </w:pBdr>
        <w:spacing w:before="80"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Popis reforem a investic komponenty </w:t>
      </w:r>
    </w:p>
    <w:p w14:paraId="00000030"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i/>
          <w:color w:val="2196FF"/>
          <w:sz w:val="23"/>
          <w:szCs w:val="23"/>
        </w:rPr>
      </w:pPr>
    </w:p>
    <w:p w14:paraId="00000031"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Popis reforem</w:t>
      </w:r>
    </w:p>
    <w:p w14:paraId="00000032" w14:textId="5450E7A2" w:rsidR="00FB5455" w:rsidRDefault="1F095B58" w:rsidP="6901B421">
      <w:pPr>
        <w:numPr>
          <w:ilvl w:val="0"/>
          <w:numId w:val="4"/>
        </w:numPr>
        <w:pBdr>
          <w:top w:val="nil"/>
          <w:left w:val="nil"/>
          <w:bottom w:val="nil"/>
          <w:right w:val="nil"/>
          <w:between w:val="nil"/>
        </w:pBdr>
        <w:spacing w:after="120" w:line="276" w:lineRule="auto"/>
        <w:jc w:val="both"/>
        <w:rPr>
          <w:rFonts w:ascii="Times New Roman" w:eastAsia="Times New Roman" w:hAnsi="Times New Roman" w:cs="Times New Roman"/>
          <w:color w:val="000000" w:themeColor="text1"/>
          <w:sz w:val="23"/>
          <w:szCs w:val="23"/>
        </w:rPr>
      </w:pPr>
      <w:r w:rsidRPr="6901B421">
        <w:rPr>
          <w:rFonts w:ascii="Times New Roman" w:eastAsia="Times New Roman" w:hAnsi="Times New Roman" w:cs="Times New Roman"/>
          <w:color w:val="000000" w:themeColor="text1"/>
          <w:sz w:val="23"/>
          <w:szCs w:val="23"/>
        </w:rPr>
        <w:t xml:space="preserve">Vytvoření infrastruktury pro digitální </w:t>
      </w:r>
      <w:proofErr w:type="gramStart"/>
      <w:r w:rsidRPr="6901B421">
        <w:rPr>
          <w:rFonts w:ascii="Times New Roman" w:eastAsia="Times New Roman" w:hAnsi="Times New Roman" w:cs="Times New Roman"/>
          <w:color w:val="000000" w:themeColor="text1"/>
          <w:sz w:val="23"/>
          <w:szCs w:val="23"/>
        </w:rPr>
        <w:t>transformaci - Evropská</w:t>
      </w:r>
      <w:proofErr w:type="gramEnd"/>
      <w:r w:rsidRPr="6901B421">
        <w:rPr>
          <w:rFonts w:ascii="Times New Roman" w:eastAsia="Times New Roman" w:hAnsi="Times New Roman" w:cs="Times New Roman"/>
          <w:color w:val="000000" w:themeColor="text1"/>
          <w:sz w:val="23"/>
          <w:szCs w:val="23"/>
        </w:rPr>
        <w:t xml:space="preserve"> a národní centra digitálních inovací</w:t>
      </w:r>
      <w:r w:rsidR="08B04DB0" w:rsidRPr="6901B421">
        <w:rPr>
          <w:rFonts w:ascii="Times New Roman" w:eastAsia="Times New Roman" w:hAnsi="Times New Roman" w:cs="Times New Roman"/>
          <w:color w:val="000000"/>
          <w:sz w:val="23"/>
          <w:szCs w:val="23"/>
        </w:rPr>
        <w:t xml:space="preserve"> (e/DIH)</w:t>
      </w:r>
    </w:p>
    <w:p w14:paraId="4562A871" w14:textId="2B836B7A" w:rsidR="128C413F" w:rsidRDefault="128C413F" w:rsidP="6901B421">
      <w:pPr>
        <w:numPr>
          <w:ilvl w:val="0"/>
          <w:numId w:val="4"/>
        </w:numPr>
        <w:spacing w:after="120" w:line="276" w:lineRule="auto"/>
        <w:jc w:val="both"/>
        <w:rPr>
          <w:rFonts w:ascii="Times New Roman" w:eastAsia="Times New Roman" w:hAnsi="Times New Roman" w:cs="Times New Roman"/>
          <w:color w:val="000000" w:themeColor="text1"/>
          <w:sz w:val="23"/>
          <w:szCs w:val="23"/>
        </w:rPr>
      </w:pPr>
      <w:r w:rsidRPr="6901B421">
        <w:rPr>
          <w:rFonts w:ascii="Times New Roman" w:eastAsia="Times New Roman" w:hAnsi="Times New Roman" w:cs="Times New Roman"/>
          <w:color w:val="000000" w:themeColor="text1"/>
          <w:sz w:val="23"/>
          <w:szCs w:val="23"/>
        </w:rPr>
        <w:t xml:space="preserve">Vytvoření infrastruktury pro digitální </w:t>
      </w:r>
      <w:proofErr w:type="gramStart"/>
      <w:r w:rsidRPr="6901B421">
        <w:rPr>
          <w:rFonts w:ascii="Times New Roman" w:eastAsia="Times New Roman" w:hAnsi="Times New Roman" w:cs="Times New Roman"/>
          <w:color w:val="000000" w:themeColor="text1"/>
          <w:sz w:val="23"/>
          <w:szCs w:val="23"/>
        </w:rPr>
        <w:t>transformaci - Evropská</w:t>
      </w:r>
      <w:proofErr w:type="gramEnd"/>
      <w:r w:rsidRPr="6901B421">
        <w:rPr>
          <w:rFonts w:ascii="Times New Roman" w:eastAsia="Times New Roman" w:hAnsi="Times New Roman" w:cs="Times New Roman"/>
          <w:color w:val="000000" w:themeColor="text1"/>
          <w:sz w:val="23"/>
          <w:szCs w:val="23"/>
        </w:rPr>
        <w:t xml:space="preserve"> centra excelence</w:t>
      </w:r>
    </w:p>
    <w:p w14:paraId="169BC69F" w14:textId="0EF5EF80" w:rsidR="128C413F" w:rsidRDefault="128C413F" w:rsidP="6901B421">
      <w:pPr>
        <w:numPr>
          <w:ilvl w:val="0"/>
          <w:numId w:val="4"/>
        </w:numPr>
        <w:spacing w:after="120" w:line="276" w:lineRule="auto"/>
        <w:jc w:val="both"/>
        <w:rPr>
          <w:rFonts w:ascii="Times New Roman" w:eastAsia="Times New Roman" w:hAnsi="Times New Roman" w:cs="Times New Roman"/>
          <w:color w:val="000000" w:themeColor="text1"/>
          <w:sz w:val="23"/>
          <w:szCs w:val="23"/>
        </w:rPr>
      </w:pPr>
      <w:r w:rsidRPr="6901B421">
        <w:rPr>
          <w:rFonts w:ascii="Times New Roman" w:eastAsia="Times New Roman" w:hAnsi="Times New Roman" w:cs="Times New Roman"/>
          <w:color w:val="000000" w:themeColor="text1"/>
          <w:sz w:val="23"/>
          <w:szCs w:val="23"/>
        </w:rPr>
        <w:t xml:space="preserve">Vytvoření infrastruktury pro digitální </w:t>
      </w:r>
      <w:proofErr w:type="gramStart"/>
      <w:r w:rsidRPr="6901B421">
        <w:rPr>
          <w:rFonts w:ascii="Times New Roman" w:eastAsia="Times New Roman" w:hAnsi="Times New Roman" w:cs="Times New Roman"/>
          <w:color w:val="000000" w:themeColor="text1"/>
          <w:sz w:val="23"/>
          <w:szCs w:val="23"/>
        </w:rPr>
        <w:t>transformaci - Evropská</w:t>
      </w:r>
      <w:proofErr w:type="gramEnd"/>
      <w:r w:rsidRPr="6901B421">
        <w:rPr>
          <w:rFonts w:ascii="Times New Roman" w:eastAsia="Times New Roman" w:hAnsi="Times New Roman" w:cs="Times New Roman"/>
          <w:color w:val="000000" w:themeColor="text1"/>
          <w:sz w:val="23"/>
          <w:szCs w:val="23"/>
        </w:rPr>
        <w:t xml:space="preserve"> referenční testovací centra</w:t>
      </w:r>
    </w:p>
    <w:p w14:paraId="707DD4DD" w14:textId="7CB36858" w:rsidR="128C413F" w:rsidRDefault="128C413F" w:rsidP="6901B421">
      <w:pPr>
        <w:numPr>
          <w:ilvl w:val="0"/>
          <w:numId w:val="4"/>
        </w:numPr>
        <w:spacing w:after="120" w:line="276" w:lineRule="auto"/>
        <w:jc w:val="both"/>
        <w:rPr>
          <w:rFonts w:ascii="Times New Roman" w:eastAsia="Times New Roman" w:hAnsi="Times New Roman" w:cs="Times New Roman"/>
          <w:color w:val="000000" w:themeColor="text1"/>
          <w:sz w:val="23"/>
          <w:szCs w:val="23"/>
        </w:rPr>
      </w:pPr>
      <w:r w:rsidRPr="6901B421">
        <w:rPr>
          <w:rFonts w:ascii="Times New Roman" w:eastAsia="Times New Roman" w:hAnsi="Times New Roman" w:cs="Times New Roman"/>
          <w:color w:val="000000" w:themeColor="text1"/>
          <w:sz w:val="23"/>
          <w:szCs w:val="23"/>
        </w:rPr>
        <w:t>Programy přímé podpory digitální transformace podniků</w:t>
      </w:r>
    </w:p>
    <w:p w14:paraId="00000036"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bookmarkStart w:id="2" w:name="_30j0zll" w:colFirst="0" w:colLast="0"/>
      <w:bookmarkEnd w:id="2"/>
      <w:r>
        <w:rPr>
          <w:rFonts w:ascii="Times New Roman" w:eastAsia="Times New Roman" w:hAnsi="Times New Roman" w:cs="Times New Roman"/>
          <w:color w:val="000000"/>
          <w:sz w:val="23"/>
          <w:szCs w:val="23"/>
        </w:rPr>
        <w:t>Jednotlivé reformy jsou logicky provázány jak v rámci vzniku dlouhodobě udržitelného a propojeného digitálního ekosystému</w:t>
      </w:r>
      <w:r>
        <w:rPr>
          <w:rFonts w:ascii="Times New Roman" w:eastAsia="Times New Roman" w:hAnsi="Times New Roman" w:cs="Times New Roman"/>
          <w:color w:val="000000"/>
          <w:sz w:val="23"/>
          <w:szCs w:val="23"/>
        </w:rPr>
        <w:t xml:space="preserve"> (ohledně tří prvních reforem), tak ohledně navazujících programů digitální transformace, které budou sloužit pro doplnění mezer v celém ekosystému. Vznik Centra excelence pro umělou inteligenci má za cíl zajistit dostatečnou výzkumnou kapacitu v oboru a u</w:t>
      </w:r>
      <w:r>
        <w:rPr>
          <w:rFonts w:ascii="Times New Roman" w:eastAsia="Times New Roman" w:hAnsi="Times New Roman" w:cs="Times New Roman"/>
          <w:color w:val="000000"/>
          <w:sz w:val="23"/>
          <w:szCs w:val="23"/>
        </w:rPr>
        <w:t xml:space="preserve">možnit tak dalším aktérům zavádění a testování nových aplikací umělé inteligence. </w:t>
      </w:r>
    </w:p>
    <w:p w14:paraId="00000037"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Testovací a experimentální zařízení mají být jakýsi mezistupeň mez výzkumem, tedy Centrem excelence, a rozšíření technologií mezi malé a střední podniky. Na této úrovni by m</w:t>
      </w:r>
      <w:r>
        <w:rPr>
          <w:rFonts w:ascii="Times New Roman" w:eastAsia="Times New Roman" w:hAnsi="Times New Roman" w:cs="Times New Roman"/>
          <w:color w:val="000000"/>
          <w:sz w:val="23"/>
          <w:szCs w:val="23"/>
        </w:rPr>
        <w:t>ělo být umožněno výzkumným kapacitám testování vyvinutých technologií a aplikací, tak aby mohly být využity MSP.</w:t>
      </w:r>
    </w:p>
    <w:p w14:paraId="00000038" w14:textId="32B6D890" w:rsidR="00FB5455" w:rsidRDefault="15851376" w:rsidP="15851376">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15851376">
        <w:rPr>
          <w:rFonts w:ascii="Times New Roman" w:eastAsia="Times New Roman" w:hAnsi="Times New Roman" w:cs="Times New Roman"/>
          <w:color w:val="000000"/>
          <w:sz w:val="23"/>
          <w:szCs w:val="23"/>
        </w:rPr>
        <w:t xml:space="preserve">Evropská centra pro digitální inovace mají jako hlavní cíl podpořit digitalizaci malých a středních podniků, napomoci jim v boji s </w:t>
      </w:r>
      <w:proofErr w:type="spellStart"/>
      <w:r w:rsidRPr="15851376">
        <w:rPr>
          <w:rFonts w:ascii="Times New Roman" w:eastAsia="Times New Roman" w:hAnsi="Times New Roman" w:cs="Times New Roman"/>
          <w:color w:val="000000"/>
          <w:sz w:val="23"/>
          <w:szCs w:val="23"/>
        </w:rPr>
        <w:t>koronakrizí</w:t>
      </w:r>
      <w:proofErr w:type="spellEnd"/>
      <w:r w:rsidRPr="15851376">
        <w:rPr>
          <w:rFonts w:ascii="Times New Roman" w:eastAsia="Times New Roman" w:hAnsi="Times New Roman" w:cs="Times New Roman"/>
          <w:color w:val="000000"/>
          <w:sz w:val="23"/>
          <w:szCs w:val="23"/>
        </w:rPr>
        <w:t xml:space="preserve"> a umožnit, díky expertíze v dané oblasti, zavádění nových technologií, jako jsou například umělá inteligence, </w:t>
      </w:r>
      <w:proofErr w:type="spellStart"/>
      <w:r w:rsidRPr="15851376">
        <w:rPr>
          <w:rFonts w:ascii="Times New Roman" w:eastAsia="Times New Roman" w:hAnsi="Times New Roman" w:cs="Times New Roman"/>
          <w:color w:val="000000"/>
          <w:sz w:val="23"/>
          <w:szCs w:val="23"/>
        </w:rPr>
        <w:t>kyberbezpečnost</w:t>
      </w:r>
      <w:proofErr w:type="spellEnd"/>
      <w:r w:rsidRPr="15851376">
        <w:rPr>
          <w:rFonts w:ascii="Times New Roman" w:eastAsia="Times New Roman" w:hAnsi="Times New Roman" w:cs="Times New Roman"/>
          <w:color w:val="000000"/>
          <w:sz w:val="23"/>
          <w:szCs w:val="23"/>
        </w:rPr>
        <w:t xml:space="preserve">, či využívání prvků </w:t>
      </w:r>
      <w:proofErr w:type="spellStart"/>
      <w:r w:rsidRPr="15851376">
        <w:rPr>
          <w:rFonts w:ascii="Times New Roman" w:eastAsia="Times New Roman" w:hAnsi="Times New Roman" w:cs="Times New Roman"/>
          <w:color w:val="000000"/>
          <w:sz w:val="23"/>
          <w:szCs w:val="23"/>
        </w:rPr>
        <w:t>superpočítání</w:t>
      </w:r>
      <w:proofErr w:type="spellEnd"/>
      <w:r w:rsidRPr="15851376">
        <w:rPr>
          <w:rFonts w:ascii="Times New Roman" w:eastAsia="Times New Roman" w:hAnsi="Times New Roman" w:cs="Times New Roman"/>
          <w:color w:val="000000"/>
          <w:sz w:val="23"/>
          <w:szCs w:val="23"/>
        </w:rPr>
        <w:t>. Digitalizace průmyslu by ve své podstatě měla naplňovat primárně digitální cíle, ačkoli sekundárně může ovlivnit i cíle snížení emisí (nové technologie by měly pomoci snížit uhlíkové emise), ale také napomoci nastartovat oběhové hospodářství (využívání odpadů a recyklace).</w:t>
      </w:r>
    </w:p>
    <w:p w14:paraId="00000039"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Jednotlivé projekty digitální transformace, které jsou plánované nad rámec ce</w:t>
      </w:r>
      <w:r>
        <w:rPr>
          <w:rFonts w:ascii="Times New Roman" w:eastAsia="Times New Roman" w:hAnsi="Times New Roman" w:cs="Times New Roman"/>
          <w:color w:val="000000"/>
          <w:sz w:val="23"/>
          <w:szCs w:val="23"/>
        </w:rPr>
        <w:t xml:space="preserve">lého ekosystému pro jednotlivé malé a střední podniky navazují na celý ekosystém a doplňují jeho mezery. Celý ekosystém je tedy logicky provázán na podporu digitalizace průmyslu a zajištění větší resistence pro případné další krize. </w:t>
      </w:r>
    </w:p>
    <w:p w14:paraId="0000003A"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t>Stakeholdeři</w:t>
      </w:r>
      <w:proofErr w:type="spellEnd"/>
      <w:r>
        <w:rPr>
          <w:rFonts w:ascii="Times New Roman" w:eastAsia="Times New Roman" w:hAnsi="Times New Roman" w:cs="Times New Roman"/>
          <w:color w:val="000000"/>
          <w:sz w:val="23"/>
          <w:szCs w:val="23"/>
        </w:rPr>
        <w:t xml:space="preserve"> v oblasti digitalizace budou jak součástí vznikajícího ekosystému, tak jsou sdruženi v několika významných výborech, jako je například Výbor pro umělou inteligenci NAIS, Výbor pro digitální ekonomiku a společnost či nově vznikající Výbor pro d</w:t>
      </w:r>
      <w:r>
        <w:rPr>
          <w:rFonts w:ascii="Times New Roman" w:eastAsia="Times New Roman" w:hAnsi="Times New Roman" w:cs="Times New Roman"/>
          <w:color w:val="000000"/>
          <w:sz w:val="23"/>
          <w:szCs w:val="23"/>
        </w:rPr>
        <w:t xml:space="preserve">igitální transformaci. Jednotlivé subjekty jsou také součástí různých svazů (např. Svaz průmyslu a dopravy ČR) či Hospodářských komor a asociací. </w:t>
      </w:r>
    </w:p>
    <w:p w14:paraId="0000003B" w14:textId="77777777" w:rsidR="00FB5455" w:rsidRDefault="005F4671">
      <w:pPr>
        <w:spacing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Jako hlavní rizika v této oblasti zaznamenáváme nedostatečný počet firem, které prošly procesem digitální tra</w:t>
      </w:r>
      <w:r>
        <w:rPr>
          <w:rFonts w:ascii="Times New Roman" w:eastAsia="Times New Roman" w:hAnsi="Times New Roman" w:cs="Times New Roman"/>
          <w:sz w:val="23"/>
          <w:szCs w:val="23"/>
        </w:rPr>
        <w:t>nsformace, a hlavně nedostatečný počet odborníků na dané technologie. Vznik celého ekosystému by měl za následek zvýšení jak podílu firem, které prošly procesem digitalizace, tak k přilákání odborníků na nové technologie díky propojení Centra excelence a a</w:t>
      </w:r>
      <w:r>
        <w:rPr>
          <w:rFonts w:ascii="Times New Roman" w:eastAsia="Times New Roman" w:hAnsi="Times New Roman" w:cs="Times New Roman"/>
          <w:sz w:val="23"/>
          <w:szCs w:val="23"/>
        </w:rPr>
        <w:t>kademické sféry. Prací v komunikačních a informačních technologiích se v Česku živí více než 206 tisíc lidí. Další desetitisíce těchto odborníků firmy marně hledají. A to i přesto, že jsou jejich mzdy vysoce nadprůměrné. Zapojení studentů do výzkumu v rámc</w:t>
      </w:r>
      <w:r>
        <w:rPr>
          <w:rFonts w:ascii="Times New Roman" w:eastAsia="Times New Roman" w:hAnsi="Times New Roman" w:cs="Times New Roman"/>
          <w:sz w:val="23"/>
          <w:szCs w:val="23"/>
        </w:rPr>
        <w:t>i Centra excelence, do testování v rámci testovacího a experimentálního zařízení a v neposlední řadě jejich zapojení do struktur Evropských center pro digitální inovace bude tedy mít za následek vyškolení nových expertů v různých oblastech, které jsou esen</w:t>
      </w:r>
      <w:r>
        <w:rPr>
          <w:rFonts w:ascii="Times New Roman" w:eastAsia="Times New Roman" w:hAnsi="Times New Roman" w:cs="Times New Roman"/>
          <w:sz w:val="23"/>
          <w:szCs w:val="23"/>
        </w:rPr>
        <w:t xml:space="preserve">ciální pro další rozvoj českého průmyslu a celého hospodářství. </w:t>
      </w:r>
    </w:p>
    <w:p w14:paraId="0000003C" w14:textId="77777777" w:rsidR="00FB5455" w:rsidRDefault="00FB5455">
      <w:pPr>
        <w:pBdr>
          <w:top w:val="nil"/>
          <w:left w:val="nil"/>
          <w:bottom w:val="nil"/>
          <w:right w:val="nil"/>
          <w:between w:val="nil"/>
        </w:pBdr>
        <w:spacing w:after="120" w:line="276" w:lineRule="auto"/>
        <w:ind w:left="66"/>
        <w:jc w:val="both"/>
        <w:rPr>
          <w:rFonts w:ascii="Times New Roman" w:eastAsia="Times New Roman" w:hAnsi="Times New Roman" w:cs="Times New Roman"/>
          <w:i/>
          <w:color w:val="2196FF"/>
          <w:sz w:val="23"/>
          <w:szCs w:val="23"/>
        </w:rPr>
      </w:pPr>
    </w:p>
    <w:p w14:paraId="0000003D"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Vytvoření infrastruktury pro digitální transformaci</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FB5455" w14:paraId="5F0818C7" w14:textId="77777777">
        <w:tc>
          <w:tcPr>
            <w:tcW w:w="2405" w:type="dxa"/>
          </w:tcPr>
          <w:p w14:paraId="0000003E"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Výzva</w:t>
            </w:r>
          </w:p>
        </w:tc>
        <w:tc>
          <w:tcPr>
            <w:tcW w:w="7223" w:type="dxa"/>
          </w:tcPr>
          <w:p w14:paraId="0000003F"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Daná reforma řeší nedostatek odborníků v oblasti IT a nových technologií, nedostatečnou digitalizaci MSP a zvýšení resistence pro případné další krize</w:t>
            </w:r>
          </w:p>
        </w:tc>
      </w:tr>
      <w:tr w:rsidR="00FB5455" w14:paraId="0C50E429" w14:textId="77777777">
        <w:tc>
          <w:tcPr>
            <w:tcW w:w="2405" w:type="dxa"/>
          </w:tcPr>
          <w:p w14:paraId="00000040"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w:t>
            </w:r>
          </w:p>
        </w:tc>
        <w:tc>
          <w:tcPr>
            <w:tcW w:w="7223" w:type="dxa"/>
          </w:tcPr>
          <w:p w14:paraId="00000041"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Cílem plně fungujícího ekosystému je komplexní provázanost všech aktérů v systému a jejich aktivní n</w:t>
            </w:r>
            <w:r>
              <w:rPr>
                <w:rFonts w:ascii="Times New Roman" w:eastAsia="Times New Roman" w:hAnsi="Times New Roman" w:cs="Times New Roman"/>
                <w:color w:val="000000"/>
                <w:sz w:val="23"/>
                <w:szCs w:val="23"/>
              </w:rPr>
              <w:t>abídka vůči ostatním. Principem podpory je umožnit nabídku všem subjektům za účelem zvyšování digitální transformace a využití technologií. Funkční ekosystém a zapojení všech aktérů ekosystému dále umožní přilákat odborníky z oblasti nových technologií. Zv</w:t>
            </w:r>
            <w:r>
              <w:rPr>
                <w:rFonts w:ascii="Times New Roman" w:eastAsia="Times New Roman" w:hAnsi="Times New Roman" w:cs="Times New Roman"/>
                <w:color w:val="000000"/>
                <w:sz w:val="23"/>
                <w:szCs w:val="23"/>
              </w:rPr>
              <w:t>ýšení celkové digitalizace MSP bude vést k zajištění větší resistenci průmyslu vůči potenciálním dalším krizím.</w:t>
            </w:r>
          </w:p>
        </w:tc>
      </w:tr>
      <w:tr w:rsidR="00FB5455" w14:paraId="5F163AA8" w14:textId="77777777">
        <w:tc>
          <w:tcPr>
            <w:tcW w:w="2405" w:type="dxa"/>
          </w:tcPr>
          <w:p w14:paraId="00000042"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Implementace</w:t>
            </w:r>
          </w:p>
        </w:tc>
        <w:tc>
          <w:tcPr>
            <w:tcW w:w="7223" w:type="dxa"/>
          </w:tcPr>
          <w:p w14:paraId="00000043"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Jednotné reformy budou implementované prostřednictvím aktérů digitálního ekosystému. Evropské centrum excelence tedy zajistí nové </w:t>
            </w:r>
            <w:r>
              <w:rPr>
                <w:rFonts w:ascii="Times New Roman" w:eastAsia="Times New Roman" w:hAnsi="Times New Roman" w:cs="Times New Roman"/>
                <w:color w:val="000000"/>
                <w:sz w:val="23"/>
                <w:szCs w:val="23"/>
              </w:rPr>
              <w:t>odborníky v digitálních technologiích, ať už formou nových vzdělávacích programů, nebo přilákáním nadějných zahraničních vědců. Testovací a experimentální zařízení ve spolupráci s Evropskými centry pro digitální inovace mají za úkol zvýšit povědomí o digit</w:t>
            </w:r>
            <w:r>
              <w:rPr>
                <w:rFonts w:ascii="Times New Roman" w:eastAsia="Times New Roman" w:hAnsi="Times New Roman" w:cs="Times New Roman"/>
                <w:color w:val="000000"/>
                <w:sz w:val="23"/>
                <w:szCs w:val="23"/>
              </w:rPr>
              <w:t>alizaci a poskytovat služby digitální transformace, aby převážně MSP zdigitalizovaly alespoň základní postupy.</w:t>
            </w:r>
          </w:p>
        </w:tc>
      </w:tr>
      <w:tr w:rsidR="00FB5455" w14:paraId="45037FA0" w14:textId="77777777">
        <w:trPr>
          <w:trHeight w:val="70"/>
        </w:trPr>
        <w:tc>
          <w:tcPr>
            <w:tcW w:w="2405" w:type="dxa"/>
          </w:tcPr>
          <w:p w14:paraId="00000044"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Spolupráce a zapojení zúčastněných stran</w:t>
            </w:r>
          </w:p>
        </w:tc>
        <w:tc>
          <w:tcPr>
            <w:tcW w:w="7223" w:type="dxa"/>
          </w:tcPr>
          <w:p w14:paraId="00000045"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Spolupráce napříč digitálním ekosystémem je zcela stěžejní pro výše uvedené implementační cíle a pro naplnění dříve zmíněných cílů.</w:t>
            </w:r>
          </w:p>
        </w:tc>
      </w:tr>
      <w:tr w:rsidR="00FB5455" w14:paraId="0997E74A" w14:textId="77777777">
        <w:tc>
          <w:tcPr>
            <w:tcW w:w="2405" w:type="dxa"/>
          </w:tcPr>
          <w:p w14:paraId="00000046"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Překážky a rizika</w:t>
            </w:r>
          </w:p>
        </w:tc>
        <w:tc>
          <w:tcPr>
            <w:tcW w:w="7223" w:type="dxa"/>
          </w:tcPr>
          <w:p w14:paraId="00000047"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Jako hlavní rizika považujeme nedostatečný počet Evropských center pro digitální inovace, kterou proto ch</w:t>
            </w:r>
            <w:r>
              <w:rPr>
                <w:rFonts w:ascii="Times New Roman" w:eastAsia="Times New Roman" w:hAnsi="Times New Roman" w:cs="Times New Roman"/>
                <w:color w:val="000000"/>
                <w:sz w:val="23"/>
                <w:szCs w:val="23"/>
              </w:rPr>
              <w:t>ceme doplnit o adekvátní množství regionálně zaměřených národních center. Další velkou hrozbou v tomto ohledu je značná fragmentizace a nedostatečná odbornost jednotlivých uchazečů.</w:t>
            </w:r>
          </w:p>
        </w:tc>
      </w:tr>
      <w:tr w:rsidR="00FB5455" w14:paraId="0C5F6372" w14:textId="77777777">
        <w:tc>
          <w:tcPr>
            <w:tcW w:w="2405" w:type="dxa"/>
          </w:tcPr>
          <w:p w14:paraId="00000048"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Cílové skupiny populace a ekonomické subjekty</w:t>
            </w:r>
          </w:p>
        </w:tc>
        <w:tc>
          <w:tcPr>
            <w:tcW w:w="7223" w:type="dxa"/>
          </w:tcPr>
          <w:p w14:paraId="00000049"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Cílové skupiny jsou v tomto ohledu převážně malé a střední podniky a státní správa.</w:t>
            </w:r>
          </w:p>
        </w:tc>
      </w:tr>
      <w:tr w:rsidR="00FB5455" w14:paraId="7B09A031" w14:textId="77777777">
        <w:tc>
          <w:tcPr>
            <w:tcW w:w="2405" w:type="dxa"/>
          </w:tcPr>
          <w:p w14:paraId="0000004A"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Souhrnné náklady realizace financované z RRF za celé období</w:t>
            </w:r>
          </w:p>
        </w:tc>
        <w:tc>
          <w:tcPr>
            <w:tcW w:w="7223" w:type="dxa"/>
          </w:tcPr>
          <w:p w14:paraId="0000004B"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600 milionů CZK. </w:t>
            </w:r>
          </w:p>
        </w:tc>
      </w:tr>
      <w:tr w:rsidR="00FB5455" w14:paraId="1B67E41A" w14:textId="77777777">
        <w:tc>
          <w:tcPr>
            <w:tcW w:w="2405" w:type="dxa"/>
          </w:tcPr>
          <w:p w14:paraId="0000004C"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Dodržování pravidel státní podpory</w:t>
            </w:r>
          </w:p>
        </w:tc>
        <w:tc>
          <w:tcPr>
            <w:tcW w:w="7223" w:type="dxa"/>
          </w:tcPr>
          <w:p w14:paraId="0000004D"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 rámci kofinancování programu Digitální Evropa jsou pravidla státní pravidla již řešena a mělo by dojít k nalezení způsobu financování všech aktérů digitálního ekosystému.</w:t>
            </w:r>
          </w:p>
        </w:tc>
      </w:tr>
      <w:tr w:rsidR="00FB5455" w14:paraId="57C3EFD6" w14:textId="77777777">
        <w:tc>
          <w:tcPr>
            <w:tcW w:w="2405" w:type="dxa"/>
          </w:tcPr>
          <w:p w14:paraId="0000004E"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Uveďte dobu implementace</w:t>
            </w:r>
          </w:p>
        </w:tc>
        <w:tc>
          <w:tcPr>
            <w:tcW w:w="7223" w:type="dxa"/>
          </w:tcPr>
          <w:p w14:paraId="0000004F"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Vznik celého ekosystému bude vytvořen v roce 2021, ale je</w:t>
            </w:r>
            <w:r>
              <w:rPr>
                <w:rFonts w:ascii="Times New Roman" w:eastAsia="Times New Roman" w:hAnsi="Times New Roman" w:cs="Times New Roman"/>
                <w:color w:val="000000"/>
                <w:sz w:val="23"/>
                <w:szCs w:val="23"/>
              </w:rPr>
              <w:t>ho provoz bude hrazen po celé příští víceleté finanční období.</w:t>
            </w:r>
          </w:p>
        </w:tc>
      </w:tr>
    </w:tbl>
    <w:p w14:paraId="00000050"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b/>
          <w:color w:val="000000"/>
          <w:sz w:val="23"/>
          <w:szCs w:val="23"/>
        </w:rPr>
      </w:pPr>
    </w:p>
    <w:p w14:paraId="00000051"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Programy přímé podpory digitální transformace podniků</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FB5455" w14:paraId="386129C7" w14:textId="77777777" w:rsidTr="15851376">
        <w:tc>
          <w:tcPr>
            <w:tcW w:w="2405" w:type="dxa"/>
          </w:tcPr>
          <w:p w14:paraId="00000052"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Výzva</w:t>
            </w:r>
          </w:p>
        </w:tc>
        <w:tc>
          <w:tcPr>
            <w:tcW w:w="7223" w:type="dxa"/>
          </w:tcPr>
          <w:p w14:paraId="00000053"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Daná reforma řeší nedostatky a mezery digitálního ekosystému ve vztahu k digitalizaci MSP.</w:t>
            </w:r>
          </w:p>
        </w:tc>
      </w:tr>
      <w:tr w:rsidR="00FB5455" w14:paraId="648284BB" w14:textId="77777777" w:rsidTr="15851376">
        <w:tc>
          <w:tcPr>
            <w:tcW w:w="2405" w:type="dxa"/>
          </w:tcPr>
          <w:p w14:paraId="00000054"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w:t>
            </w:r>
          </w:p>
        </w:tc>
        <w:tc>
          <w:tcPr>
            <w:tcW w:w="7223" w:type="dxa"/>
          </w:tcPr>
          <w:p w14:paraId="00000055"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Cílem je tedy spuštění jednotlivých projektů digitalizace výrobních i nevýrobních podniků. Zacílením na MSP docílit zvýšení digitálních procesů.</w:t>
            </w:r>
          </w:p>
        </w:tc>
      </w:tr>
      <w:tr w:rsidR="00FB5455" w14:paraId="72F902F9" w14:textId="77777777" w:rsidTr="15851376">
        <w:tc>
          <w:tcPr>
            <w:tcW w:w="2405" w:type="dxa"/>
          </w:tcPr>
          <w:p w14:paraId="00000056"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Implementace</w:t>
            </w:r>
          </w:p>
        </w:tc>
        <w:tc>
          <w:tcPr>
            <w:tcW w:w="7223" w:type="dxa"/>
          </w:tcPr>
          <w:p w14:paraId="00000057"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Jednotlivé reformy budou implementované prostřednictvím aktérů digitálního ekosystému. Ostatní ak</w:t>
            </w:r>
            <w:r>
              <w:rPr>
                <w:rFonts w:ascii="Times New Roman" w:eastAsia="Times New Roman" w:hAnsi="Times New Roman" w:cs="Times New Roman"/>
                <w:color w:val="000000"/>
                <w:sz w:val="23"/>
                <w:szCs w:val="23"/>
              </w:rPr>
              <w:t>téři ekosystému, jako jsou inovační centra či národní síť Center pro digitální inovace budou pomáhat při naplňování projektů digitalizace výrobních a nevýrobních podniků.</w:t>
            </w:r>
          </w:p>
        </w:tc>
      </w:tr>
      <w:tr w:rsidR="00FB5455" w14:paraId="7F1C00C6" w14:textId="77777777" w:rsidTr="15851376">
        <w:trPr>
          <w:trHeight w:val="70"/>
        </w:trPr>
        <w:tc>
          <w:tcPr>
            <w:tcW w:w="2405" w:type="dxa"/>
          </w:tcPr>
          <w:p w14:paraId="00000058"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Spolupráce a zapojení zúčastněných stran</w:t>
            </w:r>
          </w:p>
        </w:tc>
        <w:tc>
          <w:tcPr>
            <w:tcW w:w="7223" w:type="dxa"/>
          </w:tcPr>
          <w:p w14:paraId="00000059"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Spolupráce napříč digitálním ekosystémem je zcela stěžejní pro výše uvedené implementační cíle a pro naplnění dříve zmíněných cílů.</w:t>
            </w:r>
          </w:p>
        </w:tc>
      </w:tr>
      <w:tr w:rsidR="00FB5455" w14:paraId="624F490E" w14:textId="77777777" w:rsidTr="15851376">
        <w:tc>
          <w:tcPr>
            <w:tcW w:w="2405" w:type="dxa"/>
          </w:tcPr>
          <w:p w14:paraId="0000005A"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Překážky a rizika</w:t>
            </w:r>
          </w:p>
        </w:tc>
        <w:tc>
          <w:tcPr>
            <w:tcW w:w="7223" w:type="dxa"/>
          </w:tcPr>
          <w:p w14:paraId="0000005B"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Jako hlavní rizika považujeme nedostatečný zájem ze strany MSP vzhledem k stávající krizi.</w:t>
            </w:r>
          </w:p>
        </w:tc>
      </w:tr>
      <w:tr w:rsidR="00FB5455" w14:paraId="230A321C" w14:textId="77777777" w:rsidTr="15851376">
        <w:tc>
          <w:tcPr>
            <w:tcW w:w="2405" w:type="dxa"/>
          </w:tcPr>
          <w:p w14:paraId="0000005C"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Cílové skupiny populace a ekonomické subjekty</w:t>
            </w:r>
          </w:p>
        </w:tc>
        <w:tc>
          <w:tcPr>
            <w:tcW w:w="7223" w:type="dxa"/>
          </w:tcPr>
          <w:p w14:paraId="0000005D"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Cílové skupiny jsou v tomto ohledu převážně malé a střední podniky.</w:t>
            </w:r>
          </w:p>
        </w:tc>
      </w:tr>
      <w:tr w:rsidR="00FB5455" w14:paraId="3D45B485" w14:textId="77777777" w:rsidTr="15851376">
        <w:tc>
          <w:tcPr>
            <w:tcW w:w="2405" w:type="dxa"/>
          </w:tcPr>
          <w:p w14:paraId="0000005E"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Souhrnné náklady realizace financované z RRF za celé období</w:t>
            </w:r>
          </w:p>
        </w:tc>
        <w:tc>
          <w:tcPr>
            <w:tcW w:w="7223" w:type="dxa"/>
          </w:tcPr>
          <w:p w14:paraId="0000005F"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1 000 milionů CZK. </w:t>
            </w:r>
          </w:p>
        </w:tc>
      </w:tr>
      <w:tr w:rsidR="00FB5455" w14:paraId="5FF68A0A" w14:textId="77777777" w:rsidTr="15851376">
        <w:tc>
          <w:tcPr>
            <w:tcW w:w="2405" w:type="dxa"/>
          </w:tcPr>
          <w:p w14:paraId="00000060"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Dodržování pravidel státní podpory</w:t>
            </w:r>
          </w:p>
        </w:tc>
        <w:tc>
          <w:tcPr>
            <w:tcW w:w="7223" w:type="dxa"/>
          </w:tcPr>
          <w:p w14:paraId="00000061"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Pravidla státní podpory budou dodržena a není potřeba uskutečňovat v tomto ohledu žádné další kroky.</w:t>
            </w:r>
          </w:p>
        </w:tc>
      </w:tr>
      <w:tr w:rsidR="00FB5455" w14:paraId="7F17A66B" w14:textId="77777777" w:rsidTr="15851376">
        <w:tc>
          <w:tcPr>
            <w:tcW w:w="2405" w:type="dxa"/>
          </w:tcPr>
          <w:p w14:paraId="00000062"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Uveďte dobu implementace</w:t>
            </w:r>
          </w:p>
        </w:tc>
        <w:tc>
          <w:tcPr>
            <w:tcW w:w="7223" w:type="dxa"/>
          </w:tcPr>
          <w:p w14:paraId="00000063" w14:textId="77777777" w:rsidR="00FB5455" w:rsidRDefault="15851376" w:rsidP="15851376">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15851376">
              <w:rPr>
                <w:rFonts w:ascii="Times New Roman" w:eastAsia="Times New Roman" w:hAnsi="Times New Roman" w:cs="Times New Roman"/>
                <w:color w:val="000000"/>
                <w:sz w:val="23"/>
                <w:szCs w:val="23"/>
              </w:rPr>
              <w:t>V současné době jsou projekty plánované na roky 2021-2022</w:t>
            </w:r>
          </w:p>
        </w:tc>
      </w:tr>
    </w:tbl>
    <w:p w14:paraId="00000064"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
    <w:p w14:paraId="00000065"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
    <w:p w14:paraId="00000066"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Popis investic</w:t>
      </w:r>
    </w:p>
    <w:p w14:paraId="00000067" w14:textId="77777777" w:rsidR="00FB5455" w:rsidRDefault="005F4671">
      <w:pPr>
        <w:numPr>
          <w:ilvl w:val="0"/>
          <w:numId w:val="4"/>
        </w:numPr>
        <w:pBdr>
          <w:top w:val="nil"/>
          <w:left w:val="nil"/>
          <w:bottom w:val="nil"/>
          <w:right w:val="nil"/>
          <w:between w:val="nil"/>
        </w:pBdr>
        <w:spacing w:after="120" w:line="276" w:lineRule="auto"/>
        <w:jc w:val="both"/>
      </w:pPr>
      <w:r>
        <w:rPr>
          <w:rFonts w:ascii="Times New Roman" w:eastAsia="Times New Roman" w:hAnsi="Times New Roman" w:cs="Times New Roman"/>
          <w:color w:val="000000"/>
          <w:sz w:val="23"/>
          <w:szCs w:val="23"/>
        </w:rPr>
        <w:t>Evropská a národní centra digitálních inovací (e/DIH)</w:t>
      </w:r>
    </w:p>
    <w:p w14:paraId="00000068" w14:textId="77777777" w:rsidR="00FB5455" w:rsidRDefault="005F4671">
      <w:pPr>
        <w:numPr>
          <w:ilvl w:val="0"/>
          <w:numId w:val="4"/>
        </w:numPr>
        <w:pBdr>
          <w:top w:val="nil"/>
          <w:left w:val="nil"/>
          <w:bottom w:val="nil"/>
          <w:right w:val="nil"/>
          <w:between w:val="nil"/>
        </w:pBdr>
        <w:spacing w:after="120" w:line="276" w:lineRule="auto"/>
        <w:jc w:val="both"/>
      </w:pPr>
      <w:r>
        <w:rPr>
          <w:rFonts w:ascii="Times New Roman" w:eastAsia="Times New Roman" w:hAnsi="Times New Roman" w:cs="Times New Roman"/>
          <w:color w:val="000000"/>
          <w:sz w:val="23"/>
          <w:szCs w:val="23"/>
        </w:rPr>
        <w:t>Evropská centra excelence</w:t>
      </w:r>
    </w:p>
    <w:p w14:paraId="00000069" w14:textId="77777777" w:rsidR="00FB5455" w:rsidRDefault="08B04DB0">
      <w:pPr>
        <w:numPr>
          <w:ilvl w:val="0"/>
          <w:numId w:val="4"/>
        </w:numPr>
        <w:pBdr>
          <w:top w:val="nil"/>
          <w:left w:val="nil"/>
          <w:bottom w:val="nil"/>
          <w:right w:val="nil"/>
          <w:between w:val="nil"/>
        </w:pBdr>
        <w:spacing w:after="120" w:line="276" w:lineRule="auto"/>
        <w:jc w:val="both"/>
      </w:pPr>
      <w:r w:rsidRPr="6901B421">
        <w:rPr>
          <w:rFonts w:ascii="Times New Roman" w:eastAsia="Times New Roman" w:hAnsi="Times New Roman" w:cs="Times New Roman"/>
          <w:color w:val="000000"/>
          <w:sz w:val="23"/>
          <w:szCs w:val="23"/>
        </w:rPr>
        <w:t>Evropská referenční testovací centra</w:t>
      </w:r>
    </w:p>
    <w:p w14:paraId="2FA0F2D7" w14:textId="7EC4D67C" w:rsidR="3D67FF39" w:rsidRDefault="3D67FF39" w:rsidP="6901B421">
      <w:pPr>
        <w:numPr>
          <w:ilvl w:val="0"/>
          <w:numId w:val="4"/>
        </w:numPr>
        <w:spacing w:after="120" w:line="276" w:lineRule="auto"/>
        <w:jc w:val="both"/>
        <w:rPr>
          <w:rFonts w:ascii="Times New Roman" w:eastAsia="Times New Roman" w:hAnsi="Times New Roman" w:cs="Times New Roman"/>
          <w:color w:val="000000" w:themeColor="text1"/>
          <w:sz w:val="23"/>
          <w:szCs w:val="23"/>
        </w:rPr>
      </w:pPr>
      <w:r w:rsidRPr="6901B421">
        <w:rPr>
          <w:rFonts w:ascii="Times New Roman" w:eastAsia="Times New Roman" w:hAnsi="Times New Roman" w:cs="Times New Roman"/>
          <w:color w:val="000000" w:themeColor="text1"/>
          <w:sz w:val="23"/>
          <w:szCs w:val="23"/>
        </w:rPr>
        <w:t>Programy přímé podpory digitální transformace podniků</w:t>
      </w:r>
    </w:p>
    <w:p w14:paraId="0000006B"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Jednotlivé investice jsou logicky provázány a jejich hlavním cílem je vznik dlouhodobě udržitelného a propojeného digitálního ekosystému, tak ohledně navazujících programů digitální transformace, které budou sloužit pro doplnění mezer v celém ekosystému. V</w:t>
      </w:r>
      <w:r>
        <w:rPr>
          <w:rFonts w:ascii="Times New Roman" w:eastAsia="Times New Roman" w:hAnsi="Times New Roman" w:cs="Times New Roman"/>
          <w:color w:val="000000"/>
          <w:sz w:val="23"/>
          <w:szCs w:val="23"/>
        </w:rPr>
        <w:t xml:space="preserve">znik Centra excelence pro umělou inteligenci má za cíl zajistit dostatečnou výzkumnou kapacitu v oboru a umožnit tak dalším aktérům zavádění a testování nových aplikací umělé inteligence. </w:t>
      </w:r>
    </w:p>
    <w:p w14:paraId="0000006C"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Testovací a experimentální zařízení mají být jakýsi mezistupeň mezi</w:t>
      </w:r>
      <w:r>
        <w:rPr>
          <w:rFonts w:ascii="Times New Roman" w:eastAsia="Times New Roman" w:hAnsi="Times New Roman" w:cs="Times New Roman"/>
          <w:color w:val="000000"/>
          <w:sz w:val="23"/>
          <w:szCs w:val="23"/>
        </w:rPr>
        <w:t xml:space="preserve"> výzkumem, tedy Centrem excelence, a rozšíření technologií mezi malé a střední podniky. Na této úrovni by mělo být umožněno výzkumným kapacitám testování vyvinutých technologií a aplikací, tak aby mohly být využity MSP.</w:t>
      </w:r>
    </w:p>
    <w:p w14:paraId="0000006D" w14:textId="119A71D2" w:rsidR="00FB5455" w:rsidRDefault="15851376" w:rsidP="15851376">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15851376">
        <w:rPr>
          <w:rFonts w:ascii="Times New Roman" w:eastAsia="Times New Roman" w:hAnsi="Times New Roman" w:cs="Times New Roman"/>
          <w:color w:val="000000"/>
          <w:sz w:val="23"/>
          <w:szCs w:val="23"/>
        </w:rPr>
        <w:t xml:space="preserve">Evropská centra pro digitální inovace mají jako hlavní cíl podpořit digitalizaci malých a středních podniků, napomoci jim v boji s </w:t>
      </w:r>
      <w:proofErr w:type="spellStart"/>
      <w:r w:rsidRPr="15851376">
        <w:rPr>
          <w:rFonts w:ascii="Times New Roman" w:eastAsia="Times New Roman" w:hAnsi="Times New Roman" w:cs="Times New Roman"/>
          <w:color w:val="000000"/>
          <w:sz w:val="23"/>
          <w:szCs w:val="23"/>
        </w:rPr>
        <w:t>koronakrizí</w:t>
      </w:r>
      <w:proofErr w:type="spellEnd"/>
      <w:r w:rsidRPr="15851376">
        <w:rPr>
          <w:rFonts w:ascii="Times New Roman" w:eastAsia="Times New Roman" w:hAnsi="Times New Roman" w:cs="Times New Roman"/>
          <w:color w:val="000000"/>
          <w:sz w:val="23"/>
          <w:szCs w:val="23"/>
        </w:rPr>
        <w:t xml:space="preserve"> a umožnit, díky expertíze v dané oblasti, zavádění nových technologií, jako jsou například umělá inteligence, </w:t>
      </w:r>
      <w:proofErr w:type="spellStart"/>
      <w:r w:rsidRPr="15851376">
        <w:rPr>
          <w:rFonts w:ascii="Times New Roman" w:eastAsia="Times New Roman" w:hAnsi="Times New Roman" w:cs="Times New Roman"/>
          <w:color w:val="000000"/>
          <w:sz w:val="23"/>
          <w:szCs w:val="23"/>
        </w:rPr>
        <w:t>kyberbezpečnost</w:t>
      </w:r>
      <w:proofErr w:type="spellEnd"/>
      <w:r w:rsidRPr="15851376">
        <w:rPr>
          <w:rFonts w:ascii="Times New Roman" w:eastAsia="Times New Roman" w:hAnsi="Times New Roman" w:cs="Times New Roman"/>
          <w:color w:val="000000"/>
          <w:sz w:val="23"/>
          <w:szCs w:val="23"/>
        </w:rPr>
        <w:t xml:space="preserve">, či využívání prvků </w:t>
      </w:r>
      <w:proofErr w:type="spellStart"/>
      <w:r w:rsidRPr="15851376">
        <w:rPr>
          <w:rFonts w:ascii="Times New Roman" w:eastAsia="Times New Roman" w:hAnsi="Times New Roman" w:cs="Times New Roman"/>
          <w:color w:val="000000"/>
          <w:sz w:val="23"/>
          <w:szCs w:val="23"/>
        </w:rPr>
        <w:t>superpočítání</w:t>
      </w:r>
      <w:proofErr w:type="spellEnd"/>
      <w:r w:rsidRPr="15851376">
        <w:rPr>
          <w:rFonts w:ascii="Times New Roman" w:eastAsia="Times New Roman" w:hAnsi="Times New Roman" w:cs="Times New Roman"/>
          <w:color w:val="000000"/>
          <w:sz w:val="23"/>
          <w:szCs w:val="23"/>
        </w:rPr>
        <w:t>. Digitalizace průmyslu by ve své podstatě měla naplňovat primárně digitální cíle, ačkoli sekundárně může ovlivnit i cíle snížení emisí (nové technologie by měly pomoci snížit uhlíkové emise), ale také napomoci nastartovat oběhové hospodářství (využívání odpadů a recyklace).</w:t>
      </w:r>
    </w:p>
    <w:p w14:paraId="0000006E"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Jednotlivé projekty digitální transformace, které jsou plánované nad rámec celého ekosystému pro jednotlivé malé a střední podniky navazují na celý ekosystém a doplňují jeho mezery. Celý ekosystém je </w:t>
      </w:r>
      <w:r>
        <w:rPr>
          <w:rFonts w:ascii="Times New Roman" w:eastAsia="Times New Roman" w:hAnsi="Times New Roman" w:cs="Times New Roman"/>
          <w:color w:val="000000"/>
          <w:sz w:val="23"/>
          <w:szCs w:val="23"/>
        </w:rPr>
        <w:lastRenderedPageBreak/>
        <w:t>tedy logicky provázán na p</w:t>
      </w:r>
      <w:r>
        <w:rPr>
          <w:rFonts w:ascii="Times New Roman" w:eastAsia="Times New Roman" w:hAnsi="Times New Roman" w:cs="Times New Roman"/>
          <w:color w:val="000000"/>
          <w:sz w:val="23"/>
          <w:szCs w:val="23"/>
        </w:rPr>
        <w:t xml:space="preserve">odporu digitalizace průmyslu a zajištění větší resistence pro případné další krize. </w:t>
      </w:r>
    </w:p>
    <w:p w14:paraId="0000006F"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z w:val="23"/>
          <w:szCs w:val="23"/>
        </w:rPr>
        <w:t>Stakeholdeři</w:t>
      </w:r>
      <w:proofErr w:type="spellEnd"/>
      <w:r>
        <w:rPr>
          <w:rFonts w:ascii="Times New Roman" w:eastAsia="Times New Roman" w:hAnsi="Times New Roman" w:cs="Times New Roman"/>
          <w:color w:val="000000"/>
          <w:sz w:val="23"/>
          <w:szCs w:val="23"/>
        </w:rPr>
        <w:t xml:space="preserve"> v oblasti digitalizace budou jak součástí vznikajícího ekosystému, tak jsou sdruženi v několika významných výborech, jako je například Výbor pro umělou inteligenci NAIS, Výbor pro digitální ekonomiku a společnost či nově vznikající Výbor pro d</w:t>
      </w:r>
      <w:r>
        <w:rPr>
          <w:rFonts w:ascii="Times New Roman" w:eastAsia="Times New Roman" w:hAnsi="Times New Roman" w:cs="Times New Roman"/>
          <w:color w:val="000000"/>
          <w:sz w:val="23"/>
          <w:szCs w:val="23"/>
        </w:rPr>
        <w:t xml:space="preserve">igitální transformaci. Jednotlivé subjekty jsou také součástí různých svazů (např. Svaz průmyslu a dopravy ČR) či Hospodářských komor a asociací. </w:t>
      </w:r>
    </w:p>
    <w:p w14:paraId="00000070"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Jako hlavní rizika v této oblasti zaznamenáváme nedostatečný počet firem, které prošly procesem digitální tra</w:t>
      </w:r>
      <w:r>
        <w:rPr>
          <w:rFonts w:ascii="Times New Roman" w:eastAsia="Times New Roman" w:hAnsi="Times New Roman" w:cs="Times New Roman"/>
          <w:color w:val="000000"/>
          <w:sz w:val="23"/>
          <w:szCs w:val="23"/>
        </w:rPr>
        <w:t>nsformace, a hlavně nedostatečný počet odborníků na dané technologie. Vznik celého ekosystému by měl za následek zvýšení jak podílu firem, které prošly procesem digitalizace, tak k přilákání odborníků na nové technologie díky propojení Centra excelence a a</w:t>
      </w:r>
      <w:r>
        <w:rPr>
          <w:rFonts w:ascii="Times New Roman" w:eastAsia="Times New Roman" w:hAnsi="Times New Roman" w:cs="Times New Roman"/>
          <w:color w:val="000000"/>
          <w:sz w:val="23"/>
          <w:szCs w:val="23"/>
        </w:rPr>
        <w:t>kademické sféry. Prací v komunikačních a informačních technologiích se v Česku živí více než 206 tisíc lidí. Další desetitisíce těchto odborníků firmy marně hledají. A to i přesto, že jsou jejich mzdy vysoce nadprůměrné. Zapojení studentů do výzkumu v rámc</w:t>
      </w:r>
      <w:r>
        <w:rPr>
          <w:rFonts w:ascii="Times New Roman" w:eastAsia="Times New Roman" w:hAnsi="Times New Roman" w:cs="Times New Roman"/>
          <w:color w:val="000000"/>
          <w:sz w:val="23"/>
          <w:szCs w:val="23"/>
        </w:rPr>
        <w:t>i Centra excelence, do testování v rámci testovacího a experimentálního zařízení a v neposlední řadě jejich zapojení do struktur Evropských center pro digitální inovace bude tedy mít za následek vyškolení nových expertů v různých oblastech, které jsou esen</w:t>
      </w:r>
      <w:r>
        <w:rPr>
          <w:rFonts w:ascii="Times New Roman" w:eastAsia="Times New Roman" w:hAnsi="Times New Roman" w:cs="Times New Roman"/>
          <w:color w:val="000000"/>
          <w:sz w:val="23"/>
          <w:szCs w:val="23"/>
        </w:rPr>
        <w:t>ciální pro další rozvoj českého průmyslu a celého hospodářství.</w:t>
      </w:r>
    </w:p>
    <w:p w14:paraId="00000071"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Reagujeme tak tedy na základní výzvy a potřeby průmyslu, ale také trhu práce a všech navazujících oblastí.</w:t>
      </w:r>
    </w:p>
    <w:p w14:paraId="00000072"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p>
    <w:p w14:paraId="00000073"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Vytvoření infrastruktury pro digitální transformaci</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FB5455" w14:paraId="3CD56A66" w14:textId="77777777">
        <w:tc>
          <w:tcPr>
            <w:tcW w:w="2405" w:type="dxa"/>
          </w:tcPr>
          <w:p w14:paraId="00000074"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Výzva</w:t>
            </w:r>
          </w:p>
        </w:tc>
        <w:tc>
          <w:tcPr>
            <w:tcW w:w="7223" w:type="dxa"/>
          </w:tcPr>
          <w:p w14:paraId="00000075"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Daná investice řeší nedostatek odborníků v oblasti IT a nových technologií, nedostatečnou digitalizaci MSP a zvýšení resistence pro případné další krize</w:t>
            </w:r>
          </w:p>
          <w:p w14:paraId="00000076"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By </w:t>
            </w:r>
            <w:proofErr w:type="spellStart"/>
            <w:r>
              <w:rPr>
                <w:rFonts w:ascii="Times New Roman" w:eastAsia="Times New Roman" w:hAnsi="Times New Roman" w:cs="Times New Roman"/>
                <w:sz w:val="23"/>
                <w:szCs w:val="23"/>
              </w:rPr>
              <w:t>joining</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forces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Europe</w:t>
            </w:r>
            <w:proofErr w:type="spellEnd"/>
            <w:r>
              <w:rPr>
                <w:rFonts w:ascii="Times New Roman" w:eastAsia="Times New Roman" w:hAnsi="Times New Roman" w:cs="Times New Roman"/>
                <w:sz w:val="23"/>
                <w:szCs w:val="23"/>
              </w:rPr>
              <w:t xml:space="preserve"> has a </w:t>
            </w:r>
            <w:proofErr w:type="spellStart"/>
            <w:r>
              <w:rPr>
                <w:rFonts w:ascii="Times New Roman" w:eastAsia="Times New Roman" w:hAnsi="Times New Roman" w:cs="Times New Roman"/>
                <w:sz w:val="23"/>
                <w:szCs w:val="23"/>
              </w:rPr>
              <w:t>unique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opportunity</w:t>
            </w:r>
            <w:proofErr w:type="spellEnd"/>
            <w:r>
              <w:rPr>
                <w:rFonts w:ascii="Times New Roman" w:eastAsia="Times New Roman" w:hAnsi="Times New Roman" w:cs="Times New Roman"/>
                <w:sz w:val="23"/>
                <w:szCs w:val="23"/>
              </w:rPr>
              <w:t xml:space="preserve"> to </w:t>
            </w:r>
            <w:proofErr w:type="spellStart"/>
            <w:r>
              <w:rPr>
                <w:rFonts w:ascii="Times New Roman" w:eastAsia="Times New Roman" w:hAnsi="Times New Roman" w:cs="Times New Roman"/>
                <w:sz w:val="23"/>
                <w:szCs w:val="23"/>
              </w:rPr>
              <w:t>become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the</w:t>
            </w:r>
            <w:proofErr w:type="spellEnd"/>
            <w:r>
              <w:rPr>
                <w:rFonts w:ascii="Times New Roman" w:eastAsia="Times New Roman" w:hAnsi="Times New Roman" w:cs="Times New Roman"/>
                <w:sz w:val="23"/>
                <w:szCs w:val="23"/>
              </w:rPr>
              <w:t xml:space="preserve"> place to </w:t>
            </w:r>
            <w:proofErr w:type="spellStart"/>
            <w:r>
              <w:rPr>
                <w:rFonts w:ascii="Times New Roman" w:eastAsia="Times New Roman" w:hAnsi="Times New Roman" w:cs="Times New Roman"/>
                <w:sz w:val="23"/>
                <w:szCs w:val="23"/>
              </w:rPr>
              <w:t>be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for</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researchers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innovator</w:t>
            </w:r>
            <w:r>
              <w:rPr>
                <w:rFonts w:ascii="Times New Roman" w:eastAsia="Times New Roman" w:hAnsi="Times New Roman" w:cs="Times New Roman"/>
                <w:sz w:val="23"/>
                <w:szCs w:val="23"/>
              </w:rPr>
              <w:t>s</w:t>
            </w:r>
            <w:proofErr w:type="spellEnd"/>
            <w:r>
              <w:rPr>
                <w:rFonts w:ascii="Times New Roman" w:eastAsia="Times New Roman" w:hAnsi="Times New Roman" w:cs="Times New Roman"/>
                <w:sz w:val="23"/>
                <w:szCs w:val="23"/>
              </w:rPr>
              <w:t xml:space="preserve"> and </w:t>
            </w:r>
            <w:proofErr w:type="spellStart"/>
            <w:r>
              <w:rPr>
                <w:rFonts w:ascii="Times New Roman" w:eastAsia="Times New Roman" w:hAnsi="Times New Roman" w:cs="Times New Roman"/>
                <w:sz w:val="23"/>
                <w:szCs w:val="23"/>
              </w:rPr>
              <w:t>entrepreneurs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working</w:t>
            </w:r>
            <w:proofErr w:type="spellEnd"/>
            <w:r>
              <w:rPr>
                <w:rFonts w:ascii="Times New Roman" w:eastAsia="Times New Roman" w:hAnsi="Times New Roman" w:cs="Times New Roman"/>
                <w:sz w:val="23"/>
                <w:szCs w:val="23"/>
              </w:rPr>
              <w:t xml:space="preserve"> on AI. To do so, </w:t>
            </w:r>
            <w:proofErr w:type="spellStart"/>
            <w:r>
              <w:rPr>
                <w:rFonts w:ascii="Times New Roman" w:eastAsia="Times New Roman" w:hAnsi="Times New Roman" w:cs="Times New Roman"/>
                <w:sz w:val="23"/>
                <w:szCs w:val="23"/>
              </w:rPr>
              <w:t>this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action</w:t>
            </w:r>
            <w:proofErr w:type="spellEnd"/>
            <w:r>
              <w:rPr>
                <w:rFonts w:ascii="Times New Roman" w:eastAsia="Times New Roman" w:hAnsi="Times New Roman" w:cs="Times New Roman"/>
                <w:sz w:val="23"/>
                <w:szCs w:val="23"/>
              </w:rPr>
              <w:t xml:space="preserve"> area </w:t>
            </w:r>
            <w:proofErr w:type="spellStart"/>
            <w:r>
              <w:rPr>
                <w:rFonts w:ascii="Times New Roman" w:eastAsia="Times New Roman" w:hAnsi="Times New Roman" w:cs="Times New Roman"/>
                <w:sz w:val="23"/>
                <w:szCs w:val="23"/>
              </w:rPr>
              <w:t>covers</w:t>
            </w:r>
            <w:proofErr w:type="spellEnd"/>
            <w:r>
              <w:rPr>
                <w:rFonts w:ascii="Times New Roman" w:eastAsia="Times New Roman" w:hAnsi="Times New Roman" w:cs="Times New Roman"/>
                <w:sz w:val="23"/>
                <w:szCs w:val="23"/>
              </w:rPr>
              <w:t xml:space="preserve"> a </w:t>
            </w:r>
            <w:proofErr w:type="spellStart"/>
            <w:r>
              <w:rPr>
                <w:rFonts w:ascii="Times New Roman" w:eastAsia="Times New Roman" w:hAnsi="Times New Roman" w:cs="Times New Roman"/>
                <w:sz w:val="23"/>
                <w:szCs w:val="23"/>
              </w:rPr>
              <w:t>wide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spectrum</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of</w:t>
            </w:r>
            <w:proofErr w:type="spellEnd"/>
            <w:r>
              <w:rPr>
                <w:rFonts w:ascii="Times New Roman" w:eastAsia="Times New Roman" w:hAnsi="Times New Roman" w:cs="Times New Roman"/>
                <w:sz w:val="23"/>
                <w:szCs w:val="23"/>
              </w:rPr>
              <w:t xml:space="preserve"> joint </w:t>
            </w:r>
            <w:proofErr w:type="spellStart"/>
            <w:r>
              <w:rPr>
                <w:rFonts w:ascii="Times New Roman" w:eastAsia="Times New Roman" w:hAnsi="Times New Roman" w:cs="Times New Roman"/>
                <w:sz w:val="23"/>
                <w:szCs w:val="23"/>
              </w:rPr>
              <w:t>actions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that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aim</w:t>
            </w:r>
            <w:proofErr w:type="spellEnd"/>
            <w:r>
              <w:rPr>
                <w:rFonts w:ascii="Times New Roman" w:eastAsia="Times New Roman" w:hAnsi="Times New Roman" w:cs="Times New Roman"/>
                <w:sz w:val="23"/>
                <w:szCs w:val="23"/>
              </w:rPr>
              <w:t xml:space="preserve"> to </w:t>
            </w:r>
            <w:proofErr w:type="spellStart"/>
            <w:r>
              <w:rPr>
                <w:rFonts w:ascii="Times New Roman" w:eastAsia="Times New Roman" w:hAnsi="Times New Roman" w:cs="Times New Roman"/>
                <w:sz w:val="23"/>
                <w:szCs w:val="23"/>
              </w:rPr>
              <w:t>cover</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the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whole</w:t>
            </w:r>
            <w:proofErr w:type="spellEnd"/>
            <w:r>
              <w:rPr>
                <w:rFonts w:ascii="Times New Roman" w:eastAsia="Times New Roman" w:hAnsi="Times New Roman" w:cs="Times New Roman"/>
                <w:sz w:val="23"/>
                <w:szCs w:val="23"/>
              </w:rPr>
              <w:t xml:space="preserve"> AI </w:t>
            </w:r>
            <w:proofErr w:type="spellStart"/>
            <w:r>
              <w:rPr>
                <w:rFonts w:ascii="Times New Roman" w:eastAsia="Times New Roman" w:hAnsi="Times New Roman" w:cs="Times New Roman"/>
                <w:sz w:val="23"/>
                <w:szCs w:val="23"/>
              </w:rPr>
              <w:t>development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life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cycle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including</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world-class</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foundational</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research</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development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deployment</w:t>
            </w:r>
            <w:proofErr w:type="spellEnd"/>
            <w:r>
              <w:rPr>
                <w:rFonts w:ascii="Times New Roman" w:eastAsia="Times New Roman" w:hAnsi="Times New Roman" w:cs="Times New Roman"/>
                <w:sz w:val="23"/>
                <w:szCs w:val="23"/>
              </w:rPr>
              <w:t xml:space="preserve"> and </w:t>
            </w:r>
            <w:proofErr w:type="spellStart"/>
            <w:r>
              <w:rPr>
                <w:rFonts w:ascii="Times New Roman" w:eastAsia="Times New Roman" w:hAnsi="Times New Roman" w:cs="Times New Roman"/>
                <w:sz w:val="23"/>
                <w:szCs w:val="23"/>
              </w:rPr>
              <w:t>commercialisation</w:t>
            </w:r>
            <w:proofErr w:type="spellEnd"/>
            <w:r>
              <w:rPr>
                <w:rFonts w:ascii="Times New Roman" w:eastAsia="Times New Roman" w:hAnsi="Times New Roman" w:cs="Times New Roman"/>
                <w:sz w:val="23"/>
                <w:szCs w:val="23"/>
              </w:rPr>
              <w:t>/</w:t>
            </w:r>
            <w:proofErr w:type="spellStart"/>
            <w:r>
              <w:rPr>
                <w:rFonts w:ascii="Times New Roman" w:eastAsia="Times New Roman" w:hAnsi="Times New Roman" w:cs="Times New Roman"/>
                <w:sz w:val="23"/>
                <w:szCs w:val="23"/>
              </w:rPr>
              <w:t>uptake</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stages</w:t>
            </w:r>
            <w:proofErr w:type="spellEnd"/>
            <w:r>
              <w:rPr>
                <w:rFonts w:ascii="Times New Roman" w:eastAsia="Times New Roman" w:hAnsi="Times New Roman" w:cs="Times New Roman"/>
                <w:sz w:val="23"/>
                <w:szCs w:val="23"/>
              </w:rPr>
              <w:t xml:space="preserve">.  </w:t>
            </w:r>
          </w:p>
          <w:p w14:paraId="00000077"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sz w:val="23"/>
                <w:szCs w:val="23"/>
              </w:rPr>
            </w:pPr>
          </w:p>
        </w:tc>
      </w:tr>
      <w:tr w:rsidR="00FB5455" w14:paraId="6ECF2227" w14:textId="77777777">
        <w:tc>
          <w:tcPr>
            <w:tcW w:w="2405" w:type="dxa"/>
          </w:tcPr>
          <w:p w14:paraId="00000078"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w:t>
            </w:r>
          </w:p>
        </w:tc>
        <w:tc>
          <w:tcPr>
            <w:tcW w:w="7223" w:type="dxa"/>
          </w:tcPr>
          <w:p w14:paraId="00000079"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Cílem plně fungujícího ekosystému je komplexní provázanost všech aktérů v systému a jejich aktivní nabídka vůči ostatním. Principem podpory je umožnit nabídku všem subjektům za účelem zvyšování digitální transformace a využití technologií. Funkční ekosysté</w:t>
            </w:r>
            <w:r>
              <w:rPr>
                <w:rFonts w:ascii="Times New Roman" w:eastAsia="Times New Roman" w:hAnsi="Times New Roman" w:cs="Times New Roman"/>
                <w:color w:val="000000"/>
                <w:sz w:val="23"/>
                <w:szCs w:val="23"/>
              </w:rPr>
              <w:t>m a zapojení všech aktérů ekosystému dále umožní přilákat odborníky z oblasti nových technologií. Zvýšení celkové digitalizace MSP bude vést k zajištění větší resistenci průmyslu vůči potenciálním dalším krizím.</w:t>
            </w:r>
          </w:p>
        </w:tc>
      </w:tr>
      <w:tr w:rsidR="00FB5455" w14:paraId="7E981599" w14:textId="77777777">
        <w:tc>
          <w:tcPr>
            <w:tcW w:w="2405" w:type="dxa"/>
          </w:tcPr>
          <w:p w14:paraId="0000007A"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Implementace</w:t>
            </w:r>
          </w:p>
        </w:tc>
        <w:tc>
          <w:tcPr>
            <w:tcW w:w="7223" w:type="dxa"/>
          </w:tcPr>
          <w:p w14:paraId="0000007B"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Jednotlivé investice budou imp</w:t>
            </w:r>
            <w:r>
              <w:rPr>
                <w:rFonts w:ascii="Times New Roman" w:eastAsia="Times New Roman" w:hAnsi="Times New Roman" w:cs="Times New Roman"/>
                <w:color w:val="000000"/>
                <w:sz w:val="23"/>
                <w:szCs w:val="23"/>
              </w:rPr>
              <w:t>lementované prostřednictvím aktérů digitálního ekosystému. Evropské centrum excelence tedy zajistí nové odborníky v digitálních technologiích, ať už formou nových vzdělávacích programů, nebo přilákáním nadějných zahraničních vědců. Testovací a experimentál</w:t>
            </w:r>
            <w:r>
              <w:rPr>
                <w:rFonts w:ascii="Times New Roman" w:eastAsia="Times New Roman" w:hAnsi="Times New Roman" w:cs="Times New Roman"/>
                <w:color w:val="000000"/>
                <w:sz w:val="23"/>
                <w:szCs w:val="23"/>
              </w:rPr>
              <w:t>ní zařízení ve spolupráci s Evropskými centry pro digitální inovace mají za úkol zvýšit povědomí o digitalizaci a poskytovat služby digitální transformace, aby převážně MSP zdigitalizovaly alespoň základní postupy.</w:t>
            </w:r>
          </w:p>
        </w:tc>
      </w:tr>
      <w:tr w:rsidR="00FB5455" w14:paraId="1151F4EB" w14:textId="77777777">
        <w:trPr>
          <w:trHeight w:val="70"/>
        </w:trPr>
        <w:tc>
          <w:tcPr>
            <w:tcW w:w="2405" w:type="dxa"/>
          </w:tcPr>
          <w:p w14:paraId="0000007C"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Spolupráce a zapojení zúčastněných stran</w:t>
            </w:r>
          </w:p>
        </w:tc>
        <w:tc>
          <w:tcPr>
            <w:tcW w:w="7223" w:type="dxa"/>
          </w:tcPr>
          <w:p w14:paraId="0000007D"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Spolupráce napříč digitálním ekosystémem je zcela stěžejní pro výše uvedené implementační cíle a pro naplnění dříve zmíněných cílů.</w:t>
            </w:r>
          </w:p>
        </w:tc>
      </w:tr>
      <w:tr w:rsidR="00FB5455" w14:paraId="0B06A2DF" w14:textId="77777777">
        <w:tc>
          <w:tcPr>
            <w:tcW w:w="2405" w:type="dxa"/>
          </w:tcPr>
          <w:p w14:paraId="0000007E"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Překážky a rizika</w:t>
            </w:r>
          </w:p>
        </w:tc>
        <w:tc>
          <w:tcPr>
            <w:tcW w:w="7223" w:type="dxa"/>
          </w:tcPr>
          <w:p w14:paraId="0000007F"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Jako hlavní rizika považujeme nedostatečný počet Evropských center pro digitální inovace, kterou proto chceme doplnit o adekvátní množství regionálně zaměřených národních center. Další velkou hrozbou v tomto ohledu je značná fragmentizace a nedostatečná od</w:t>
            </w:r>
            <w:r>
              <w:rPr>
                <w:rFonts w:ascii="Times New Roman" w:eastAsia="Times New Roman" w:hAnsi="Times New Roman" w:cs="Times New Roman"/>
                <w:color w:val="000000"/>
                <w:sz w:val="23"/>
                <w:szCs w:val="23"/>
              </w:rPr>
              <w:t>bornost jednotlivých uchazečů.</w:t>
            </w:r>
          </w:p>
        </w:tc>
      </w:tr>
      <w:tr w:rsidR="00FB5455" w14:paraId="2045BB3E" w14:textId="77777777">
        <w:tc>
          <w:tcPr>
            <w:tcW w:w="2405" w:type="dxa"/>
          </w:tcPr>
          <w:p w14:paraId="00000080"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Cílové skupiny populace a ekonomické subjekty</w:t>
            </w:r>
          </w:p>
        </w:tc>
        <w:tc>
          <w:tcPr>
            <w:tcW w:w="7223" w:type="dxa"/>
          </w:tcPr>
          <w:p w14:paraId="00000081"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Cílové skupiny jsou v tomto ohledu převážně jednotlivý aktéři digitálního ekosystému – Centra excelence, Testovací a experimentální zařízení či Evropská centra pro digitální inovace.</w:t>
            </w:r>
          </w:p>
        </w:tc>
      </w:tr>
      <w:tr w:rsidR="00FB5455" w14:paraId="4D6018D1" w14:textId="77777777">
        <w:tc>
          <w:tcPr>
            <w:tcW w:w="2405" w:type="dxa"/>
          </w:tcPr>
          <w:p w14:paraId="00000082"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Souhrnné náklady realizace financované z RRF za celé období</w:t>
            </w:r>
          </w:p>
        </w:tc>
        <w:tc>
          <w:tcPr>
            <w:tcW w:w="7223" w:type="dxa"/>
          </w:tcPr>
          <w:p w14:paraId="00000083"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600 milionů </w:t>
            </w:r>
            <w:r>
              <w:rPr>
                <w:rFonts w:ascii="Times New Roman" w:eastAsia="Times New Roman" w:hAnsi="Times New Roman" w:cs="Times New Roman"/>
                <w:color w:val="000000"/>
                <w:sz w:val="23"/>
                <w:szCs w:val="23"/>
              </w:rPr>
              <w:t xml:space="preserve">CZK. </w:t>
            </w:r>
          </w:p>
        </w:tc>
      </w:tr>
      <w:tr w:rsidR="00FB5455" w14:paraId="0FBFFA6F" w14:textId="77777777">
        <w:tc>
          <w:tcPr>
            <w:tcW w:w="2405" w:type="dxa"/>
          </w:tcPr>
          <w:p w14:paraId="00000084"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Dodržování pravidel státní podpory</w:t>
            </w:r>
          </w:p>
        </w:tc>
        <w:tc>
          <w:tcPr>
            <w:tcW w:w="7223" w:type="dxa"/>
          </w:tcPr>
          <w:p w14:paraId="00000085"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 rámci kofinancování programu Digitální Evropa jsou pravidla státní pravidla již řešena a mělo by dojít k nalezení způsobu financování všech aktérů digitálního ekosystému.</w:t>
            </w:r>
          </w:p>
        </w:tc>
      </w:tr>
      <w:tr w:rsidR="00FB5455" w14:paraId="11985111" w14:textId="77777777">
        <w:tc>
          <w:tcPr>
            <w:tcW w:w="2405" w:type="dxa"/>
          </w:tcPr>
          <w:p w14:paraId="00000086"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Uveďte dobu implementace</w:t>
            </w:r>
          </w:p>
        </w:tc>
        <w:tc>
          <w:tcPr>
            <w:tcW w:w="7223" w:type="dxa"/>
          </w:tcPr>
          <w:p w14:paraId="00000087"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Vznik celého ekosystému bude vytvořen v roce 2021, ale jeho provoz bude hrazen po celé příští víceleté finanční období.</w:t>
            </w:r>
          </w:p>
        </w:tc>
      </w:tr>
    </w:tbl>
    <w:p w14:paraId="00000088"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b/>
          <w:color w:val="000000"/>
          <w:sz w:val="23"/>
          <w:szCs w:val="23"/>
        </w:rPr>
      </w:pPr>
    </w:p>
    <w:p w14:paraId="00000089"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Programy přímé podpory digitální transformace podniků</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23"/>
      </w:tblGrid>
      <w:tr w:rsidR="00FB5455" w14:paraId="55EB0F3E" w14:textId="77777777" w:rsidTr="15851376">
        <w:tc>
          <w:tcPr>
            <w:tcW w:w="2405" w:type="dxa"/>
          </w:tcPr>
          <w:p w14:paraId="0000008A"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Výzva</w:t>
            </w:r>
          </w:p>
        </w:tc>
        <w:tc>
          <w:tcPr>
            <w:tcW w:w="7223" w:type="dxa"/>
          </w:tcPr>
          <w:p w14:paraId="0000008B"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Daná investice řeší nedostatky a mezery digitálního ekosystému ve vztahu k digitalizaci MSP.</w:t>
            </w:r>
          </w:p>
        </w:tc>
      </w:tr>
      <w:tr w:rsidR="00FB5455" w14:paraId="17AF71B4" w14:textId="77777777" w:rsidTr="15851376">
        <w:tc>
          <w:tcPr>
            <w:tcW w:w="2405" w:type="dxa"/>
          </w:tcPr>
          <w:p w14:paraId="0000008C"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w:t>
            </w:r>
          </w:p>
        </w:tc>
        <w:tc>
          <w:tcPr>
            <w:tcW w:w="7223" w:type="dxa"/>
          </w:tcPr>
          <w:p w14:paraId="0000008D"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Cílem je tedy spuštění jednotlivých projektů digitalizace výrobních i nevýrobních podniků. Zacílením na MSP docílit zvýšení digitálních procesů.</w:t>
            </w:r>
          </w:p>
        </w:tc>
      </w:tr>
      <w:tr w:rsidR="00FB5455" w14:paraId="6CD075B7" w14:textId="77777777" w:rsidTr="15851376">
        <w:tc>
          <w:tcPr>
            <w:tcW w:w="2405" w:type="dxa"/>
          </w:tcPr>
          <w:p w14:paraId="0000008E"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Implementace</w:t>
            </w:r>
          </w:p>
        </w:tc>
        <w:tc>
          <w:tcPr>
            <w:tcW w:w="7223" w:type="dxa"/>
          </w:tcPr>
          <w:p w14:paraId="0000008F"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Jednotlivé investice budou implementované prostřednictvím aktérů digitálního ekosystému. Ostatní aktéři ekosystému, jako jsou inovační centra či národní síť Center pro digitální inovace budou pomáhat při naplňování projektů digitalizace výrobních a nevýro</w:t>
            </w:r>
            <w:r>
              <w:rPr>
                <w:rFonts w:ascii="Times New Roman" w:eastAsia="Times New Roman" w:hAnsi="Times New Roman" w:cs="Times New Roman"/>
                <w:color w:val="000000"/>
                <w:sz w:val="23"/>
                <w:szCs w:val="23"/>
              </w:rPr>
              <w:t>bních podniků.</w:t>
            </w:r>
          </w:p>
        </w:tc>
      </w:tr>
      <w:tr w:rsidR="00FB5455" w14:paraId="31295524" w14:textId="77777777" w:rsidTr="15851376">
        <w:trPr>
          <w:trHeight w:val="70"/>
        </w:trPr>
        <w:tc>
          <w:tcPr>
            <w:tcW w:w="2405" w:type="dxa"/>
          </w:tcPr>
          <w:p w14:paraId="00000090"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Spolupráce a zapojení zúčastněných stran</w:t>
            </w:r>
          </w:p>
        </w:tc>
        <w:tc>
          <w:tcPr>
            <w:tcW w:w="7223" w:type="dxa"/>
          </w:tcPr>
          <w:p w14:paraId="00000091"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Spolupráce napříč digitálním ekosystémem je zcela stěžejní pro výše uvedené implementační cíle a pro naplnění dříve zmíněných cílů.</w:t>
            </w:r>
          </w:p>
        </w:tc>
      </w:tr>
      <w:tr w:rsidR="00FB5455" w14:paraId="6AA87910" w14:textId="77777777" w:rsidTr="15851376">
        <w:tc>
          <w:tcPr>
            <w:tcW w:w="2405" w:type="dxa"/>
          </w:tcPr>
          <w:p w14:paraId="00000092"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Překážky a rizika</w:t>
            </w:r>
          </w:p>
        </w:tc>
        <w:tc>
          <w:tcPr>
            <w:tcW w:w="7223" w:type="dxa"/>
          </w:tcPr>
          <w:p w14:paraId="00000093"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Jako hlavní rizika považujeme nedostatečný zájem ze strany MSP vzhledem k stávající krizi.</w:t>
            </w:r>
          </w:p>
        </w:tc>
      </w:tr>
      <w:tr w:rsidR="00FB5455" w14:paraId="76FD161B" w14:textId="77777777" w:rsidTr="15851376">
        <w:tc>
          <w:tcPr>
            <w:tcW w:w="2405" w:type="dxa"/>
          </w:tcPr>
          <w:p w14:paraId="00000094"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Cílové skupiny populace a ekonomické subjekty</w:t>
            </w:r>
          </w:p>
        </w:tc>
        <w:tc>
          <w:tcPr>
            <w:tcW w:w="7223" w:type="dxa"/>
          </w:tcPr>
          <w:p w14:paraId="00000095"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Cílové skupiny jsou v tomto ohledu převážně malé a střední podniky.</w:t>
            </w:r>
          </w:p>
        </w:tc>
      </w:tr>
      <w:tr w:rsidR="00FB5455" w14:paraId="49F0F6E8" w14:textId="77777777" w:rsidTr="15851376">
        <w:tc>
          <w:tcPr>
            <w:tcW w:w="2405" w:type="dxa"/>
          </w:tcPr>
          <w:p w14:paraId="00000096"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Souhrnné náklady realizace financované z RRF za celé období</w:t>
            </w:r>
          </w:p>
        </w:tc>
        <w:tc>
          <w:tcPr>
            <w:tcW w:w="7223" w:type="dxa"/>
          </w:tcPr>
          <w:p w14:paraId="00000097"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1 000 milionů CZK. </w:t>
            </w:r>
          </w:p>
        </w:tc>
      </w:tr>
      <w:tr w:rsidR="00FB5455" w14:paraId="04F23692" w14:textId="77777777" w:rsidTr="15851376">
        <w:tc>
          <w:tcPr>
            <w:tcW w:w="2405" w:type="dxa"/>
          </w:tcPr>
          <w:p w14:paraId="00000098"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Dodržování pravidel státní podpory</w:t>
            </w:r>
          </w:p>
        </w:tc>
        <w:tc>
          <w:tcPr>
            <w:tcW w:w="7223" w:type="dxa"/>
          </w:tcPr>
          <w:p w14:paraId="00000099"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Pravidla státní podpory budou dodržena a není potřeba uskutečňovat v tomto ohledu žádné další kroky.</w:t>
            </w:r>
          </w:p>
        </w:tc>
      </w:tr>
      <w:tr w:rsidR="00FB5455" w14:paraId="634C46FF" w14:textId="77777777" w:rsidTr="15851376">
        <w:tc>
          <w:tcPr>
            <w:tcW w:w="2405" w:type="dxa"/>
          </w:tcPr>
          <w:p w14:paraId="0000009A" w14:textId="77777777" w:rsidR="00FB5455" w:rsidRDefault="005F4671">
            <w:pPr>
              <w:pBdr>
                <w:top w:val="nil"/>
                <w:left w:val="nil"/>
                <w:bottom w:val="nil"/>
                <w:right w:val="nil"/>
                <w:between w:val="nil"/>
              </w:pBdr>
              <w:spacing w:after="12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Uveďte dobu implementace</w:t>
            </w:r>
          </w:p>
        </w:tc>
        <w:tc>
          <w:tcPr>
            <w:tcW w:w="7223" w:type="dxa"/>
          </w:tcPr>
          <w:p w14:paraId="0000009B" w14:textId="77777777" w:rsidR="00FB5455" w:rsidRDefault="15851376" w:rsidP="15851376">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sidRPr="15851376">
              <w:rPr>
                <w:rFonts w:ascii="Times New Roman" w:eastAsia="Times New Roman" w:hAnsi="Times New Roman" w:cs="Times New Roman"/>
                <w:color w:val="000000"/>
                <w:sz w:val="23"/>
                <w:szCs w:val="23"/>
              </w:rPr>
              <w:t>V současné době jsou projekty plánované na roky 2021-2022</w:t>
            </w:r>
          </w:p>
        </w:tc>
      </w:tr>
    </w:tbl>
    <w:p w14:paraId="0000009C"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
    <w:p w14:paraId="0000009D" w14:textId="77777777" w:rsidR="00FB5455" w:rsidRDefault="00FB5455">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p>
    <w:p w14:paraId="0000009E" w14:textId="77777777" w:rsidR="00FB5455" w:rsidRDefault="005F4671">
      <w:pPr>
        <w:keepNext/>
        <w:keepLines/>
        <w:pBdr>
          <w:top w:val="nil"/>
          <w:left w:val="nil"/>
          <w:bottom w:val="nil"/>
          <w:right w:val="nil"/>
          <w:between w:val="nil"/>
        </w:pBdr>
        <w:spacing w:before="80"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Zelené a digitální rozměry komponenty </w:t>
      </w:r>
    </w:p>
    <w:p w14:paraId="0000009F"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Komponenta naplňuje Digitální agendu. Její obsah je zcela v souladu s Programem Digitální Česko jako základního kamene národního digitálního plánu. Jednotlivé reformy jsou tematickým souhrnem vybraných digitálních záměrů a projektů. Investice popsané v při</w:t>
      </w:r>
      <w:r>
        <w:rPr>
          <w:rFonts w:ascii="Times New Roman" w:eastAsia="Times New Roman" w:hAnsi="Times New Roman" w:cs="Times New Roman"/>
          <w:color w:val="000000"/>
          <w:sz w:val="23"/>
          <w:szCs w:val="23"/>
        </w:rPr>
        <w:t>ložené tabulce jsou pak záměry a projekty Programu Digitální Česko.</w:t>
      </w:r>
    </w:p>
    <w:p w14:paraId="000000A0"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Komponenta dále naplňuje veškeré cíle Národní strategie umělé inteligence ČR, jejímž hlavním cílem je vybudování AI ekosystému, který je součástí digitálního ekosystému. Inovační strategie</w:t>
      </w:r>
      <w:r>
        <w:rPr>
          <w:rFonts w:ascii="Times New Roman" w:eastAsia="Times New Roman" w:hAnsi="Times New Roman" w:cs="Times New Roman"/>
          <w:color w:val="000000"/>
          <w:sz w:val="23"/>
          <w:szCs w:val="23"/>
        </w:rPr>
        <w:t xml:space="preserve"> 2019-2030 je také zásadním dokumentem, který zavádí potřebu vytvořit digitální ekosystém včetně všech důležitých aktérů, jako jsou Evropská centra pro digitální inovace, Centra excelence v AI či Testovacích a experimentálních zařízení. Je zcela evidentní,</w:t>
      </w:r>
      <w:r>
        <w:rPr>
          <w:rFonts w:ascii="Times New Roman" w:eastAsia="Times New Roman" w:hAnsi="Times New Roman" w:cs="Times New Roman"/>
          <w:color w:val="000000"/>
          <w:sz w:val="23"/>
          <w:szCs w:val="23"/>
        </w:rPr>
        <w:t xml:space="preserve"> že propojení Národního plánu obnovy v oblasti digitalizace je v souladu se všemi významnými a klíčovými dokumenty České republiky. </w:t>
      </w:r>
    </w:p>
    <w:p w14:paraId="000000A1" w14:textId="77777777" w:rsidR="00FB5455" w:rsidRDefault="005F4671">
      <w:pPr>
        <w:pBdr>
          <w:top w:val="nil"/>
          <w:left w:val="nil"/>
          <w:bottom w:val="nil"/>
          <w:right w:val="nil"/>
          <w:between w:val="nil"/>
        </w:pBdr>
        <w:spacing w:after="12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Digitalizace průmyslu by ve své podstatě měla naplňovat primárně digitální cíle, ačkoli sekundárně může ovlivnit i cíle sní</w:t>
      </w:r>
      <w:r>
        <w:rPr>
          <w:rFonts w:ascii="Times New Roman" w:eastAsia="Times New Roman" w:hAnsi="Times New Roman" w:cs="Times New Roman"/>
          <w:color w:val="000000"/>
          <w:sz w:val="23"/>
          <w:szCs w:val="23"/>
        </w:rPr>
        <w:t>žení emisí (nové technologie by měly pomoci snížit uhlíkové emise), ale také napomoci nastartovat oběhové hospodářství (využívání odpadů a recyklace).</w:t>
      </w:r>
      <w:bookmarkStart w:id="3" w:name="_GoBack"/>
      <w:bookmarkEnd w:id="3"/>
    </w:p>
    <w:sectPr w:rsidR="00FB545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61A9" w14:textId="77777777" w:rsidR="00000000" w:rsidRDefault="005F4671">
      <w:pPr>
        <w:spacing w:after="0" w:line="240" w:lineRule="auto"/>
      </w:pPr>
      <w:r>
        <w:separator/>
      </w:r>
    </w:p>
  </w:endnote>
  <w:endnote w:type="continuationSeparator" w:id="0">
    <w:p w14:paraId="1E61A440" w14:textId="77777777" w:rsidR="00000000" w:rsidRDefault="005F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B" w14:textId="77777777" w:rsidR="00FB5455" w:rsidRDefault="00FB545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D" w14:textId="77777777" w:rsidR="00FB5455" w:rsidRDefault="00FB5455">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77777777" w:rsidR="00FB5455" w:rsidRDefault="00FB545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6CCB6" w14:textId="77777777" w:rsidR="00000000" w:rsidRDefault="005F4671">
      <w:pPr>
        <w:spacing w:after="0" w:line="240" w:lineRule="auto"/>
      </w:pPr>
      <w:r>
        <w:separator/>
      </w:r>
    </w:p>
  </w:footnote>
  <w:footnote w:type="continuationSeparator" w:id="0">
    <w:p w14:paraId="3284D6B4" w14:textId="77777777" w:rsidR="00000000" w:rsidRDefault="005F4671">
      <w:pPr>
        <w:spacing w:after="0" w:line="240" w:lineRule="auto"/>
      </w:pPr>
      <w:r>
        <w:continuationSeparator/>
      </w:r>
    </w:p>
  </w:footnote>
  <w:footnote w:id="1">
    <w:p w14:paraId="000000D7" w14:textId="77777777" w:rsidR="00FB5455" w:rsidRDefault="005F467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Včetně klasifikace COFOG (výdaje vládního sektoru podle funkce).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9" w14:textId="77777777" w:rsidR="00FB5455" w:rsidRDefault="00FB545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8" w14:textId="77777777" w:rsidR="00FB5455" w:rsidRDefault="00FB5455">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A" w14:textId="77777777" w:rsidR="00FB5455" w:rsidRDefault="00FB545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44A46"/>
    <w:multiLevelType w:val="multilevel"/>
    <w:tmpl w:val="5B788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ED5FC2"/>
    <w:multiLevelType w:val="multilevel"/>
    <w:tmpl w:val="D9284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C872A9"/>
    <w:multiLevelType w:val="multilevel"/>
    <w:tmpl w:val="3AAAE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E61976"/>
    <w:multiLevelType w:val="multilevel"/>
    <w:tmpl w:val="15A6D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ED4178"/>
    <w:multiLevelType w:val="multilevel"/>
    <w:tmpl w:val="94D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58730B"/>
    <w:multiLevelType w:val="multilevel"/>
    <w:tmpl w:val="553A25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0018C0"/>
    <w:multiLevelType w:val="multilevel"/>
    <w:tmpl w:val="8294F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2B9652"/>
    <w:rsid w:val="005F4671"/>
    <w:rsid w:val="00FB5455"/>
    <w:rsid w:val="08B04DB0"/>
    <w:rsid w:val="0A2B9652"/>
    <w:rsid w:val="127A7036"/>
    <w:rsid w:val="128C413F"/>
    <w:rsid w:val="15851376"/>
    <w:rsid w:val="1F095B58"/>
    <w:rsid w:val="29034836"/>
    <w:rsid w:val="380E9DA4"/>
    <w:rsid w:val="3D67FF39"/>
    <w:rsid w:val="61A18B19"/>
    <w:rsid w:val="6901B421"/>
    <w:rsid w:val="6ECC0782"/>
    <w:rsid w:val="7F7D33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8BD7"/>
  <w15:docId w15:val="{18ED51BA-AE9C-4AB8-97F2-88C6A8DF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9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160" w:after="0"/>
      <w:outlineLvl w:val="0"/>
    </w:pPr>
    <w:rPr>
      <w:b/>
      <w:sz w:val="28"/>
      <w:szCs w:val="28"/>
    </w:rPr>
  </w:style>
  <w:style w:type="paragraph" w:styleId="Nadpis2">
    <w:name w:val="heading 2"/>
    <w:basedOn w:val="Normln"/>
    <w:next w:val="Normln"/>
    <w:uiPriority w:val="9"/>
    <w:unhideWhenUsed/>
    <w:qFormat/>
    <w:pPr>
      <w:keepNext/>
      <w:keepLines/>
      <w:spacing w:before="80" w:after="0"/>
      <w:outlineLvl w:val="1"/>
    </w:pPr>
    <w:rPr>
      <w:b/>
      <w:sz w:val="26"/>
      <w:szCs w:val="26"/>
    </w:rPr>
  </w:style>
  <w:style w:type="paragraph" w:styleId="Nadpis3">
    <w:name w:val="heading 3"/>
    <w:basedOn w:val="Normln"/>
    <w:next w:val="Normln"/>
    <w:uiPriority w:val="9"/>
    <w:semiHidden/>
    <w:unhideWhenUsed/>
    <w:qFormat/>
    <w:pPr>
      <w:keepNext/>
      <w:keepLines/>
      <w:spacing w:before="40" w:after="0"/>
      <w:outlineLvl w:val="2"/>
    </w:pPr>
    <w:rPr>
      <w:b/>
      <w:sz w:val="24"/>
      <w:szCs w:val="24"/>
    </w:rPr>
  </w:style>
  <w:style w:type="paragraph" w:styleId="Nadpis4">
    <w:name w:val="heading 4"/>
    <w:basedOn w:val="Normln"/>
    <w:next w:val="Normln"/>
    <w:uiPriority w:val="9"/>
    <w:semiHidden/>
    <w:unhideWhenUsed/>
    <w:qFormat/>
    <w:pPr>
      <w:keepNext/>
      <w:keepLines/>
      <w:spacing w:before="40" w:after="0"/>
      <w:outlineLvl w:val="3"/>
    </w:pPr>
    <w:rPr>
      <w:i/>
      <w:sz w:val="24"/>
      <w:szCs w:val="24"/>
    </w:rPr>
  </w:style>
  <w:style w:type="paragraph" w:styleId="Nadpis5">
    <w:name w:val="heading 5"/>
    <w:basedOn w:val="Normln"/>
    <w:next w:val="Normln"/>
    <w:uiPriority w:val="9"/>
    <w:semiHidden/>
    <w:unhideWhenUsed/>
    <w:qFormat/>
    <w:pPr>
      <w:keepNext/>
      <w:keepLines/>
      <w:spacing w:before="40" w:after="0"/>
      <w:outlineLvl w:val="4"/>
    </w:pPr>
    <w:rPr>
      <w:b/>
    </w:rPr>
  </w:style>
  <w:style w:type="paragraph" w:styleId="Nadpis6">
    <w:name w:val="heading 6"/>
    <w:basedOn w:val="Normln"/>
    <w:next w:val="Normln"/>
    <w:uiPriority w:val="9"/>
    <w:semiHidden/>
    <w:unhideWhenUsed/>
    <w:qFormat/>
    <w:pPr>
      <w:keepNext/>
      <w:keepLines/>
      <w:spacing w:before="40" w:after="0"/>
      <w:outlineLvl w:val="5"/>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0" w:line="240" w:lineRule="auto"/>
    </w:pPr>
    <w:rPr>
      <w:sz w:val="48"/>
      <w:szCs w:val="48"/>
    </w:rPr>
  </w:style>
  <w:style w:type="paragraph" w:styleId="Podnadpis">
    <w:name w:val="Subtitle"/>
    <w:basedOn w:val="Normln"/>
    <w:next w:val="Normln"/>
    <w:uiPriority w:val="11"/>
    <w:qFormat/>
    <w:rPr>
      <w:color w:val="595959"/>
      <w:sz w:val="28"/>
      <w:szCs w:val="28"/>
    </w:rPr>
  </w:style>
  <w:style w:type="table" w:customStyle="1" w:styleId="a">
    <w:basedOn w:val="Normlntabulka"/>
    <w:pPr>
      <w:spacing w:after="0" w:line="240" w:lineRule="auto"/>
    </w:pPr>
    <w:tblPr>
      <w:tblStyleRowBandSize w:val="1"/>
      <w:tblStyleColBandSize w:val="1"/>
    </w:tblPr>
  </w:style>
  <w:style w:type="table" w:customStyle="1" w:styleId="a0">
    <w:basedOn w:val="Normlntabulka"/>
    <w:pPr>
      <w:spacing w:after="0" w:line="240" w:lineRule="auto"/>
    </w:pPr>
    <w:tblPr>
      <w:tblStyleRowBandSize w:val="1"/>
      <w:tblStyleColBandSize w:val="1"/>
    </w:tblPr>
  </w:style>
  <w:style w:type="table" w:customStyle="1" w:styleId="a1">
    <w:basedOn w:val="Normlntabulka"/>
    <w:pPr>
      <w:spacing w:after="0" w:line="240" w:lineRule="auto"/>
    </w:pPr>
    <w:tblPr>
      <w:tblStyleRowBandSize w:val="1"/>
      <w:tblStyleColBandSize w:val="1"/>
    </w:tblPr>
  </w:style>
  <w:style w:type="table" w:customStyle="1" w:styleId="a2">
    <w:basedOn w:val="Normlntabulk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668E3FACC0A4D909754AED2896FA5" ma:contentTypeVersion="4" ma:contentTypeDescription="Create a new document." ma:contentTypeScope="" ma:versionID="d09e5e8d2d843d56a19be278af32c8de">
  <xsd:schema xmlns:xsd="http://www.w3.org/2001/XMLSchema" xmlns:xs="http://www.w3.org/2001/XMLSchema" xmlns:p="http://schemas.microsoft.com/office/2006/metadata/properties" xmlns:ns2="c901dcab-5c60-4e8e-adc9-0c7b361f0e15" targetNamespace="http://schemas.microsoft.com/office/2006/metadata/properties" ma:root="true" ma:fieldsID="b7c5ed750063c98ef4580abdd40d8a25"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2D7DA-6A54-4969-8F56-5B0627D13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DDC98-21FC-4D78-8BC9-17D5EE34611F}">
  <ds:schemaRefs>
    <ds:schemaRef ds:uri="http://schemas.microsoft.com/sharepoint/v3/contenttype/forms"/>
  </ds:schemaRefs>
</ds:datastoreItem>
</file>

<file path=customXml/itemProps3.xml><?xml version="1.0" encoding="utf-8"?>
<ds:datastoreItem xmlns:ds="http://schemas.openxmlformats.org/officeDocument/2006/customXml" ds:itemID="{DEE2FA51-D8C0-4FA9-A92A-C1512E0D1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C28F97BB.dotm</Template>
  <TotalTime>0</TotalTime>
  <Pages>9</Pages>
  <Words>3619</Words>
  <Characters>21356</Characters>
  <Application>Microsoft Office Word</Application>
  <DocSecurity>0</DocSecurity>
  <Lines>177</Lines>
  <Paragraphs>49</Paragraphs>
  <ScaleCrop>false</ScaleCrop>
  <Company>Ministerstvo průmyslu a obchodu</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Hronza Martin</cp:lastModifiedBy>
  <cp:revision>2</cp:revision>
  <dcterms:created xsi:type="dcterms:W3CDTF">2021-01-28T12:08:00Z</dcterms:created>
  <dcterms:modified xsi:type="dcterms:W3CDTF">2021-01-28T12:08:00Z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