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B8E7" w14:textId="77777777" w:rsidR="002C20CF" w:rsidRPr="00832EC4" w:rsidRDefault="00154B73" w:rsidP="00154B73">
      <w:pPr>
        <w:pStyle w:val="K-Nadpis1"/>
      </w:pPr>
      <w:r w:rsidRPr="00832EC4">
        <w:t>1.1 Digitální služby občanům a firmám (MV)</w:t>
      </w:r>
      <w:r w:rsidR="002C20CF" w:rsidRPr="00832EC4">
        <w:t xml:space="preserve"> </w:t>
      </w:r>
    </w:p>
    <w:p w14:paraId="39293E13" w14:textId="77777777" w:rsidR="002C20CF" w:rsidRPr="00832EC4" w:rsidRDefault="002C20CF" w:rsidP="002C4FCC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832EC4">
        <w:rPr>
          <w:rStyle w:val="K-Nadpis2Char"/>
          <w:b/>
        </w:rPr>
        <w:t xml:space="preserve">1. </w:t>
      </w:r>
      <w:r w:rsidR="00EF374D" w:rsidRPr="00832EC4">
        <w:rPr>
          <w:rStyle w:val="K-Nadpis2Char"/>
          <w:b/>
        </w:rPr>
        <w:t>Popis</w:t>
      </w:r>
      <w:r w:rsidRPr="00832EC4">
        <w:rPr>
          <w:rStyle w:val="K-Nadpis2Char"/>
          <w:b/>
        </w:rPr>
        <w:t xml:space="preserve"> </w:t>
      </w:r>
      <w:r w:rsidR="00EF374D" w:rsidRPr="00832EC4">
        <w:rPr>
          <w:rStyle w:val="K-Nadpis2Char"/>
          <w:b/>
        </w:rPr>
        <w:t>komponenty</w:t>
      </w:r>
    </w:p>
    <w:p w14:paraId="7E3F35AA" w14:textId="77777777" w:rsidR="002C20CF" w:rsidRPr="00832EC4" w:rsidRDefault="00EF374D" w:rsidP="00CE05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bCs/>
          <w:sz w:val="23"/>
          <w:szCs w:val="23"/>
        </w:rPr>
      </w:pPr>
      <w:r w:rsidRPr="00832EC4">
        <w:rPr>
          <w:rStyle w:val="K-TabulkaChar"/>
        </w:rPr>
        <w:t xml:space="preserve">Souhrnný box </w:t>
      </w:r>
      <w:r w:rsidR="0091766D" w:rsidRPr="00832EC4">
        <w:rPr>
          <w:rStyle w:val="K-TabulkaChar"/>
        </w:rPr>
        <w:t xml:space="preserve">pro </w:t>
      </w:r>
      <w:r w:rsidR="00154B73" w:rsidRPr="00832EC4">
        <w:rPr>
          <w:rStyle w:val="K-TabulkaChar"/>
        </w:rPr>
        <w:t>komponentu 1.1 Digitální služby občanům a firmám</w:t>
      </w:r>
      <w:r w:rsidR="002C20CF" w:rsidRPr="00832EC4">
        <w:rPr>
          <w:rStyle w:val="K-TabulkaChar"/>
        </w:rPr>
        <w:t xml:space="preserve"> </w:t>
      </w:r>
    </w:p>
    <w:p w14:paraId="59FAC7FF" w14:textId="77777777" w:rsidR="00EF374D" w:rsidRPr="00DC7573" w:rsidRDefault="00EF374D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832EC4">
        <w:rPr>
          <w:rStyle w:val="K-TextChar"/>
          <w:b/>
        </w:rPr>
        <w:t>Oblast politiky/obor zájmu:</w:t>
      </w:r>
      <w:r w:rsidR="0015052B" w:rsidRPr="00832EC4">
        <w:rPr>
          <w:rStyle w:val="K-TextChar"/>
          <w:b/>
        </w:rPr>
        <w:t xml:space="preserve"> </w:t>
      </w:r>
      <w:r w:rsidR="0015052B" w:rsidRPr="00D57D8D">
        <w:rPr>
          <w:rStyle w:val="K-TextInfoChar"/>
          <w:i w:val="0"/>
          <w:iCs w:val="0"/>
          <w:color w:val="000000" w:themeColor="text1"/>
        </w:rPr>
        <w:t>Digital;</w:t>
      </w:r>
      <w:r w:rsidR="0015052B" w:rsidRPr="00832EC4">
        <w:rPr>
          <w:rStyle w:val="K-TextInfoChar"/>
          <w:color w:val="000000" w:themeColor="text1"/>
        </w:rPr>
        <w:t xml:space="preserve"> </w:t>
      </w:r>
      <w:r w:rsidR="00A87B13" w:rsidRPr="00832EC4">
        <w:rPr>
          <w:rStyle w:val="K-TextChar"/>
          <w:b/>
          <w:color w:val="000000" w:themeColor="text1"/>
        </w:rPr>
        <w:t xml:space="preserve"> </w:t>
      </w:r>
    </w:p>
    <w:p w14:paraId="04D76A9D" w14:textId="77777777" w:rsidR="00EF374D" w:rsidRPr="00083C4E" w:rsidRDefault="00EF374D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b/>
        </w:rPr>
      </w:pPr>
      <w:r w:rsidRPr="00083C4E">
        <w:rPr>
          <w:rStyle w:val="K-TextChar"/>
          <w:b/>
        </w:rPr>
        <w:t>Cíl:</w:t>
      </w:r>
      <w:r w:rsidR="00095EBD" w:rsidRPr="00083C4E">
        <w:rPr>
          <w:rStyle w:val="K-TextChar"/>
          <w:b/>
        </w:rPr>
        <w:t xml:space="preserve"> </w:t>
      </w:r>
    </w:p>
    <w:p w14:paraId="5721CEDE" w14:textId="4422C1F9" w:rsidR="00D34A78" w:rsidRPr="00083C4E" w:rsidRDefault="00D34A78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083C4E">
        <w:rPr>
          <w:iCs/>
          <w:sz w:val="23"/>
          <w:szCs w:val="23"/>
        </w:rPr>
        <w:t xml:space="preserve">Digitalizovat jednotlivé agendy vykonávané státem (a zdravotnictvím jako komplexním oborem ekonomiky státu, který min. parciálně řízen prostřednictvím státu) a postupně tyto agendy řetězit do životních situací řešených z jednoho místa pod jedním přihlášením a v identickém rozhraní, a to především prostřednictvím </w:t>
      </w:r>
      <w:r w:rsidR="00581A1D" w:rsidRPr="00083C4E">
        <w:rPr>
          <w:iCs/>
          <w:sz w:val="23"/>
          <w:szCs w:val="23"/>
        </w:rPr>
        <w:t>federovaných</w:t>
      </w:r>
      <w:r w:rsidRPr="00083C4E">
        <w:rPr>
          <w:iCs/>
          <w:sz w:val="23"/>
          <w:szCs w:val="23"/>
        </w:rPr>
        <w:t xml:space="preserve"> portálů (Portál veřejné správy, Portál občana, Portál podnikatele, …). </w:t>
      </w:r>
      <w:r w:rsidRPr="00EB0E85">
        <w:rPr>
          <w:iCs/>
          <w:sz w:val="23"/>
          <w:szCs w:val="23"/>
        </w:rPr>
        <w:t>Zároveň poskytnout občanům a podnikatelským subjektům přístup k co možná nejvyššímu objemu dat produkovaných v rámci státní a veřejné správy</w:t>
      </w:r>
      <w:r w:rsidR="00311347" w:rsidRPr="00EB0E85">
        <w:rPr>
          <w:iCs/>
          <w:sz w:val="23"/>
          <w:szCs w:val="23"/>
        </w:rPr>
        <w:t>,</w:t>
      </w:r>
      <w:r w:rsidR="00152790" w:rsidRPr="00EB0E85">
        <w:rPr>
          <w:iCs/>
          <w:sz w:val="23"/>
          <w:szCs w:val="23"/>
        </w:rPr>
        <w:t xml:space="preserve"> a to včetně </w:t>
      </w:r>
      <w:r w:rsidR="003D79AE" w:rsidRPr="00EB0E85">
        <w:rPr>
          <w:iCs/>
          <w:sz w:val="23"/>
          <w:szCs w:val="23"/>
        </w:rPr>
        <w:t xml:space="preserve">neveřejných dat přístupných kvalifikovaným subjektům pomocí řízeného přístupu </w:t>
      </w:r>
      <w:r w:rsidR="00727FEE" w:rsidRPr="00EB0E85">
        <w:rPr>
          <w:iCs/>
          <w:sz w:val="23"/>
          <w:szCs w:val="23"/>
        </w:rPr>
        <w:t xml:space="preserve">při zachování principů </w:t>
      </w:r>
      <w:r w:rsidR="003D79AE" w:rsidRPr="00EB0E85">
        <w:rPr>
          <w:iCs/>
          <w:sz w:val="23"/>
          <w:szCs w:val="23"/>
        </w:rPr>
        <w:t xml:space="preserve">bezpečnosti, </w:t>
      </w:r>
      <w:r w:rsidR="00727FEE" w:rsidRPr="00EB0E85">
        <w:rPr>
          <w:iCs/>
          <w:sz w:val="23"/>
          <w:szCs w:val="23"/>
        </w:rPr>
        <w:t>ochrany osobních údajů</w:t>
      </w:r>
      <w:r w:rsidR="003D79AE" w:rsidRPr="00EB0E85">
        <w:rPr>
          <w:iCs/>
          <w:sz w:val="23"/>
          <w:szCs w:val="23"/>
        </w:rPr>
        <w:t>, ochrany autorských práv apod</w:t>
      </w:r>
      <w:r w:rsidRPr="00EB0E85">
        <w:rPr>
          <w:iCs/>
          <w:sz w:val="23"/>
          <w:szCs w:val="23"/>
        </w:rPr>
        <w:t>.</w:t>
      </w:r>
      <w:r w:rsidR="00015452" w:rsidRPr="00EB0E85">
        <w:rPr>
          <w:iCs/>
          <w:sz w:val="23"/>
          <w:szCs w:val="23"/>
        </w:rPr>
        <w:t xml:space="preserve"> V neposlední řadě vzniknou v rámci tohoto cíle komplexní závazná pravidla pro správu dat institucemi státní a veřejné správy.</w:t>
      </w:r>
      <w:r w:rsidRPr="00EB0E85">
        <w:rPr>
          <w:iCs/>
          <w:sz w:val="23"/>
          <w:szCs w:val="23"/>
        </w:rPr>
        <w:t xml:space="preserve"> Tento cíl má generovat roční úsporu na straně klientů ve výši 25 mld. Kč ročné (občané a podnikatelé). Cíl dále zvyšuje odolnost ČR především v oblasti dostupnosti služeb státu při mimořádných událostech a je v souladu s doporučeními EU pro r. 2019-2021 především v oblastech digitální transformace a infrastruktury a snižování administrativní zátěže.</w:t>
      </w:r>
      <w:r w:rsidR="00D23997" w:rsidRPr="00EB0E85">
        <w:rPr>
          <w:iCs/>
          <w:sz w:val="23"/>
          <w:szCs w:val="23"/>
        </w:rPr>
        <w:t xml:space="preserve"> Cíl zároveň posiluje </w:t>
      </w:r>
      <w:r w:rsidR="00A70DDE" w:rsidRPr="00EB0E85">
        <w:rPr>
          <w:iCs/>
          <w:sz w:val="23"/>
          <w:szCs w:val="23"/>
        </w:rPr>
        <w:t xml:space="preserve">schopnosti a </w:t>
      </w:r>
      <w:r w:rsidR="00D23997" w:rsidRPr="00EB0E85">
        <w:rPr>
          <w:iCs/>
          <w:sz w:val="23"/>
          <w:szCs w:val="23"/>
        </w:rPr>
        <w:t>možnosti</w:t>
      </w:r>
      <w:r w:rsidR="00A70DDE" w:rsidRPr="00EB0E85">
        <w:rPr>
          <w:iCs/>
          <w:sz w:val="23"/>
          <w:szCs w:val="23"/>
        </w:rPr>
        <w:t xml:space="preserve"> evidence </w:t>
      </w:r>
      <w:proofErr w:type="spellStart"/>
      <w:r w:rsidR="00A70DDE" w:rsidRPr="00EB0E85">
        <w:rPr>
          <w:iCs/>
          <w:sz w:val="23"/>
          <w:szCs w:val="23"/>
        </w:rPr>
        <w:t>based</w:t>
      </w:r>
      <w:proofErr w:type="spellEnd"/>
      <w:r w:rsidR="00A70DDE" w:rsidRPr="00EB0E85">
        <w:rPr>
          <w:iCs/>
          <w:sz w:val="23"/>
          <w:szCs w:val="23"/>
        </w:rPr>
        <w:t xml:space="preserve"> </w:t>
      </w:r>
      <w:proofErr w:type="spellStart"/>
      <w:r w:rsidR="00A70DDE" w:rsidRPr="00EB0E85">
        <w:rPr>
          <w:iCs/>
          <w:sz w:val="23"/>
          <w:szCs w:val="23"/>
        </w:rPr>
        <w:t>government</w:t>
      </w:r>
      <w:proofErr w:type="spellEnd"/>
      <w:r w:rsidR="00A70DDE" w:rsidRPr="00EB0E85">
        <w:rPr>
          <w:iCs/>
          <w:sz w:val="23"/>
          <w:szCs w:val="23"/>
        </w:rPr>
        <w:t xml:space="preserve"> </w:t>
      </w:r>
      <w:proofErr w:type="spellStart"/>
      <w:r w:rsidR="00A70DDE" w:rsidRPr="00EB0E85">
        <w:rPr>
          <w:iCs/>
          <w:sz w:val="23"/>
          <w:szCs w:val="23"/>
        </w:rPr>
        <w:t>policy</w:t>
      </w:r>
      <w:proofErr w:type="spellEnd"/>
      <w:r w:rsidR="004F5A1F" w:rsidRPr="00EB0E85">
        <w:rPr>
          <w:iCs/>
          <w:sz w:val="23"/>
          <w:szCs w:val="23"/>
        </w:rPr>
        <w:t>.</w:t>
      </w:r>
      <w:r w:rsidR="00D23997" w:rsidRPr="00083C4E">
        <w:rPr>
          <w:iCs/>
          <w:sz w:val="23"/>
          <w:szCs w:val="23"/>
        </w:rPr>
        <w:t xml:space="preserve"> </w:t>
      </w:r>
    </w:p>
    <w:p w14:paraId="4709FF94" w14:textId="77777777" w:rsidR="00EF374D" w:rsidRPr="00DC7573" w:rsidRDefault="00EF374D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b/>
        </w:rPr>
      </w:pPr>
      <w:r w:rsidRPr="00083C4E">
        <w:rPr>
          <w:rStyle w:val="K-TextChar"/>
          <w:b/>
        </w:rPr>
        <w:t>Reformy a/nebo investice</w:t>
      </w:r>
      <w:r w:rsidRPr="00832EC4">
        <w:rPr>
          <w:rStyle w:val="K-TextChar"/>
          <w:b/>
          <w:vertAlign w:val="superscript"/>
        </w:rPr>
        <w:footnoteReference w:id="2"/>
      </w:r>
      <w:r w:rsidRPr="00832EC4">
        <w:rPr>
          <w:rStyle w:val="K-TextChar"/>
          <w:b/>
        </w:rPr>
        <w:t>:</w:t>
      </w:r>
      <w:r w:rsidR="00095EBD" w:rsidRPr="00832EC4">
        <w:rPr>
          <w:rStyle w:val="K-TextChar"/>
          <w:b/>
        </w:rPr>
        <w:t xml:space="preserve"> </w:t>
      </w:r>
    </w:p>
    <w:p w14:paraId="659E9DF1" w14:textId="77777777" w:rsidR="00603DA9" w:rsidRPr="00083C4E" w:rsidRDefault="00603DA9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083C4E">
        <w:rPr>
          <w:rStyle w:val="K-TextChar"/>
        </w:rPr>
        <w:t>1. Digitální služby pro koncové uživatele</w:t>
      </w:r>
    </w:p>
    <w:p w14:paraId="111E03D7" w14:textId="77777777" w:rsidR="0074658B" w:rsidRPr="00083C4E" w:rsidRDefault="00B0620D" w:rsidP="001055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083C4E">
        <w:rPr>
          <w:rStyle w:val="K-TextChar"/>
        </w:rPr>
        <w:t xml:space="preserve">Reforma představuje především vývoj nových a úpravy stávajících </w:t>
      </w:r>
      <w:r w:rsidR="001055B8" w:rsidRPr="00083C4E">
        <w:rPr>
          <w:rStyle w:val="K-TextChar"/>
        </w:rPr>
        <w:t>digitálních služeb realizovaných</w:t>
      </w:r>
      <w:r w:rsidRPr="00083C4E">
        <w:rPr>
          <w:rStyle w:val="K-TextChar"/>
        </w:rPr>
        <w:t xml:space="preserve"> centrálními úřady </w:t>
      </w:r>
      <w:r w:rsidR="001055B8" w:rsidRPr="00083C4E">
        <w:rPr>
          <w:rStyle w:val="K-TextChar"/>
        </w:rPr>
        <w:t xml:space="preserve">příp. jimi zřizovanými institucemi tak, aby byly přímo dostupné koncovým uživatelům z řad široké občanské i podnikatelské veřejnosti případně aby by bylo možné tyto služby </w:t>
      </w:r>
      <w:r w:rsidR="00581A1D" w:rsidRPr="00083C4E">
        <w:rPr>
          <w:rStyle w:val="K-TextChar"/>
        </w:rPr>
        <w:t xml:space="preserve">realizovat tyto služby digitálně v rámci </w:t>
      </w:r>
      <w:proofErr w:type="spellStart"/>
      <w:r w:rsidR="00581A1D" w:rsidRPr="00083C4E">
        <w:rPr>
          <w:rStyle w:val="K-TextChar"/>
        </w:rPr>
        <w:t>omnichannelu</w:t>
      </w:r>
      <w:proofErr w:type="spellEnd"/>
      <w:r w:rsidR="00581A1D" w:rsidRPr="00083C4E">
        <w:rPr>
          <w:rStyle w:val="K-TextChar"/>
        </w:rPr>
        <w:t xml:space="preserve"> digitálních služeb státu. </w:t>
      </w:r>
    </w:p>
    <w:p w14:paraId="4786080D" w14:textId="77777777" w:rsidR="0045097C" w:rsidRPr="00083C4E" w:rsidRDefault="38295755" w:rsidP="00673B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083C4E">
        <w:rPr>
          <w:rStyle w:val="K-TextChar"/>
        </w:rPr>
        <w:t>Zároveň</w:t>
      </w:r>
      <w:r w:rsidR="004A04A0" w:rsidRPr="00083C4E">
        <w:rPr>
          <w:rStyle w:val="K-TextChar"/>
        </w:rPr>
        <w:t xml:space="preserve"> se zaměřuje na rozvoj stávajících (např. Portál veřejné správy, Portál občana) a nasazení nových (např. Portál podnikatele) </w:t>
      </w:r>
      <w:r w:rsidR="00581A1D" w:rsidRPr="00083C4E">
        <w:rPr>
          <w:rStyle w:val="K-TextChar"/>
        </w:rPr>
        <w:t>federovaných</w:t>
      </w:r>
      <w:r w:rsidR="004A04A0" w:rsidRPr="00083C4E">
        <w:rPr>
          <w:rStyle w:val="K-TextChar"/>
        </w:rPr>
        <w:t xml:space="preserve"> portálů a na ně návazných </w:t>
      </w:r>
      <w:r w:rsidR="00581A1D" w:rsidRPr="00083C4E">
        <w:rPr>
          <w:rStyle w:val="K-TextChar"/>
        </w:rPr>
        <w:t>agendových a lokálních</w:t>
      </w:r>
      <w:r w:rsidR="004A04A0" w:rsidRPr="00083C4E">
        <w:rPr>
          <w:rStyle w:val="K-TextChar"/>
        </w:rPr>
        <w:t xml:space="preserve"> portálů jednotlivých ministerstev příp. dalších veřejných institucí. </w:t>
      </w:r>
      <w:r w:rsidR="7067A622" w:rsidRPr="00083C4E">
        <w:rPr>
          <w:rStyle w:val="K-TextChar"/>
        </w:rPr>
        <w:t>V</w:t>
      </w:r>
      <w:r w:rsidR="004A04A0" w:rsidRPr="00083C4E">
        <w:rPr>
          <w:rStyle w:val="K-TextChar"/>
        </w:rPr>
        <w:t xml:space="preserve"> </w:t>
      </w:r>
      <w:r w:rsidR="7067A622" w:rsidRPr="00083C4E">
        <w:rPr>
          <w:rStyle w:val="K-TextChar"/>
        </w:rPr>
        <w:t>rámci reformy dojde</w:t>
      </w:r>
      <w:r w:rsidR="004A04A0" w:rsidRPr="00083C4E">
        <w:rPr>
          <w:rStyle w:val="K-TextChar"/>
        </w:rPr>
        <w:t xml:space="preserve"> i </w:t>
      </w:r>
      <w:r w:rsidR="7067A622" w:rsidRPr="00083C4E">
        <w:rPr>
          <w:rStyle w:val="K-TextChar"/>
        </w:rPr>
        <w:t xml:space="preserve">k </w:t>
      </w:r>
      <w:r w:rsidR="004A04A0" w:rsidRPr="00083C4E">
        <w:rPr>
          <w:rStyle w:val="K-TextChar"/>
        </w:rPr>
        <w:t>úprav</w:t>
      </w:r>
      <w:r w:rsidR="7002DC97" w:rsidRPr="00083C4E">
        <w:rPr>
          <w:rStyle w:val="K-TextChar"/>
        </w:rPr>
        <w:t>ám</w:t>
      </w:r>
      <w:r w:rsidR="004A04A0" w:rsidRPr="00083C4E">
        <w:rPr>
          <w:rStyle w:val="K-TextChar"/>
        </w:rPr>
        <w:t xml:space="preserve"> stávajících, vývoj</w:t>
      </w:r>
      <w:r w:rsidR="2E46775A" w:rsidRPr="00083C4E">
        <w:rPr>
          <w:rStyle w:val="K-TextChar"/>
        </w:rPr>
        <w:t>i</w:t>
      </w:r>
      <w:r w:rsidR="004A04A0" w:rsidRPr="00083C4E">
        <w:rPr>
          <w:rStyle w:val="K-TextChar"/>
        </w:rPr>
        <w:t xml:space="preserve"> a nasazení nových centrálních informačních systémů, které poskytují služby pro podnikatele a občany především prostřednictvím portálových komponent a na portálech publikovaných uživatelskými daty předvyplněných formulářů</w:t>
      </w:r>
      <w:r w:rsidR="266CC117" w:rsidRPr="00083C4E">
        <w:rPr>
          <w:rStyle w:val="K-TextChar"/>
        </w:rPr>
        <w:t>.</w:t>
      </w:r>
    </w:p>
    <w:p w14:paraId="7BEFB65B" w14:textId="77777777" w:rsidR="35DF13F8" w:rsidRPr="00832EC4" w:rsidRDefault="35DF13F8" w:rsidP="00673B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083C4E">
        <w:rPr>
          <w:rStyle w:val="K-TextChar"/>
        </w:rPr>
        <w:t xml:space="preserve">Dále se reforma zaměřuje i na podporu </w:t>
      </w:r>
      <w:r w:rsidR="391C6E61" w:rsidRPr="00083C4E">
        <w:rPr>
          <w:rStyle w:val="K-TextChar"/>
        </w:rPr>
        <w:t xml:space="preserve">turistického ruchu. Na tuto oblast jsou </w:t>
      </w:r>
      <w:r w:rsidR="1DD44378" w:rsidRPr="00083C4E">
        <w:rPr>
          <w:rStyle w:val="K-TextChar"/>
        </w:rPr>
        <w:t xml:space="preserve">primárně </w:t>
      </w:r>
      <w:r w:rsidR="391C6E61" w:rsidRPr="00083C4E">
        <w:rPr>
          <w:rStyle w:val="K-TextChar"/>
        </w:rPr>
        <w:t xml:space="preserve">zaměřeny </w:t>
      </w:r>
      <w:r w:rsidR="4B4EFDA7" w:rsidRPr="00083C4E">
        <w:rPr>
          <w:rStyle w:val="K-TextChar"/>
        </w:rPr>
        <w:t>2</w:t>
      </w:r>
      <w:r w:rsidR="391C6E61" w:rsidRPr="00083C4E">
        <w:rPr>
          <w:rStyle w:val="K-TextChar"/>
        </w:rPr>
        <w:t xml:space="preserve"> projekty, které přispívají k digitalizaci místních poplatků, </w:t>
      </w:r>
      <w:r w:rsidR="7FDCEBAD" w:rsidRPr="00083C4E">
        <w:rPr>
          <w:rStyle w:val="K-TextChar"/>
        </w:rPr>
        <w:t xml:space="preserve">rozvoji a nasazení zcela nových a pro koncové uživatele, velmi atraktivních služeb na portálu </w:t>
      </w:r>
      <w:hyperlink r:id="rId11">
        <w:r w:rsidR="7FDCEBAD" w:rsidRPr="00832EC4">
          <w:rPr>
            <w:rStyle w:val="Hypertextovodkaz"/>
          </w:rPr>
          <w:t>www.kudyznudy.cz</w:t>
        </w:r>
      </w:hyperlink>
      <w:r w:rsidR="0CD3B557" w:rsidRPr="00832EC4">
        <w:t>.</w:t>
      </w:r>
    </w:p>
    <w:p w14:paraId="3633C6E2" w14:textId="77777777" w:rsidR="00603DA9" w:rsidRPr="00083C4E" w:rsidRDefault="20488E58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083C4E">
        <w:rPr>
          <w:rStyle w:val="K-TextChar"/>
        </w:rPr>
        <w:t>2</w:t>
      </w:r>
      <w:r w:rsidR="00603DA9" w:rsidRPr="00083C4E">
        <w:rPr>
          <w:rStyle w:val="K-TextChar"/>
        </w:rPr>
        <w:t>. Rozvoj otevřených dat a veřejného datového fondu</w:t>
      </w:r>
    </w:p>
    <w:p w14:paraId="7B618F75" w14:textId="77777777" w:rsidR="0074658B" w:rsidRPr="00083C4E" w:rsidRDefault="004A04A0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083C4E">
        <w:rPr>
          <w:rStyle w:val="K-TextChar"/>
        </w:rPr>
        <w:t>V rámci investice budou rozvíjeny funkcionality Národního katalogu otevřených dat jako centrálního místa soustřeďujícího informace o jednotlivých otevřených datových sadách. Další etapou je pak investice do úprav a přípravy otevřených a veřejných datových sad na veřejných úřadech a institucích a zajištění jejich publikování v Národním katalogu otevřených dat.</w:t>
      </w:r>
    </w:p>
    <w:p w14:paraId="68C98705" w14:textId="7C7F7C46" w:rsidR="0045097C" w:rsidRPr="00DD7B74" w:rsidRDefault="003012A2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DD7B74">
        <w:rPr>
          <w:rStyle w:val="K-TextChar"/>
        </w:rPr>
        <w:t xml:space="preserve">3. </w:t>
      </w:r>
      <w:r w:rsidR="00087251" w:rsidRPr="00DD7B74">
        <w:rPr>
          <w:rStyle w:val="K-TextChar"/>
        </w:rPr>
        <w:t xml:space="preserve">Zajištění </w:t>
      </w:r>
      <w:r w:rsidR="001E0F52" w:rsidRPr="00DD7B74">
        <w:rPr>
          <w:rStyle w:val="K-TextChar"/>
        </w:rPr>
        <w:t>podmínek</w:t>
      </w:r>
      <w:r w:rsidR="003D79AE" w:rsidRPr="00DD7B74">
        <w:rPr>
          <w:rStyle w:val="K-TextChar"/>
        </w:rPr>
        <w:t xml:space="preserve"> pro kvalitní správu datového fondu a zajištění řízeného přístupu k datům</w:t>
      </w:r>
    </w:p>
    <w:p w14:paraId="164DAD0D" w14:textId="5EA6212A" w:rsidR="007035E4" w:rsidRPr="00083C4E" w:rsidRDefault="007035E4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DD7B74">
        <w:rPr>
          <w:rStyle w:val="K-TextChar"/>
        </w:rPr>
        <w:t xml:space="preserve">Reforma je zaměřena na </w:t>
      </w:r>
      <w:r w:rsidR="00CD0DB4" w:rsidRPr="00DD7B74">
        <w:rPr>
          <w:rStyle w:val="K-TextChar"/>
        </w:rPr>
        <w:t xml:space="preserve">vytvoření </w:t>
      </w:r>
      <w:r w:rsidR="001C0C3E" w:rsidRPr="00DD7B74">
        <w:rPr>
          <w:rStyle w:val="K-TextChar"/>
        </w:rPr>
        <w:t xml:space="preserve">komplexního </w:t>
      </w:r>
      <w:r w:rsidR="00CD0DB4" w:rsidRPr="00DD7B74">
        <w:rPr>
          <w:rStyle w:val="K-TextChar"/>
        </w:rPr>
        <w:t>legislativní</w:t>
      </w:r>
      <w:r w:rsidR="00721A60" w:rsidRPr="00DD7B74">
        <w:rPr>
          <w:rStyle w:val="K-TextChar"/>
        </w:rPr>
        <w:t>ho</w:t>
      </w:r>
      <w:r w:rsidR="00CD0DB4" w:rsidRPr="00DD7B74">
        <w:rPr>
          <w:rStyle w:val="K-TextChar"/>
        </w:rPr>
        <w:t xml:space="preserve"> </w:t>
      </w:r>
      <w:r w:rsidR="002744E8" w:rsidRPr="00DD7B74">
        <w:rPr>
          <w:rStyle w:val="K-TextChar"/>
        </w:rPr>
        <w:t>(vč. vnitřn</w:t>
      </w:r>
      <w:r w:rsidR="00721A60" w:rsidRPr="00DD7B74">
        <w:rPr>
          <w:rStyle w:val="K-TextChar"/>
        </w:rPr>
        <w:t>í</w:t>
      </w:r>
      <w:r w:rsidR="002744E8" w:rsidRPr="00DD7B74">
        <w:rPr>
          <w:rStyle w:val="K-TextChar"/>
        </w:rPr>
        <w:t xml:space="preserve"> </w:t>
      </w:r>
      <w:r w:rsidR="009B6382" w:rsidRPr="00DD7B74">
        <w:rPr>
          <w:rStyle w:val="K-TextChar"/>
        </w:rPr>
        <w:t>předpisové základny</w:t>
      </w:r>
      <w:r w:rsidR="00721A60" w:rsidRPr="00DD7B74">
        <w:rPr>
          <w:rStyle w:val="K-TextChar"/>
        </w:rPr>
        <w:t xml:space="preserve"> úřadů</w:t>
      </w:r>
      <w:r w:rsidR="002744E8" w:rsidRPr="00DD7B74">
        <w:rPr>
          <w:rStyle w:val="K-TextChar"/>
        </w:rPr>
        <w:t>)</w:t>
      </w:r>
      <w:r w:rsidR="004C4534" w:rsidRPr="00DD7B74">
        <w:rPr>
          <w:rStyle w:val="K-TextChar"/>
        </w:rPr>
        <w:t>,</w:t>
      </w:r>
      <w:r w:rsidR="002744E8" w:rsidRPr="00DD7B74">
        <w:rPr>
          <w:rStyle w:val="K-TextChar"/>
        </w:rPr>
        <w:t xml:space="preserve"> </w:t>
      </w:r>
      <w:r w:rsidR="00CD0DB4" w:rsidRPr="00DD7B74">
        <w:rPr>
          <w:rStyle w:val="K-TextChar"/>
        </w:rPr>
        <w:t>standardizační</w:t>
      </w:r>
      <w:r w:rsidR="00721A60" w:rsidRPr="00DD7B74">
        <w:rPr>
          <w:rStyle w:val="K-TextChar"/>
        </w:rPr>
        <w:t>ho</w:t>
      </w:r>
      <w:r w:rsidR="00CD0DB4" w:rsidRPr="00DD7B74">
        <w:rPr>
          <w:rStyle w:val="K-TextChar"/>
        </w:rPr>
        <w:t xml:space="preserve"> </w:t>
      </w:r>
      <w:r w:rsidR="004C4534" w:rsidRPr="00DD7B74">
        <w:rPr>
          <w:rStyle w:val="K-TextChar"/>
        </w:rPr>
        <w:t xml:space="preserve">a organizačního </w:t>
      </w:r>
      <w:r w:rsidR="00721A60" w:rsidRPr="00DD7B74">
        <w:rPr>
          <w:rStyle w:val="K-TextChar"/>
        </w:rPr>
        <w:t>rámce</w:t>
      </w:r>
      <w:r w:rsidR="002744E8" w:rsidRPr="00DD7B74">
        <w:rPr>
          <w:rStyle w:val="K-TextChar"/>
        </w:rPr>
        <w:t xml:space="preserve"> </w:t>
      </w:r>
      <w:r w:rsidR="003D79AE" w:rsidRPr="00DD7B74">
        <w:rPr>
          <w:rStyle w:val="K-TextChar"/>
        </w:rPr>
        <w:t xml:space="preserve">pro kvalitní správu dat státní a veřejné správy </w:t>
      </w:r>
      <w:r w:rsidR="002B38A4" w:rsidRPr="00DD7B74">
        <w:rPr>
          <w:rStyle w:val="K-TextChar"/>
        </w:rPr>
        <w:t>a vytvoření nástroje tzv. řízeného přístupu, který umožní</w:t>
      </w:r>
      <w:r w:rsidR="00A13051" w:rsidRPr="00DD7B74">
        <w:rPr>
          <w:rStyle w:val="K-TextChar"/>
        </w:rPr>
        <w:t xml:space="preserve"> se zajištěním </w:t>
      </w:r>
      <w:hyperlink r:id="rId12" w:history="1">
        <w:r w:rsidR="00F3375F" w:rsidRPr="00DD7B74">
          <w:rPr>
            <w:rStyle w:val="Hypertextovodkaz"/>
            <w:sz w:val="23"/>
            <w:szCs w:val="23"/>
          </w:rPr>
          <w:t>FAIR principů</w:t>
        </w:r>
      </w:hyperlink>
      <w:r w:rsidR="002B38A4" w:rsidRPr="00DD7B74">
        <w:rPr>
          <w:rStyle w:val="K-TextChar"/>
        </w:rPr>
        <w:t xml:space="preserve">, po splnění kvalifikačních kritérií, přístup k neveřejným datům státní a veřejné správy </w:t>
      </w:r>
      <w:r w:rsidR="00217DB0" w:rsidRPr="00DD7B74">
        <w:rPr>
          <w:rStyle w:val="K-TextChar"/>
        </w:rPr>
        <w:t xml:space="preserve">pro využití </w:t>
      </w:r>
      <w:r w:rsidR="002B38A4" w:rsidRPr="00DD7B74">
        <w:rPr>
          <w:rStyle w:val="K-TextChar"/>
        </w:rPr>
        <w:t xml:space="preserve">orgány státní správy i veřejností, a to </w:t>
      </w:r>
      <w:r w:rsidR="00217DB0" w:rsidRPr="00DD7B74">
        <w:rPr>
          <w:rStyle w:val="K-TextChar"/>
        </w:rPr>
        <w:t xml:space="preserve">především </w:t>
      </w:r>
      <w:r w:rsidR="00B06CF0" w:rsidRPr="00DD7B74">
        <w:rPr>
          <w:rStyle w:val="K-TextChar"/>
        </w:rPr>
        <w:t>ve vědeckém a</w:t>
      </w:r>
      <w:r w:rsidR="00217DB0" w:rsidRPr="00DD7B74">
        <w:rPr>
          <w:rStyle w:val="K-TextChar"/>
        </w:rPr>
        <w:t> komerčním</w:t>
      </w:r>
      <w:r w:rsidR="00B06CF0" w:rsidRPr="00DD7B74">
        <w:rPr>
          <w:rStyle w:val="K-TextChar"/>
        </w:rPr>
        <w:t xml:space="preserve"> sektoru</w:t>
      </w:r>
      <w:r w:rsidR="00731608" w:rsidRPr="00DD7B74">
        <w:rPr>
          <w:rStyle w:val="K-TextChar"/>
        </w:rPr>
        <w:t>.</w:t>
      </w:r>
      <w:r w:rsidR="008A56C7" w:rsidRPr="00DD7B74">
        <w:rPr>
          <w:rStyle w:val="K-TextChar"/>
        </w:rPr>
        <w:t xml:space="preserve"> Na legislativní úpravy je navázána tvorba nutné SW a HW infrastruktury, prováděcích předpisů a metodických a jiných dokumentů.</w:t>
      </w:r>
    </w:p>
    <w:p w14:paraId="3CF48438" w14:textId="77777777" w:rsidR="00603DA9" w:rsidRPr="00083C4E" w:rsidRDefault="007035E4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083C4E">
        <w:rPr>
          <w:rStyle w:val="K-TextChar"/>
        </w:rPr>
        <w:lastRenderedPageBreak/>
        <w:t>4</w:t>
      </w:r>
      <w:r w:rsidR="00603DA9" w:rsidRPr="00083C4E">
        <w:rPr>
          <w:rStyle w:val="K-TextChar"/>
        </w:rPr>
        <w:t xml:space="preserve">. </w:t>
      </w:r>
      <w:proofErr w:type="spellStart"/>
      <w:r w:rsidR="00603DA9" w:rsidRPr="00083C4E">
        <w:rPr>
          <w:rStyle w:val="K-TextChar"/>
        </w:rPr>
        <w:t>eHealth</w:t>
      </w:r>
      <w:proofErr w:type="spellEnd"/>
    </w:p>
    <w:p w14:paraId="0B81308A" w14:textId="77777777" w:rsidR="00F042F0" w:rsidRPr="00083C4E" w:rsidRDefault="00F042F0" w:rsidP="00F042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083C4E">
        <w:rPr>
          <w:rStyle w:val="K-TextChar"/>
        </w:rPr>
        <w:t xml:space="preserve">Reforma představuje naplnění Národní strategie elektronizace zdravotnictví a strategie Zdraví 2030. </w:t>
      </w:r>
      <w:proofErr w:type="spellStart"/>
      <w:r w:rsidRPr="00083C4E">
        <w:rPr>
          <w:rStyle w:val="K-TextChar"/>
        </w:rPr>
        <w:t>Provořadým</w:t>
      </w:r>
      <w:proofErr w:type="spellEnd"/>
      <w:r w:rsidRPr="00083C4E">
        <w:rPr>
          <w:rStyle w:val="K-TextChar"/>
        </w:rPr>
        <w:t xml:space="preserve"> cílem je realizace interoperability (výměny zdravotnické dokumentace) ve zdravotnictví mající zásadní dopad na kvalitu a efektivitu poskytování zdravotních služeb. Reforma také zahrnuje řešení telemedicíny a vytvoření infrastruktury elektronického zdravotnictví potřebné pro zavádění jakýchkoli digitálních služeb. Tvorba nových digitálních služeb je nedílnou součástí reformy a je určena pro občany /pacienty a také pro pracovníky ve zdravotnictví. Nové služby budou rozvíjet úspěšný projekt elektronického receptu, portál elektronického zdravotnictví, využití sekundárních dat, nicméně budou postaveny nad vystavěnou infrastrukturou elektronického zdravotnictví.</w:t>
      </w:r>
    </w:p>
    <w:p w14:paraId="762FC997" w14:textId="77777777" w:rsidR="00F042F0" w:rsidRPr="00083C4E" w:rsidRDefault="00F042F0" w:rsidP="00F042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083C4E">
        <w:rPr>
          <w:rStyle w:val="K-TextChar"/>
        </w:rPr>
        <w:t>Nezbytnou podmínkou pro realizaci této reformy je vybudování Národního centra elektronizace zdravotnictví jako řídící a koordinační struktury zajišťující absorpční kapacitu rezortu, vytváření podmínek pro čerpání dotací a zajišťovat rozvoj elektronizace v rezortu a využití datového fondu ČR.</w:t>
      </w:r>
    </w:p>
    <w:p w14:paraId="22558D2F" w14:textId="77777777" w:rsidR="00F042F0" w:rsidRPr="00083C4E" w:rsidRDefault="00F042F0" w:rsidP="00F042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</w:p>
    <w:p w14:paraId="47160A22" w14:textId="77777777" w:rsidR="007C6A25" w:rsidRPr="00083C4E" w:rsidRDefault="0040686A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InfoChar"/>
          <w:i w:val="0"/>
          <w:iCs w:val="0"/>
          <w:color w:val="000000" w:themeColor="text1"/>
        </w:rPr>
      </w:pPr>
      <w:r w:rsidRPr="00083C4E">
        <w:rPr>
          <w:rStyle w:val="K-TextInfoChar"/>
          <w:i w:val="0"/>
          <w:iCs w:val="0"/>
          <w:color w:val="000000" w:themeColor="text1"/>
        </w:rPr>
        <w:t xml:space="preserve">Všechny reformy a investice této komponenty naplňují vlajkovou iniciativu </w:t>
      </w:r>
      <w:proofErr w:type="spellStart"/>
      <w:r w:rsidRPr="00083C4E">
        <w:rPr>
          <w:rStyle w:val="K-TextInfoChar"/>
          <w:i w:val="0"/>
          <w:iCs w:val="0"/>
          <w:color w:val="000000" w:themeColor="text1"/>
        </w:rPr>
        <w:t>Modernise</w:t>
      </w:r>
      <w:proofErr w:type="spellEnd"/>
      <w:r w:rsidRPr="00083C4E">
        <w:rPr>
          <w:rStyle w:val="K-TextInfoChar"/>
          <w:i w:val="0"/>
          <w:iCs w:val="0"/>
          <w:color w:val="000000" w:themeColor="text1"/>
        </w:rPr>
        <w:t>. Služby pro koncové uživatele jsou navrhovány jako personalizované a user-</w:t>
      </w:r>
      <w:proofErr w:type="spellStart"/>
      <w:r w:rsidRPr="00083C4E">
        <w:rPr>
          <w:rStyle w:val="K-TextInfoChar"/>
          <w:i w:val="0"/>
          <w:iCs w:val="0"/>
          <w:color w:val="000000" w:themeColor="text1"/>
        </w:rPr>
        <w:t>friendly</w:t>
      </w:r>
      <w:proofErr w:type="spellEnd"/>
      <w:r w:rsidRPr="00083C4E">
        <w:rPr>
          <w:rStyle w:val="K-TextInfoChar"/>
          <w:i w:val="0"/>
          <w:iCs w:val="0"/>
          <w:color w:val="000000" w:themeColor="text1"/>
        </w:rPr>
        <w:t xml:space="preserve">. Cílem je i maximální využití předvyplněných formulářů </w:t>
      </w:r>
      <w:r w:rsidR="001E0C5E" w:rsidRPr="00083C4E">
        <w:rPr>
          <w:rStyle w:val="K-TextInfoChar"/>
          <w:i w:val="0"/>
          <w:iCs w:val="0"/>
          <w:color w:val="000000" w:themeColor="text1"/>
        </w:rPr>
        <w:t>daty přihlášeného uživatele</w:t>
      </w:r>
      <w:r w:rsidR="00D34A78" w:rsidRPr="00083C4E">
        <w:rPr>
          <w:rStyle w:val="K-TextInfoChar"/>
          <w:i w:val="0"/>
          <w:iCs w:val="0"/>
          <w:color w:val="000000" w:themeColor="text1"/>
        </w:rPr>
        <w:t>,</w:t>
      </w:r>
      <w:r w:rsidR="006D443B" w:rsidRPr="00083C4E">
        <w:rPr>
          <w:rStyle w:val="K-TextInfoChar"/>
          <w:i w:val="0"/>
          <w:iCs w:val="0"/>
          <w:color w:val="000000" w:themeColor="text1"/>
        </w:rPr>
        <w:t xml:space="preserve"> a to jak z</w:t>
      </w:r>
      <w:r w:rsidR="008611FC" w:rsidRPr="00083C4E">
        <w:rPr>
          <w:rStyle w:val="K-TextInfoChar"/>
          <w:i w:val="0"/>
          <w:iCs w:val="0"/>
          <w:color w:val="000000" w:themeColor="text1"/>
        </w:rPr>
        <w:t>e systémů základních registrů</w:t>
      </w:r>
      <w:r w:rsidR="00D34A78" w:rsidRPr="00083C4E">
        <w:rPr>
          <w:rStyle w:val="K-TextInfoChar"/>
          <w:i w:val="0"/>
          <w:iCs w:val="0"/>
          <w:color w:val="000000" w:themeColor="text1"/>
        </w:rPr>
        <w:t>,</w:t>
      </w:r>
      <w:r w:rsidR="008611FC" w:rsidRPr="00083C4E">
        <w:rPr>
          <w:rStyle w:val="K-TextInfoChar"/>
          <w:i w:val="0"/>
          <w:iCs w:val="0"/>
          <w:color w:val="000000" w:themeColor="text1"/>
        </w:rPr>
        <w:t xml:space="preserve"> tak i příslušných agendových systémů</w:t>
      </w:r>
      <w:r w:rsidR="001E0C5E" w:rsidRPr="00083C4E">
        <w:rPr>
          <w:rStyle w:val="K-TextInfoChar"/>
          <w:i w:val="0"/>
          <w:iCs w:val="0"/>
          <w:color w:val="000000" w:themeColor="text1"/>
        </w:rPr>
        <w:t>.</w:t>
      </w:r>
      <w:r w:rsidR="008611FC" w:rsidRPr="00083C4E">
        <w:rPr>
          <w:rStyle w:val="K-TextInfoChar"/>
          <w:i w:val="0"/>
          <w:iCs w:val="0"/>
          <w:color w:val="000000" w:themeColor="text1"/>
        </w:rPr>
        <w:t xml:space="preserve"> </w:t>
      </w:r>
      <w:r w:rsidR="001E0C5E" w:rsidRPr="00083C4E">
        <w:rPr>
          <w:rStyle w:val="K-TextInfoChar"/>
          <w:i w:val="0"/>
          <w:iCs w:val="0"/>
          <w:color w:val="000000" w:themeColor="text1"/>
        </w:rPr>
        <w:t xml:space="preserve">Pro identifikaci uživatelů budou využívány centrální služby především pak </w:t>
      </w:r>
      <w:proofErr w:type="spellStart"/>
      <w:r w:rsidR="001E0C5E" w:rsidRPr="00083C4E">
        <w:rPr>
          <w:rStyle w:val="K-TextInfoChar"/>
          <w:i w:val="0"/>
          <w:iCs w:val="0"/>
          <w:color w:val="000000" w:themeColor="text1"/>
        </w:rPr>
        <w:t>eID</w:t>
      </w:r>
      <w:proofErr w:type="spellEnd"/>
      <w:r w:rsidR="001E0C5E" w:rsidRPr="00083C4E">
        <w:rPr>
          <w:rStyle w:val="K-TextInfoChar"/>
          <w:i w:val="0"/>
          <w:iCs w:val="0"/>
          <w:color w:val="000000" w:themeColor="text1"/>
        </w:rPr>
        <w:t xml:space="preserve">, NIA s navázanými službami bankovní identity. </w:t>
      </w:r>
      <w:r w:rsidRPr="00083C4E">
        <w:rPr>
          <w:rStyle w:val="K-TextInfoChar"/>
          <w:i w:val="0"/>
          <w:iCs w:val="0"/>
          <w:color w:val="000000" w:themeColor="text1"/>
        </w:rPr>
        <w:t xml:space="preserve">Při návrhu portálových služeb a centrálních digitálních služeb jsou využívány metody user </w:t>
      </w:r>
      <w:proofErr w:type="spellStart"/>
      <w:r w:rsidRPr="00083C4E">
        <w:rPr>
          <w:rStyle w:val="K-TextInfoChar"/>
          <w:i w:val="0"/>
          <w:iCs w:val="0"/>
          <w:color w:val="000000" w:themeColor="text1"/>
        </w:rPr>
        <w:t>experience</w:t>
      </w:r>
      <w:proofErr w:type="spellEnd"/>
      <w:r w:rsidRPr="00083C4E">
        <w:rPr>
          <w:rStyle w:val="K-TextInfoChar"/>
          <w:i w:val="0"/>
          <w:iCs w:val="0"/>
          <w:color w:val="000000" w:themeColor="text1"/>
        </w:rPr>
        <w:t xml:space="preserve"> vč. uživatelských výzkumů a testování. </w:t>
      </w:r>
      <w:r w:rsidR="001E0C5E" w:rsidRPr="00083C4E">
        <w:rPr>
          <w:rStyle w:val="K-TextInfoChar"/>
          <w:i w:val="0"/>
          <w:iCs w:val="0"/>
          <w:color w:val="000000" w:themeColor="text1"/>
        </w:rPr>
        <w:t xml:space="preserve">Reformy Digitální služby pro koncové uživatele, Portálová řešení a centrální služby a </w:t>
      </w:r>
      <w:proofErr w:type="spellStart"/>
      <w:r w:rsidR="001E0C5E" w:rsidRPr="00083C4E">
        <w:rPr>
          <w:rStyle w:val="K-TextInfoChar"/>
          <w:i w:val="0"/>
          <w:iCs w:val="0"/>
          <w:color w:val="000000" w:themeColor="text1"/>
        </w:rPr>
        <w:t>eHealth</w:t>
      </w:r>
      <w:proofErr w:type="spellEnd"/>
      <w:r w:rsidR="001E0C5E" w:rsidRPr="00083C4E">
        <w:rPr>
          <w:rStyle w:val="K-TextInfoChar"/>
          <w:i w:val="0"/>
          <w:iCs w:val="0"/>
          <w:color w:val="000000" w:themeColor="text1"/>
        </w:rPr>
        <w:t xml:space="preserve"> pak budou mít částečnou vazbu i na vlajkovou iniciativu </w:t>
      </w:r>
      <w:proofErr w:type="spellStart"/>
      <w:r w:rsidR="001E0C5E" w:rsidRPr="00083C4E">
        <w:rPr>
          <w:rStyle w:val="K-TextInfoChar"/>
          <w:i w:val="0"/>
          <w:iCs w:val="0"/>
          <w:color w:val="000000" w:themeColor="text1"/>
        </w:rPr>
        <w:t>Reskill</w:t>
      </w:r>
      <w:proofErr w:type="spellEnd"/>
      <w:r w:rsidR="001E0C5E" w:rsidRPr="00083C4E">
        <w:rPr>
          <w:rStyle w:val="K-TextInfoChar"/>
          <w:i w:val="0"/>
          <w:iCs w:val="0"/>
          <w:color w:val="000000" w:themeColor="text1"/>
        </w:rPr>
        <w:t xml:space="preserve"> and </w:t>
      </w:r>
      <w:proofErr w:type="spellStart"/>
      <w:proofErr w:type="gramStart"/>
      <w:r w:rsidR="001E0C5E" w:rsidRPr="00083C4E">
        <w:rPr>
          <w:rStyle w:val="K-TextInfoChar"/>
          <w:i w:val="0"/>
          <w:iCs w:val="0"/>
          <w:color w:val="000000" w:themeColor="text1"/>
        </w:rPr>
        <w:t>upskill</w:t>
      </w:r>
      <w:proofErr w:type="spellEnd"/>
      <w:proofErr w:type="gramEnd"/>
      <w:r w:rsidR="001E0C5E" w:rsidRPr="00083C4E">
        <w:rPr>
          <w:rStyle w:val="K-TextInfoChar"/>
          <w:i w:val="0"/>
          <w:iCs w:val="0"/>
          <w:color w:val="000000" w:themeColor="text1"/>
        </w:rPr>
        <w:t xml:space="preserve"> a to především z pohledu nezbytného osvojení digitálních dovedností</w:t>
      </w:r>
      <w:r w:rsidR="56960E4E" w:rsidRPr="00083C4E">
        <w:rPr>
          <w:rStyle w:val="K-TextInfoChar"/>
          <w:i w:val="0"/>
          <w:iCs w:val="0"/>
          <w:color w:val="000000" w:themeColor="text1"/>
        </w:rPr>
        <w:t>,</w:t>
      </w:r>
      <w:r w:rsidR="001E0C5E" w:rsidRPr="00083C4E">
        <w:rPr>
          <w:rStyle w:val="K-TextInfoChar"/>
          <w:i w:val="0"/>
          <w:iCs w:val="0"/>
          <w:color w:val="000000" w:themeColor="text1"/>
        </w:rPr>
        <w:t xml:space="preserve"> a to jak u koncových uživatelů, tak i úředníků, kteří budou podporovat výkon a naplňování digitálních služeb.</w:t>
      </w:r>
    </w:p>
    <w:p w14:paraId="338F8DD3" w14:textId="77777777" w:rsidR="002D3AC6" w:rsidRPr="00083C4E" w:rsidRDefault="002D3AC6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i/>
          <w:iCs w:val="0"/>
          <w:color w:val="000000" w:themeColor="text1"/>
        </w:rPr>
      </w:pPr>
      <w:r w:rsidRPr="00083C4E">
        <w:rPr>
          <w:rStyle w:val="K-TextInfoChar"/>
          <w:i w:val="0"/>
          <w:iCs w:val="0"/>
          <w:color w:val="000000" w:themeColor="text1"/>
        </w:rPr>
        <w:t xml:space="preserve">Reformy i investice spadají do COFOG 01.6 General Public </w:t>
      </w:r>
      <w:proofErr w:type="spellStart"/>
      <w:r w:rsidRPr="00083C4E">
        <w:rPr>
          <w:rStyle w:val="K-TextInfoChar"/>
          <w:i w:val="0"/>
          <w:iCs w:val="0"/>
          <w:color w:val="000000" w:themeColor="text1"/>
        </w:rPr>
        <w:t>Services</w:t>
      </w:r>
      <w:proofErr w:type="spellEnd"/>
    </w:p>
    <w:p w14:paraId="25409878" w14:textId="77777777" w:rsidR="002E19BA" w:rsidRPr="00083C4E" w:rsidRDefault="00EF374D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083C4E">
        <w:rPr>
          <w:rStyle w:val="K-TextChar"/>
          <w:b/>
        </w:rPr>
        <w:t>Odhadované náklad</w:t>
      </w:r>
      <w:r w:rsidR="00A87B13" w:rsidRPr="00083C4E">
        <w:rPr>
          <w:rStyle w:val="K-TextChar"/>
          <w:b/>
        </w:rPr>
        <w:t>y</w:t>
      </w:r>
      <w:r w:rsidRPr="00083C4E">
        <w:rPr>
          <w:rStyle w:val="K-TextChar"/>
          <w:b/>
        </w:rPr>
        <w:t>:</w:t>
      </w:r>
      <w:r w:rsidR="002C20CF" w:rsidRPr="00083C4E">
        <w:rPr>
          <w:rStyle w:val="K-TextChar"/>
          <w:b/>
        </w:rPr>
        <w:t xml:space="preserve"> </w:t>
      </w:r>
    </w:p>
    <w:p w14:paraId="3A25EBA4" w14:textId="23B93FAC" w:rsidR="002E19BA" w:rsidRPr="00083C4E" w:rsidRDefault="002E19BA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A55F10">
        <w:rPr>
          <w:rStyle w:val="K-TextChar"/>
        </w:rPr>
        <w:t xml:space="preserve">Celkové alokované prostředky v NPO činí </w:t>
      </w:r>
      <w:r w:rsidR="00D92CC9" w:rsidRPr="00A55F10">
        <w:rPr>
          <w:rStyle w:val="K-TextChar"/>
        </w:rPr>
        <w:t>7</w:t>
      </w:r>
      <w:r w:rsidRPr="00A55F10">
        <w:rPr>
          <w:rStyle w:val="K-TextChar"/>
        </w:rPr>
        <w:t>,</w:t>
      </w:r>
      <w:r w:rsidR="00061EBA">
        <w:rPr>
          <w:rStyle w:val="K-TextChar"/>
        </w:rPr>
        <w:t>6</w:t>
      </w:r>
      <w:r w:rsidR="00A55F10" w:rsidRPr="00A55F10">
        <w:rPr>
          <w:rStyle w:val="K-TextChar"/>
        </w:rPr>
        <w:t>39</w:t>
      </w:r>
      <w:r w:rsidRPr="00A55F10">
        <w:rPr>
          <w:rStyle w:val="K-TextChar"/>
        </w:rPr>
        <w:t xml:space="preserve"> mld. Kč</w:t>
      </w:r>
    </w:p>
    <w:p w14:paraId="5BCDC752" w14:textId="02EB4EF1" w:rsidR="002E19BA" w:rsidRPr="00083C4E" w:rsidRDefault="002E19BA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A55F10">
        <w:rPr>
          <w:rStyle w:val="K-TextChar"/>
        </w:rPr>
        <w:t xml:space="preserve">Celkové investiční výdaje na komponentu lze odhadnout na úrovni </w:t>
      </w:r>
      <w:r w:rsidR="00D92CC9" w:rsidRPr="00A55F10">
        <w:rPr>
          <w:rStyle w:val="K-TextChar"/>
        </w:rPr>
        <w:t>7</w:t>
      </w:r>
      <w:r w:rsidRPr="00A55F10">
        <w:rPr>
          <w:rStyle w:val="K-TextChar"/>
        </w:rPr>
        <w:t>,</w:t>
      </w:r>
      <w:r w:rsidR="00061EBA">
        <w:rPr>
          <w:rStyle w:val="K-TextChar"/>
        </w:rPr>
        <w:t>6</w:t>
      </w:r>
      <w:r w:rsidR="00A55F10" w:rsidRPr="00A55F10">
        <w:rPr>
          <w:rStyle w:val="K-TextChar"/>
        </w:rPr>
        <w:t>39</w:t>
      </w:r>
      <w:r w:rsidRPr="00A55F10">
        <w:rPr>
          <w:rStyle w:val="K-TextChar"/>
        </w:rPr>
        <w:t xml:space="preserve"> mld. Kč.</w:t>
      </w:r>
    </w:p>
    <w:p w14:paraId="00647F57" w14:textId="77777777" w:rsidR="002E19BA" w:rsidRPr="00083C4E" w:rsidRDefault="002E19BA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083C4E">
        <w:rPr>
          <w:rStyle w:val="K-TextChar"/>
        </w:rPr>
        <w:t xml:space="preserve">Veškeré </w:t>
      </w:r>
      <w:r w:rsidR="00E939EC" w:rsidRPr="00083C4E">
        <w:rPr>
          <w:rStyle w:val="K-TextChar"/>
        </w:rPr>
        <w:t>reformy a investice</w:t>
      </w:r>
      <w:r w:rsidR="3EDBE848" w:rsidRPr="00083C4E">
        <w:rPr>
          <w:rStyle w:val="K-TextChar"/>
        </w:rPr>
        <w:t>,</w:t>
      </w:r>
      <w:r w:rsidR="00E939EC" w:rsidRPr="00083C4E">
        <w:rPr>
          <w:rStyle w:val="K-TextChar"/>
        </w:rPr>
        <w:t xml:space="preserve"> resp. na ně navázané programy a </w:t>
      </w:r>
      <w:r w:rsidRPr="00083C4E">
        <w:rPr>
          <w:rStyle w:val="K-TextChar"/>
        </w:rPr>
        <w:t xml:space="preserve">projekty budou </w:t>
      </w:r>
      <w:proofErr w:type="spellStart"/>
      <w:r w:rsidRPr="00083C4E">
        <w:rPr>
          <w:rStyle w:val="K-TextChar"/>
        </w:rPr>
        <w:t>zasmluvněny</w:t>
      </w:r>
      <w:proofErr w:type="spellEnd"/>
      <w:r w:rsidRPr="00083C4E">
        <w:rPr>
          <w:rStyle w:val="K-TextChar"/>
        </w:rPr>
        <w:t xml:space="preserve"> nejpozději ve </w:t>
      </w:r>
      <w:r w:rsidR="00E939EC" w:rsidRPr="00083C4E">
        <w:rPr>
          <w:rStyle w:val="K-TextChar"/>
        </w:rPr>
        <w:t>3</w:t>
      </w:r>
      <w:r w:rsidRPr="00083C4E">
        <w:rPr>
          <w:rStyle w:val="K-TextChar"/>
        </w:rPr>
        <w:t>Q2023.</w:t>
      </w:r>
    </w:p>
    <w:p w14:paraId="2A75EB52" w14:textId="77777777" w:rsidR="0015052B" w:rsidRPr="00083C4E" w:rsidRDefault="0015052B" w:rsidP="0015052B">
      <w:pPr>
        <w:pStyle w:val="K-Nadpis3"/>
      </w:pPr>
      <w:r w:rsidRPr="00083C4E">
        <w:t xml:space="preserve">a) </w:t>
      </w:r>
      <w:r w:rsidR="00095EBD" w:rsidRPr="00083C4E">
        <w:t>Detail</w:t>
      </w:r>
      <w:r w:rsidRPr="00083C4E">
        <w:t xml:space="preserve"> komponenty</w:t>
      </w:r>
    </w:p>
    <w:p w14:paraId="08D183E8" w14:textId="77777777" w:rsidR="0015052B" w:rsidRPr="00083C4E" w:rsidRDefault="0015052B" w:rsidP="0015052B">
      <w:pPr>
        <w:pStyle w:val="K-Text"/>
      </w:pPr>
      <w:r w:rsidRPr="00083C4E">
        <w:t>Komponenta bude naplněna realizací výše uvedených reforem a na ně navázaných investičních projektů. Projekty budou dominantně realizovány na centrální státní úrovni (např. Portál občana, Portál podnikatele, SDG</w:t>
      </w:r>
      <w:r w:rsidR="00E939EC" w:rsidRPr="00083C4E">
        <w:t>, sdílení lékařských záznamů</w:t>
      </w:r>
      <w:r w:rsidRPr="00083C4E">
        <w:t xml:space="preserve">) a úrovni jednotlivých centrálních úřadů (např. Portál ČSSZ, ČSÚ, </w:t>
      </w:r>
      <w:r w:rsidR="00581A1D" w:rsidRPr="00083C4E">
        <w:t xml:space="preserve">zdravotnictví, </w:t>
      </w:r>
      <w:r w:rsidRPr="00083C4E">
        <w:t xml:space="preserve">…). </w:t>
      </w:r>
      <w:r w:rsidR="00E939EC" w:rsidRPr="00083C4E">
        <w:t xml:space="preserve">V rámci komponenty budou vyvinuty i některé služby pro místní úroveň a budou jednotlivým obcím nabídnuty k využití. </w:t>
      </w:r>
      <w:r w:rsidRPr="00083C4E">
        <w:t>Komponenta úzce navazuje na komponentu Digitální systémy veřejné správy, která vytváří předpoklady</w:t>
      </w:r>
      <w:r w:rsidR="00E939EC" w:rsidRPr="00083C4E">
        <w:t xml:space="preserve">, </w:t>
      </w:r>
      <w:r w:rsidRPr="00083C4E">
        <w:t>(sdílené) datové zdroje</w:t>
      </w:r>
      <w:r w:rsidR="00E939EC" w:rsidRPr="00083C4E">
        <w:t xml:space="preserve"> a bezpečnost</w:t>
      </w:r>
      <w:r w:rsidRPr="00083C4E">
        <w:t>.</w:t>
      </w:r>
    </w:p>
    <w:p w14:paraId="68BE1858" w14:textId="77777777" w:rsidR="001E0C5E" w:rsidRPr="00083C4E" w:rsidRDefault="001E0C5E">
      <w:pPr>
        <w:spacing w:after="200" w:line="276" w:lineRule="auto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083C4E">
        <w:rPr>
          <w:rFonts w:ascii="Times New Roman" w:hAnsi="Times New Roman" w:cs="Times New Roman"/>
          <w:sz w:val="28"/>
          <w:szCs w:val="28"/>
        </w:rPr>
        <w:br w:type="page"/>
      </w:r>
    </w:p>
    <w:p w14:paraId="5FB8E998" w14:textId="77777777" w:rsidR="002C20CF" w:rsidRPr="00083C4E" w:rsidRDefault="002C20CF" w:rsidP="002C4FCC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083C4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F374D" w:rsidRPr="00083C4E">
        <w:rPr>
          <w:rStyle w:val="K-Nadpis2Char"/>
          <w:b/>
        </w:rPr>
        <w:t>Hlavní výzvy a cíle</w:t>
      </w:r>
    </w:p>
    <w:p w14:paraId="45792F58" w14:textId="17C9E17F" w:rsidR="007C49FD" w:rsidRPr="00083C4E" w:rsidRDefault="005015C4" w:rsidP="00F6243E">
      <w:pPr>
        <w:pStyle w:val="K-Text"/>
      </w:pPr>
      <w:r w:rsidRPr="00083C4E">
        <w:t>Poskytnout občanům a firmám uživatelsky přívětivé digitální nástroje</w:t>
      </w:r>
      <w:r w:rsidR="00037FE8" w:rsidRPr="00083C4E">
        <w:t xml:space="preserve"> a</w:t>
      </w:r>
      <w:r w:rsidRPr="00083C4E">
        <w:t xml:space="preserve"> služby pro komunikaci se státem jako celkem i jeho jednotlivými </w:t>
      </w:r>
      <w:r w:rsidRPr="00956A12">
        <w:t xml:space="preserve">složkami. </w:t>
      </w:r>
      <w:r w:rsidR="00ED2830" w:rsidRPr="00956A12">
        <w:t xml:space="preserve">Dále pak poskytnout </w:t>
      </w:r>
      <w:r w:rsidR="00A13051" w:rsidRPr="00956A12">
        <w:t xml:space="preserve">se zajištěním FAIR principů </w:t>
      </w:r>
      <w:r w:rsidR="00ED2830" w:rsidRPr="00956A12">
        <w:t xml:space="preserve">maximální množství dat pro využití v komerčním i nekomerčním sektoru, a to </w:t>
      </w:r>
      <w:r w:rsidR="00205A8E" w:rsidRPr="00956A12">
        <w:t xml:space="preserve">jako otevřená data či v rámci řízeného přístupu při zachování principů </w:t>
      </w:r>
      <w:r w:rsidR="00205A8E" w:rsidRPr="00956A12">
        <w:rPr>
          <w:iCs w:val="0"/>
        </w:rPr>
        <w:t xml:space="preserve">bezpečnosti, </w:t>
      </w:r>
      <w:r w:rsidR="00205A8E" w:rsidRPr="00956A12">
        <w:t>ochrany osobních údajů</w:t>
      </w:r>
      <w:r w:rsidR="00205A8E" w:rsidRPr="00956A12">
        <w:rPr>
          <w:iCs w:val="0"/>
        </w:rPr>
        <w:t>, ochrany autorských práv apod</w:t>
      </w:r>
      <w:r w:rsidR="00ED2830" w:rsidRPr="00956A12">
        <w:t xml:space="preserve">. </w:t>
      </w:r>
      <w:r w:rsidRPr="00956A12">
        <w:t xml:space="preserve">Cílem je nárůst počtu </w:t>
      </w:r>
      <w:r w:rsidR="00F56AD9" w:rsidRPr="00956A12">
        <w:t xml:space="preserve">uživatelů </w:t>
      </w:r>
      <w:r w:rsidRPr="00956A12">
        <w:t xml:space="preserve">digitálních služeb a nárůst podílu digitálně realizovaných podání vůči státní správě </w:t>
      </w:r>
      <w:r w:rsidR="00F56AD9" w:rsidRPr="00956A12">
        <w:t xml:space="preserve">o </w:t>
      </w:r>
      <w:r w:rsidR="00581A1D" w:rsidRPr="00956A12">
        <w:t>100</w:t>
      </w:r>
      <w:r w:rsidR="00F56AD9" w:rsidRPr="00956A12">
        <w:t xml:space="preserve"> </w:t>
      </w:r>
      <w:r w:rsidRPr="00956A12">
        <w:t>% oproti r. 2019 do r. 202</w:t>
      </w:r>
      <w:r w:rsidR="00F56AD9" w:rsidRPr="00956A12">
        <w:t>5</w:t>
      </w:r>
      <w:r w:rsidRPr="00956A12">
        <w:t xml:space="preserve">. Masivním způsobem otevřít data vznikající v rámci činnosti státní a veřejné správy pro občany i firmy a tím umožnit budování pokročilých služeb vedoucích ke znalostní společnosti. Základní ambicí je pak navýšit stávající počet </w:t>
      </w:r>
      <w:r w:rsidR="00130F7A" w:rsidRPr="00956A12">
        <w:t>poskytovatelů publikující</w:t>
      </w:r>
      <w:r w:rsidR="00143651" w:rsidRPr="00956A12">
        <w:t>ch</w:t>
      </w:r>
      <w:r w:rsidR="00130F7A" w:rsidRPr="00956A12">
        <w:t xml:space="preserve"> otevřené </w:t>
      </w:r>
      <w:r w:rsidRPr="00956A12">
        <w:t>datov</w:t>
      </w:r>
      <w:r w:rsidR="00130F7A" w:rsidRPr="00956A12">
        <w:t xml:space="preserve">é </w:t>
      </w:r>
      <w:r w:rsidRPr="00956A12">
        <w:t>sad</w:t>
      </w:r>
      <w:r w:rsidR="00130F7A" w:rsidRPr="00956A12">
        <w:t>y</w:t>
      </w:r>
      <w:r w:rsidRPr="00956A12">
        <w:t xml:space="preserve"> </w:t>
      </w:r>
      <w:r w:rsidR="00130F7A" w:rsidRPr="00956A12">
        <w:t>ze současných 41 za rok 2020 na 200 do konce roku 202</w:t>
      </w:r>
      <w:r w:rsidR="00F549E4" w:rsidRPr="00956A12">
        <w:t>5</w:t>
      </w:r>
      <w:r w:rsidR="00F6243E" w:rsidRPr="00956A12">
        <w:t xml:space="preserve"> a v</w:t>
      </w:r>
      <w:r w:rsidR="009F4E42" w:rsidRPr="00956A12">
        <w:t xml:space="preserve">ytvořit </w:t>
      </w:r>
      <w:r w:rsidR="00C16EBD" w:rsidRPr="00956A12">
        <w:t>závazný a vymahatelný</w:t>
      </w:r>
      <w:r w:rsidR="007F29C5" w:rsidRPr="00956A12">
        <w:t xml:space="preserve"> </w:t>
      </w:r>
      <w:r w:rsidR="00C16EBD" w:rsidRPr="00956A12">
        <w:t xml:space="preserve">legislativní rámec obsahující </w:t>
      </w:r>
      <w:r w:rsidR="007F29C5" w:rsidRPr="00956A12">
        <w:t>pravidla</w:t>
      </w:r>
      <w:r w:rsidR="00C16EBD" w:rsidRPr="00956A12">
        <w:t xml:space="preserve"> pro kvalitní správu dat, jakožto jedno z nejcennějších aktiv, které státní a veřejná správa má.</w:t>
      </w:r>
      <w:r w:rsidR="00A13051" w:rsidRPr="00956A12">
        <w:t xml:space="preserve"> Na tento právní rámec </w:t>
      </w:r>
      <w:r w:rsidR="00A13051" w:rsidRPr="00956A12">
        <w:rPr>
          <w:rStyle w:val="K-TextChar"/>
        </w:rPr>
        <w:t>je navázána tvorba nutné SW a HW infrastruktury, prováděcích předpisů a metodických a jiných dokumentů.</w:t>
      </w:r>
    </w:p>
    <w:p w14:paraId="551A1850" w14:textId="77777777" w:rsidR="007C49FD" w:rsidRPr="00083C4E" w:rsidRDefault="002C20CF" w:rsidP="00956A12">
      <w:pPr>
        <w:pStyle w:val="K-Text"/>
        <w:rPr>
          <w:b/>
        </w:rPr>
      </w:pPr>
      <w:r w:rsidRPr="00083C4E">
        <w:rPr>
          <w:rStyle w:val="K-Nadpis3Char"/>
        </w:rPr>
        <w:t xml:space="preserve">a) </w:t>
      </w:r>
      <w:r w:rsidR="00EF374D" w:rsidRPr="00083C4E">
        <w:rPr>
          <w:rStyle w:val="K-Nadpis3Char"/>
        </w:rPr>
        <w:t>Hlavní výzvy</w:t>
      </w:r>
    </w:p>
    <w:p w14:paraId="65238AA1" w14:textId="77777777" w:rsidR="002E19BA" w:rsidRPr="00083C4E" w:rsidRDefault="002E19BA" w:rsidP="006F1BEA">
      <w:pPr>
        <w:pStyle w:val="K-Text"/>
        <w:rPr>
          <w:rFonts w:eastAsia="Times New Roman"/>
        </w:rPr>
      </w:pPr>
      <w:r w:rsidRPr="00083C4E">
        <w:rPr>
          <w:rFonts w:eastAsia="Times New Roman"/>
        </w:rPr>
        <w:t>Česká republika je dlouhodobě hodnocena pod průměrem EU v indexu DESI</w:t>
      </w:r>
      <w:r w:rsidR="269AA6A0" w:rsidRPr="00083C4E">
        <w:rPr>
          <w:rFonts w:eastAsia="Times New Roman"/>
        </w:rPr>
        <w:t>,</w:t>
      </w:r>
      <w:r w:rsidRPr="00083C4E">
        <w:rPr>
          <w:rFonts w:eastAsia="Times New Roman"/>
        </w:rPr>
        <w:t xml:space="preserve"> a to jak celkově, tak </w:t>
      </w:r>
      <w:r w:rsidR="00E939EC" w:rsidRPr="00083C4E">
        <w:rPr>
          <w:rFonts w:eastAsia="Times New Roman"/>
        </w:rPr>
        <w:t xml:space="preserve">především </w:t>
      </w:r>
      <w:r w:rsidRPr="00083C4E">
        <w:rPr>
          <w:rFonts w:eastAsia="Times New Roman"/>
        </w:rPr>
        <w:t xml:space="preserve">v rámci dimenze </w:t>
      </w:r>
      <w:proofErr w:type="spellStart"/>
      <w:r w:rsidRPr="00083C4E">
        <w:rPr>
          <w:rFonts w:eastAsia="Times New Roman"/>
        </w:rPr>
        <w:t>eGovernment</w:t>
      </w:r>
      <w:proofErr w:type="spellEnd"/>
      <w:r w:rsidRPr="00083C4E">
        <w:rPr>
          <w:rFonts w:eastAsia="Times New Roman"/>
        </w:rPr>
        <w:t xml:space="preserve">. Pouze omezené spektrum služeb pro koncové klienty je v současné době plně digitalizováno. Omezené množství formulářů je </w:t>
      </w:r>
      <w:proofErr w:type="spellStart"/>
      <w:r w:rsidRPr="00083C4E">
        <w:rPr>
          <w:rFonts w:eastAsia="Times New Roman"/>
        </w:rPr>
        <w:t>předvyplněno</w:t>
      </w:r>
      <w:proofErr w:type="spellEnd"/>
      <w:r w:rsidRPr="00083C4E">
        <w:rPr>
          <w:rFonts w:eastAsia="Times New Roman"/>
        </w:rPr>
        <w:t xml:space="preserve"> tak, aby umožnilo klientovi snadné a rychlé podání. </w:t>
      </w:r>
      <w:r w:rsidR="00E939EC" w:rsidRPr="00083C4E">
        <w:rPr>
          <w:rFonts w:eastAsia="Times New Roman"/>
        </w:rPr>
        <w:t xml:space="preserve">Získání digitální identity pro uživatele je poměrně administrativně a časově náročné. </w:t>
      </w:r>
      <w:r w:rsidRPr="00083C4E">
        <w:rPr>
          <w:rFonts w:eastAsia="Times New Roman"/>
        </w:rPr>
        <w:t xml:space="preserve">K digitálním službám státu v současnosti přistupují především „early </w:t>
      </w:r>
      <w:proofErr w:type="spellStart"/>
      <w:r w:rsidRPr="00083C4E">
        <w:rPr>
          <w:rFonts w:eastAsia="Times New Roman"/>
        </w:rPr>
        <w:t>adopters</w:t>
      </w:r>
      <w:proofErr w:type="spellEnd"/>
      <w:r w:rsidRPr="00083C4E">
        <w:rPr>
          <w:rFonts w:eastAsia="Times New Roman"/>
        </w:rPr>
        <w:t>“. Pro většinu skupin obyvatelstva je pak využívání těchto služeb spojeno s představou byrokratických procedur a získáním nových znalostí a dovedností. Česká republika se v r. 2019 umístila v hodnocení EK Open data maturity model jako 19.</w:t>
      </w:r>
    </w:p>
    <w:p w14:paraId="1F8A2CF7" w14:textId="77777777" w:rsidR="002C20CF" w:rsidRPr="00083C4E" w:rsidRDefault="002C20CF" w:rsidP="00154B73">
      <w:pPr>
        <w:pStyle w:val="K-Nadpis3"/>
      </w:pPr>
      <w:r w:rsidRPr="00083C4E">
        <w:t xml:space="preserve">b) </w:t>
      </w:r>
      <w:r w:rsidR="00EF374D" w:rsidRPr="00083C4E">
        <w:t>Cíle</w:t>
      </w:r>
      <w:r w:rsidRPr="00083C4E">
        <w:t xml:space="preserve"> </w:t>
      </w:r>
    </w:p>
    <w:p w14:paraId="12EBB77B" w14:textId="77777777" w:rsidR="002E19BA" w:rsidRPr="00083C4E" w:rsidRDefault="002E19BA" w:rsidP="006F1BEA">
      <w:pPr>
        <w:pStyle w:val="K-Text"/>
      </w:pPr>
      <w:r w:rsidRPr="00083C4E">
        <w:t>Digitalizovat jednotlivé agendy vykonávané státem (a zdravotnictvím jako komplexním oborem ekonomiky státu) a postupně tyto agendy řetězit do životních situací, řešených z jednoho místa, pod jedním přihlášením a v identickém rozhraní. Tento cíl má, dle dříve realizovaných analýz přínosů, generovat roční úsporu na straně klientů ve výši 25 mld. Kč ročně (občané a podnikatelé). Cíl dále zvyšuje odolnost České republiky především v oblasti dostupnosti služeb státu při mimořádných událostech a je zcela v souladu s doporučeními EU pro r. 2019-2021 především v oblastech digitální transformace a infrastruktury a snižování administrativní zátěže.</w:t>
      </w:r>
    </w:p>
    <w:p w14:paraId="77EAA28D" w14:textId="77777777" w:rsidR="007A2737" w:rsidRPr="00083C4E" w:rsidRDefault="007A2737" w:rsidP="007A2737">
      <w:pPr>
        <w:pStyle w:val="K-Nadpis3"/>
      </w:pPr>
      <w:r w:rsidRPr="00083C4E">
        <w:t xml:space="preserve">c) </w:t>
      </w:r>
      <w:r w:rsidR="006C30EB" w:rsidRPr="00083C4E">
        <w:t>Národní strategický kontext</w:t>
      </w:r>
    </w:p>
    <w:p w14:paraId="7F6AF640" w14:textId="77777777" w:rsidR="00512ECD" w:rsidRPr="00083C4E" w:rsidRDefault="00512ECD" w:rsidP="6F573064">
      <w:pPr>
        <w:pStyle w:val="K-Text"/>
        <w:rPr>
          <w:i/>
          <w:iCs w:val="0"/>
          <w:color w:val="000000" w:themeColor="text1"/>
        </w:rPr>
      </w:pPr>
      <w:r w:rsidRPr="00083C4E">
        <w:t xml:space="preserve">Komponenta „Digitální služby pro občany a firmy“ úzce navazuje na strategii </w:t>
      </w:r>
      <w:proofErr w:type="spellStart"/>
      <w:r w:rsidRPr="00083C4E">
        <w:t>The</w:t>
      </w:r>
      <w:proofErr w:type="spellEnd"/>
      <w:r w:rsidRPr="00083C4E">
        <w:t xml:space="preserve"> Country </w:t>
      </w:r>
      <w:proofErr w:type="spellStart"/>
      <w:r w:rsidRPr="00083C4E">
        <w:t>for</w:t>
      </w:r>
      <w:proofErr w:type="spellEnd"/>
      <w:r w:rsidRPr="00083C4E">
        <w:t xml:space="preserve"> </w:t>
      </w:r>
      <w:proofErr w:type="spellStart"/>
      <w:r w:rsidRPr="00083C4E">
        <w:t>The</w:t>
      </w:r>
      <w:proofErr w:type="spellEnd"/>
      <w:r w:rsidRPr="00083C4E">
        <w:t xml:space="preserve"> </w:t>
      </w:r>
      <w:proofErr w:type="spellStart"/>
      <w:r w:rsidRPr="00083C4E">
        <w:t>Future</w:t>
      </w:r>
      <w:proofErr w:type="spellEnd"/>
      <w:r w:rsidR="000D1DBC" w:rsidRPr="00083C4E">
        <w:t>. Tato strategie je postavena na devíti pilířích. Jedním ze stěžejních pilířů je pak digitalizace, a to jak ve smyslu digitalizace služeb poskytovaných veřejnými úřady a institucemi, tak i digitalizace průmyslu a rozvoj sítí s vysokou přenosovou kapacitou. Digitalizace má dále vý</w:t>
      </w:r>
      <w:r w:rsidR="00AD4F96" w:rsidRPr="00083C4E">
        <w:t xml:space="preserve">znamnou </w:t>
      </w:r>
      <w:r w:rsidR="000D1DBC" w:rsidRPr="00083C4E">
        <w:t xml:space="preserve">oporu ve vládním programu Digitální Česko, mezi jehož hlavním cíle patří digitalizace a digitální transformace státní a veřejné správy. </w:t>
      </w:r>
      <w:r w:rsidR="00E939EC" w:rsidRPr="00083C4E">
        <w:t>Program Digitální Česko je koordinačním místem</w:t>
      </w:r>
      <w:r w:rsidR="00782BE3" w:rsidRPr="00083C4E">
        <w:t xml:space="preserve"> a znalostním centrem (ve spolupráci s jednotlivými útvary Ministerstva vnitra) </w:t>
      </w:r>
      <w:r w:rsidR="00E939EC" w:rsidRPr="00083C4E">
        <w:t>digitalizace a</w:t>
      </w:r>
      <w:r w:rsidR="00782BE3" w:rsidRPr="00083C4E">
        <w:t xml:space="preserve"> digitální transformace. Podpora digitalizace ze strany vlády je zakotvena v Programovém prohlášení vlády. Na politické úrovni je pak prezentována širokou shodou vládních i koaličních stran při přijímání legislativy podporující digitální aktivity. V lednu 2020 byl schválen zákon č. 12/2020 Sb. o právu na digitální služby, který nastavuje povinnost všem veřejným úřadům a institucím vytvořit Katalog služeb a digitalizovat své (</w:t>
      </w:r>
      <w:proofErr w:type="spellStart"/>
      <w:r w:rsidR="00782BE3" w:rsidRPr="00083C4E">
        <w:t>digitalizovatelné</w:t>
      </w:r>
      <w:proofErr w:type="spellEnd"/>
      <w:r w:rsidR="00782BE3" w:rsidRPr="00083C4E">
        <w:t xml:space="preserve">) služby do roku 2025. </w:t>
      </w:r>
      <w:r w:rsidR="00782BE3" w:rsidRPr="00083C4E">
        <w:lastRenderedPageBreak/>
        <w:t>Národní plán obnovy veškeré stávající digitalizační aktivity dále akceleruje a umožňuje v souladu s absorpčními kapacitami jednotlivých</w:t>
      </w:r>
      <w:r w:rsidR="00782BE3" w:rsidRPr="00083C4E">
        <w:rPr>
          <w:iCs w:val="0"/>
          <w:color w:val="000000" w:themeColor="text1"/>
        </w:rPr>
        <w:t xml:space="preserve"> úřadů a institucí zrychlit tempo digitalizace v ČR. </w:t>
      </w:r>
    </w:p>
    <w:p w14:paraId="4575FF58" w14:textId="77777777" w:rsidR="00782BE3" w:rsidRPr="00083C4E" w:rsidRDefault="00782BE3" w:rsidP="005119E2">
      <w:pPr>
        <w:pStyle w:val="K-TextInfo"/>
        <w:rPr>
          <w:i w:val="0"/>
          <w:iCs w:val="0"/>
          <w:color w:val="000000" w:themeColor="text1"/>
        </w:rPr>
      </w:pPr>
      <w:r w:rsidRPr="00083C4E">
        <w:rPr>
          <w:i w:val="0"/>
          <w:iCs w:val="0"/>
          <w:color w:val="000000" w:themeColor="text1"/>
        </w:rPr>
        <w:t>Přidružené programy komponenty.</w:t>
      </w:r>
    </w:p>
    <w:p w14:paraId="5AD1A3D1" w14:textId="77777777" w:rsidR="007A2737" w:rsidRPr="00083C4E" w:rsidRDefault="007A2737" w:rsidP="006F1BEA">
      <w:pPr>
        <w:pStyle w:val="K-Text"/>
        <w:numPr>
          <w:ilvl w:val="0"/>
          <w:numId w:val="23"/>
        </w:numPr>
      </w:pPr>
      <w:r w:rsidRPr="00083C4E">
        <w:t>Investice do digitálních a transformačních projektů prostřednictvím IROP 2014-2020 např. Digitalizace stavebního řízení a územního plánování, vč. projektu Digitální mapy veřejné správy (cca 1 mld. Kč), kybernetická bezpečnost apod.</w:t>
      </w:r>
    </w:p>
    <w:p w14:paraId="37866264" w14:textId="77777777" w:rsidR="007A2737" w:rsidRPr="00083C4E" w:rsidRDefault="007A2737" w:rsidP="006F1BEA">
      <w:pPr>
        <w:pStyle w:val="K-Text"/>
        <w:numPr>
          <w:ilvl w:val="0"/>
          <w:numId w:val="23"/>
        </w:numPr>
      </w:pPr>
      <w:r w:rsidRPr="00083C4E">
        <w:t>Investice prostřednictvím OP PIK 2014-2020 do digitálních a transformačních projekty např. Digitální technické mapy (cca 2,5 mld. Kč)</w:t>
      </w:r>
    </w:p>
    <w:p w14:paraId="39796B86" w14:textId="77777777" w:rsidR="007A2737" w:rsidRPr="00083C4E" w:rsidRDefault="007A2737" w:rsidP="006F1BEA">
      <w:pPr>
        <w:pStyle w:val="K-Text"/>
        <w:numPr>
          <w:ilvl w:val="0"/>
          <w:numId w:val="23"/>
        </w:numPr>
      </w:pPr>
      <w:r w:rsidRPr="00083C4E">
        <w:t xml:space="preserve">Investice do digitálních a transformačních projektů prostřednictvím IROP 2021+, předpokládané investice do oblasti kybernetické bezpečnosti jednotlivých centrálních i lokálních úřadů, poskytovatelů zdravotní péče </w:t>
      </w:r>
      <w:r w:rsidR="007131D9" w:rsidRPr="00083C4E">
        <w:t xml:space="preserve">v regionech </w:t>
      </w:r>
      <w:r w:rsidRPr="00083C4E">
        <w:t>apod.</w:t>
      </w:r>
    </w:p>
    <w:p w14:paraId="021EBB51" w14:textId="77777777" w:rsidR="007A2737" w:rsidRPr="00083C4E" w:rsidRDefault="007A2737" w:rsidP="006F1BEA">
      <w:pPr>
        <w:pStyle w:val="K-Text"/>
        <w:numPr>
          <w:ilvl w:val="0"/>
          <w:numId w:val="23"/>
        </w:numPr>
      </w:pPr>
      <w:r w:rsidRPr="00083C4E">
        <w:t xml:space="preserve">komponenta 1.2 Digitální systémy veřejné správy (RRF – pilíř Digitální transformace), která zahrnuje rozvoj základních registrů, propojeného datového fondu a rozvoj některých agendových informačních systémů </w:t>
      </w:r>
      <w:r w:rsidR="0052541A" w:rsidRPr="00083C4E">
        <w:t xml:space="preserve">vč. jejich napojení do propojeného datového fondu </w:t>
      </w:r>
    </w:p>
    <w:p w14:paraId="7004B869" w14:textId="77777777" w:rsidR="007A2737" w:rsidRPr="00083C4E" w:rsidRDefault="007A2737" w:rsidP="006F1BEA">
      <w:pPr>
        <w:pStyle w:val="K-Text"/>
        <w:numPr>
          <w:ilvl w:val="0"/>
          <w:numId w:val="23"/>
        </w:numPr>
      </w:pPr>
      <w:r w:rsidRPr="00083C4E">
        <w:t>komponenta 1.3 Digitální vysokorychlostní sítě (RRF – pilíř Digitální transformace), která zahrnuje také Vybudování vysokorychlostního připojení pro další socioekonomické aktéry, vč. objektů státní správy a územní samosprávy</w:t>
      </w:r>
    </w:p>
    <w:p w14:paraId="002397E0" w14:textId="77777777" w:rsidR="007A2737" w:rsidRPr="00083C4E" w:rsidRDefault="007A2737" w:rsidP="66DA971A">
      <w:pPr>
        <w:pStyle w:val="K-Text"/>
        <w:numPr>
          <w:ilvl w:val="0"/>
          <w:numId w:val="23"/>
        </w:numPr>
        <w:rPr>
          <w:rFonts w:asciiTheme="minorHAnsi" w:eastAsiaTheme="minorEastAsia" w:hAnsiTheme="minorHAnsi" w:cstheme="minorBidi"/>
          <w:color w:val="000000" w:themeColor="text1"/>
        </w:rPr>
      </w:pPr>
      <w:r w:rsidRPr="00083C4E">
        <w:t>komponenta 1.</w:t>
      </w:r>
      <w:r w:rsidR="00581A1D" w:rsidRPr="00083C4E">
        <w:t>7</w:t>
      </w:r>
      <w:r w:rsidRPr="00083C4E">
        <w:t xml:space="preserve"> </w:t>
      </w:r>
      <w:r w:rsidR="0A4A4173" w:rsidRPr="00083C4E">
        <w:t xml:space="preserve">Zrychlení a digitalizace </w:t>
      </w:r>
      <w:r w:rsidRPr="00083C4E">
        <w:t xml:space="preserve">stavebního </w:t>
      </w:r>
      <w:r w:rsidR="56D982A3" w:rsidRPr="00083C4E">
        <w:t xml:space="preserve">řízení </w:t>
      </w:r>
      <w:r w:rsidRPr="00083C4E">
        <w:t>(RRF – pilíř Digitální transformace), která zahrnuje</w:t>
      </w:r>
      <w:r w:rsidR="199DBFB8" w:rsidRPr="00083C4E">
        <w:t xml:space="preserve"> </w:t>
      </w:r>
      <w:r w:rsidR="75A25EBE" w:rsidRPr="00083C4E">
        <w:rPr>
          <w:rFonts w:eastAsia="Times New Roman"/>
          <w:color w:val="000000" w:themeColor="text1"/>
        </w:rPr>
        <w:t>vytvoření potřebných informačních systémů, zajištění migrace dat do nových informačních systémů a</w:t>
      </w:r>
      <w:r w:rsidR="74F45D03" w:rsidRPr="00083C4E">
        <w:rPr>
          <w:rFonts w:eastAsia="Times New Roman"/>
          <w:color w:val="000000" w:themeColor="text1"/>
        </w:rPr>
        <w:t xml:space="preserve"> konsolidace dat spočívající ve vybudování databáze územně analytických podkladů v jednotném standardu pro zajištění potřeb veřejné správy</w:t>
      </w:r>
    </w:p>
    <w:p w14:paraId="70861D00" w14:textId="7DD8DF62" w:rsidR="0052541A" w:rsidRDefault="0052541A" w:rsidP="006F1BEA">
      <w:pPr>
        <w:pStyle w:val="K-Text"/>
        <w:numPr>
          <w:ilvl w:val="0"/>
          <w:numId w:val="23"/>
        </w:numPr>
      </w:pPr>
      <w:r w:rsidRPr="00083C4E">
        <w:t>komponenta 1.8 Digitální přístup k</w:t>
      </w:r>
      <w:r w:rsidR="003B0775" w:rsidRPr="00083C4E">
        <w:t> </w:t>
      </w:r>
      <w:r w:rsidRPr="00083C4E">
        <w:t>justici</w:t>
      </w:r>
      <w:r w:rsidR="003B0775" w:rsidRPr="00083C4E">
        <w:t xml:space="preserve"> (RRF – pilíř Digitální transformace), která zahrnuje soubor digitalizačních a digitálně-transformačních aktivit v rámci soudnictví. Jedná se především o možnosti vzdálené práce soudních úředníků a soudců, digitalizaci soudního jednání vč. audio záznamů ze soudních síní a možností video konferencí </w:t>
      </w:r>
      <w:r w:rsidRPr="00083C4E">
        <w:t xml:space="preserve"> </w:t>
      </w:r>
    </w:p>
    <w:p w14:paraId="391CDDB7" w14:textId="235F42A6" w:rsidR="0007157F" w:rsidRPr="0007157F" w:rsidRDefault="003D5458" w:rsidP="0007157F">
      <w:pPr>
        <w:pStyle w:val="K-Text"/>
        <w:numPr>
          <w:ilvl w:val="0"/>
          <w:numId w:val="23"/>
        </w:numPr>
      </w:pPr>
      <w:r>
        <w:t>komponenta 1.9 Digit</w:t>
      </w:r>
      <w:r w:rsidR="00314F04">
        <w:t>ální přístup k</w:t>
      </w:r>
      <w:r w:rsidR="00DE7B94">
        <w:t xml:space="preserve"> </w:t>
      </w:r>
      <w:r w:rsidR="00314F04">
        <w:t xml:space="preserve">archiváliím </w:t>
      </w:r>
      <w:r w:rsidR="00E736D1">
        <w:t>(RRF – pilíř Digitální transformace)</w:t>
      </w:r>
      <w:r w:rsidR="00617E26">
        <w:t xml:space="preserve">, která </w:t>
      </w:r>
      <w:r w:rsidR="00F017DD">
        <w:t>zahrnuje</w:t>
      </w:r>
      <w:r w:rsidR="00DE7B94">
        <w:t xml:space="preserve"> </w:t>
      </w:r>
      <w:r w:rsidR="0007157F" w:rsidRPr="0007157F">
        <w:t>zaji</w:t>
      </w:r>
      <w:r w:rsidR="00F017DD">
        <w:t>štění</w:t>
      </w:r>
      <w:r w:rsidR="00DE7B94">
        <w:t xml:space="preserve"> </w:t>
      </w:r>
      <w:r w:rsidR="0007157F" w:rsidRPr="0007157F">
        <w:t>podmín</w:t>
      </w:r>
      <w:r w:rsidR="00F017DD">
        <w:t>e</w:t>
      </w:r>
      <w:r w:rsidR="0007157F" w:rsidRPr="0007157F">
        <w:t>k</w:t>
      </w:r>
      <w:r w:rsidR="00F017DD">
        <w:t xml:space="preserve"> </w:t>
      </w:r>
      <w:r w:rsidR="0007157F" w:rsidRPr="0007157F">
        <w:t>přístupu</w:t>
      </w:r>
      <w:r w:rsidR="00DE7B94">
        <w:t xml:space="preserve"> </w:t>
      </w:r>
      <w:r w:rsidR="0007157F" w:rsidRPr="0007157F">
        <w:t>širší</w:t>
      </w:r>
      <w:r w:rsidR="00DE7B94">
        <w:t xml:space="preserve"> </w:t>
      </w:r>
      <w:r w:rsidR="0007157F" w:rsidRPr="0007157F">
        <w:t>veřejnosti</w:t>
      </w:r>
      <w:r w:rsidR="00DE7B94">
        <w:t xml:space="preserve"> </w:t>
      </w:r>
      <w:r w:rsidR="0007157F" w:rsidRPr="0007157F">
        <w:t>i orgánů státní správy a</w:t>
      </w:r>
      <w:r w:rsidR="00F017DD">
        <w:t xml:space="preserve"> </w:t>
      </w:r>
      <w:r w:rsidR="0007157F" w:rsidRPr="0007157F">
        <w:t>samosprávy</w:t>
      </w:r>
      <w:r w:rsidR="00DE7B94">
        <w:t xml:space="preserve"> </w:t>
      </w:r>
      <w:r w:rsidR="0007157F" w:rsidRPr="0007157F">
        <w:t>k uloženým archiváliím v digitální podobě a</w:t>
      </w:r>
      <w:r w:rsidR="00DE7B94">
        <w:t xml:space="preserve"> </w:t>
      </w:r>
      <w:r w:rsidR="0007157F" w:rsidRPr="0007157F">
        <w:t>zaji</w:t>
      </w:r>
      <w:r w:rsidR="00DE7B94">
        <w:t xml:space="preserve">štění </w:t>
      </w:r>
      <w:r w:rsidR="0007157F" w:rsidRPr="0007157F">
        <w:t>řádn</w:t>
      </w:r>
      <w:r w:rsidR="00DE7B94">
        <w:t xml:space="preserve">é </w:t>
      </w:r>
      <w:r w:rsidR="0007157F" w:rsidRPr="0007157F">
        <w:t>péč</w:t>
      </w:r>
      <w:r w:rsidR="00DE7B94">
        <w:t xml:space="preserve">e </w:t>
      </w:r>
      <w:r w:rsidR="0007157F" w:rsidRPr="0007157F">
        <w:t>státu o archiválie v digitální podobě</w:t>
      </w:r>
    </w:p>
    <w:p w14:paraId="641384C8" w14:textId="77777777" w:rsidR="007A2737" w:rsidRPr="00083C4E" w:rsidRDefault="007A2737" w:rsidP="007A2737">
      <w:pPr>
        <w:pStyle w:val="K-Nadpis3"/>
      </w:pPr>
      <w:r w:rsidRPr="00083C4E">
        <w:t>d) Předchozí snahy</w:t>
      </w:r>
    </w:p>
    <w:p w14:paraId="5BD9D794" w14:textId="77777777" w:rsidR="004E6019" w:rsidRPr="00083C4E" w:rsidRDefault="007A2737" w:rsidP="007C0788">
      <w:pPr>
        <w:pStyle w:val="K-Text"/>
      </w:pPr>
      <w:r w:rsidRPr="00083C4E">
        <w:t>Komponenta akceleruje stávající snahy. Navazuje a dále rozvíjí programy IROP současného i předchozích období a další investice realizované ze státního rozpočtu.</w:t>
      </w:r>
    </w:p>
    <w:p w14:paraId="4F302A52" w14:textId="77777777" w:rsidR="002C20CF" w:rsidRPr="00083C4E" w:rsidRDefault="002C20CF" w:rsidP="00154B73">
      <w:pPr>
        <w:pStyle w:val="K-Nadpis2"/>
      </w:pPr>
      <w:r w:rsidRPr="00083C4E">
        <w:t xml:space="preserve">3. </w:t>
      </w:r>
      <w:r w:rsidR="00AF3BAB" w:rsidRPr="00083C4E">
        <w:t>Popis reforem</w:t>
      </w:r>
      <w:r w:rsidR="009C04D3" w:rsidRPr="00083C4E">
        <w:t xml:space="preserve"> a investic</w:t>
      </w:r>
      <w:r w:rsidR="00AF3BAB" w:rsidRPr="00083C4E">
        <w:t xml:space="preserve"> k</w:t>
      </w:r>
      <w:r w:rsidRPr="00083C4E">
        <w:t>omponent</w:t>
      </w:r>
      <w:r w:rsidR="00AF3BAB" w:rsidRPr="00083C4E">
        <w:t>y</w:t>
      </w:r>
      <w:r w:rsidRPr="00083C4E">
        <w:t xml:space="preserve"> </w:t>
      </w:r>
    </w:p>
    <w:p w14:paraId="05D478AA" w14:textId="77777777" w:rsidR="000C0598" w:rsidRPr="00083C4E" w:rsidRDefault="0015052B" w:rsidP="002D3AC6">
      <w:pPr>
        <w:pStyle w:val="K-Nadpis3"/>
      </w:pPr>
      <w:r w:rsidRPr="00083C4E">
        <w:t>a</w:t>
      </w:r>
      <w:r w:rsidR="000C0598" w:rsidRPr="00083C4E">
        <w:t>) Popis r</w:t>
      </w:r>
      <w:r w:rsidR="002E19BA" w:rsidRPr="00083C4E">
        <w:t>efor</w:t>
      </w:r>
      <w:r w:rsidR="000C0598" w:rsidRPr="00083C4E">
        <w:t>e</w:t>
      </w:r>
      <w:r w:rsidR="002E19BA" w:rsidRPr="00083C4E">
        <w:t xml:space="preserve">m </w:t>
      </w:r>
    </w:p>
    <w:p w14:paraId="4325C250" w14:textId="77777777" w:rsidR="00ED612A" w:rsidRPr="00083C4E" w:rsidRDefault="005B3F5C" w:rsidP="005B3F5C">
      <w:pPr>
        <w:pStyle w:val="K-Tabulka"/>
      </w:pPr>
      <w:r w:rsidRPr="00083C4E">
        <w:t xml:space="preserve">1. </w:t>
      </w:r>
      <w:r w:rsidR="008748AE" w:rsidRPr="00083C4E">
        <w:t>Digitální služby pro koncové uživatele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852465" w:rsidRPr="00083C4E" w14:paraId="07D4BDDE" w14:textId="77777777" w:rsidTr="00081843">
        <w:tc>
          <w:tcPr>
            <w:tcW w:w="2405" w:type="dxa"/>
          </w:tcPr>
          <w:p w14:paraId="1A9C4584" w14:textId="77777777" w:rsidR="00852465" w:rsidRPr="00083C4E" w:rsidRDefault="00852465" w:rsidP="00081843">
            <w:pPr>
              <w:pStyle w:val="K-Text"/>
              <w:jc w:val="left"/>
            </w:pPr>
            <w:r w:rsidRPr="00083C4E">
              <w:t>Výzva</w:t>
            </w:r>
          </w:p>
        </w:tc>
        <w:tc>
          <w:tcPr>
            <w:tcW w:w="7223" w:type="dxa"/>
          </w:tcPr>
          <w:p w14:paraId="7823933F" w14:textId="77777777" w:rsidR="00852465" w:rsidRPr="00083C4E" w:rsidRDefault="008C20C0" w:rsidP="00852465">
            <w:pPr>
              <w:pStyle w:val="K-TextInfo"/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Česká republika je dlouhodobě hodnocena pod průměrem EU v indexu DESI</w:t>
            </w:r>
            <w:r w:rsidR="67E78854" w:rsidRPr="00083C4E">
              <w:rPr>
                <w:rFonts w:eastAsia="Times New Roman"/>
                <w:i w:val="0"/>
                <w:iCs w:val="0"/>
                <w:color w:val="000000" w:themeColor="text1"/>
              </w:rPr>
              <w:t>,</w:t>
            </w:r>
            <w:r w:rsidRPr="00083C4E">
              <w:rPr>
                <w:rFonts w:eastAsia="Times New Roman"/>
                <w:i w:val="0"/>
                <w:color w:val="000000" w:themeColor="text1"/>
              </w:rPr>
              <w:t xml:space="preserve"> a to jak celkově, tak především v rámci dimenze </w:t>
            </w:r>
            <w:proofErr w:type="spellStart"/>
            <w:r w:rsidRPr="00083C4E">
              <w:rPr>
                <w:rFonts w:eastAsia="Times New Roman"/>
                <w:i w:val="0"/>
                <w:color w:val="000000" w:themeColor="text1"/>
              </w:rPr>
              <w:t>eGovernment</w:t>
            </w:r>
            <w:proofErr w:type="spellEnd"/>
            <w:r w:rsidRPr="00083C4E">
              <w:rPr>
                <w:rFonts w:eastAsia="Times New Roman"/>
                <w:i w:val="0"/>
                <w:color w:val="000000" w:themeColor="text1"/>
              </w:rPr>
              <w:t>. Pouze omezené spektrum služeb pro koncové klienty je v současné době plně digitalizováno.</w:t>
            </w:r>
            <w:r w:rsidR="0052092A" w:rsidRPr="00083C4E">
              <w:rPr>
                <w:rFonts w:eastAsia="Times New Roman"/>
                <w:i w:val="0"/>
                <w:color w:val="000000" w:themeColor="text1"/>
              </w:rPr>
              <w:t xml:space="preserve"> </w:t>
            </w:r>
            <w:r w:rsidR="00005D48" w:rsidRPr="00083C4E">
              <w:rPr>
                <w:rFonts w:eastAsia="Times New Roman"/>
                <w:i w:val="0"/>
                <w:color w:val="000000" w:themeColor="text1"/>
              </w:rPr>
              <w:t xml:space="preserve">Služby občanům a firmám jsou poskytovány ve fragmentované podobě – tedy jako jednotlivé služby bez toho, aby bylo možné v rámci jednoho přihlášení a operace tyto služby zřetězit do řešení </w:t>
            </w:r>
            <w:r w:rsidR="00005D48" w:rsidRPr="00083C4E">
              <w:rPr>
                <w:rFonts w:eastAsia="Times New Roman"/>
                <w:i w:val="0"/>
                <w:color w:val="000000" w:themeColor="text1"/>
              </w:rPr>
              <w:lastRenderedPageBreak/>
              <w:t>životní či podnikatelské situace.</w:t>
            </w:r>
            <w:r w:rsidR="009D06CC" w:rsidRPr="00083C4E">
              <w:rPr>
                <w:rFonts w:eastAsia="Times New Roman"/>
                <w:i w:val="0"/>
                <w:color w:val="000000" w:themeColor="text1"/>
              </w:rPr>
              <w:t xml:space="preserve"> </w:t>
            </w:r>
            <w:r w:rsidR="00BC69B9" w:rsidRPr="00083C4E">
              <w:rPr>
                <w:rFonts w:eastAsia="Times New Roman"/>
                <w:i w:val="0"/>
                <w:color w:val="000000" w:themeColor="text1"/>
              </w:rPr>
              <w:t>O</w:t>
            </w:r>
            <w:r w:rsidR="00F61F94" w:rsidRPr="00083C4E">
              <w:rPr>
                <w:rFonts w:eastAsia="Times New Roman"/>
                <w:i w:val="0"/>
                <w:color w:val="000000" w:themeColor="text1"/>
              </w:rPr>
              <w:t xml:space="preserve">mezené spektrum formulářů, které vyplňují </w:t>
            </w:r>
            <w:proofErr w:type="spellStart"/>
            <w:r w:rsidR="00F61F94" w:rsidRPr="00083C4E">
              <w:rPr>
                <w:rFonts w:eastAsia="Times New Roman"/>
                <w:i w:val="0"/>
                <w:color w:val="000000" w:themeColor="text1"/>
              </w:rPr>
              <w:t>eGovernment</w:t>
            </w:r>
            <w:proofErr w:type="spellEnd"/>
            <w:r w:rsidR="00F61F94" w:rsidRPr="00083C4E">
              <w:rPr>
                <w:rFonts w:eastAsia="Times New Roman"/>
                <w:i w:val="0"/>
                <w:color w:val="000000" w:themeColor="text1"/>
              </w:rPr>
              <w:t xml:space="preserve"> uživatelé je </w:t>
            </w:r>
            <w:proofErr w:type="spellStart"/>
            <w:r w:rsidR="00F61F94" w:rsidRPr="00083C4E">
              <w:rPr>
                <w:rFonts w:eastAsia="Times New Roman"/>
                <w:i w:val="0"/>
                <w:color w:val="000000" w:themeColor="text1"/>
              </w:rPr>
              <w:t>předvyplňováno</w:t>
            </w:r>
            <w:proofErr w:type="spellEnd"/>
            <w:r w:rsidR="00F61F94" w:rsidRPr="00083C4E">
              <w:rPr>
                <w:rFonts w:eastAsia="Times New Roman"/>
                <w:i w:val="0"/>
                <w:color w:val="000000" w:themeColor="text1"/>
              </w:rPr>
              <w:t xml:space="preserve"> relevantními daty</w:t>
            </w:r>
            <w:r w:rsidR="77B756F2" w:rsidRPr="00083C4E">
              <w:rPr>
                <w:rFonts w:eastAsia="Times New Roman"/>
                <w:i w:val="0"/>
                <w:iCs w:val="0"/>
                <w:color w:val="000000" w:themeColor="text1"/>
              </w:rPr>
              <w:t>,</w:t>
            </w:r>
            <w:r w:rsidR="00F61F94" w:rsidRPr="00083C4E">
              <w:rPr>
                <w:rFonts w:eastAsia="Times New Roman"/>
                <w:i w:val="0"/>
                <w:color w:val="000000" w:themeColor="text1"/>
              </w:rPr>
              <w:t xml:space="preserve"> a to jak daty ze základních registrů</w:t>
            </w:r>
            <w:r w:rsidR="1D664B09" w:rsidRPr="00083C4E">
              <w:rPr>
                <w:rFonts w:eastAsia="Times New Roman"/>
                <w:i w:val="0"/>
                <w:iCs w:val="0"/>
                <w:color w:val="000000" w:themeColor="text1"/>
              </w:rPr>
              <w:t>,</w:t>
            </w:r>
            <w:r w:rsidR="00F61F94" w:rsidRPr="00083C4E">
              <w:rPr>
                <w:rFonts w:eastAsia="Times New Roman"/>
                <w:i w:val="0"/>
                <w:color w:val="000000" w:themeColor="text1"/>
              </w:rPr>
              <w:t xml:space="preserve"> tak i daty ze specifických agendových systémů. Princip </w:t>
            </w:r>
            <w:proofErr w:type="spellStart"/>
            <w:r w:rsidR="00F61F94" w:rsidRPr="00083C4E">
              <w:rPr>
                <w:rFonts w:eastAsia="Times New Roman"/>
                <w:i w:val="0"/>
                <w:color w:val="000000" w:themeColor="text1"/>
              </w:rPr>
              <w:t>only</w:t>
            </w:r>
            <w:proofErr w:type="spellEnd"/>
            <w:r w:rsidR="00F61F94" w:rsidRPr="00083C4E">
              <w:rPr>
                <w:rFonts w:eastAsia="Times New Roman"/>
                <w:i w:val="0"/>
                <w:color w:val="000000" w:themeColor="text1"/>
              </w:rPr>
              <w:t xml:space="preserve"> </w:t>
            </w:r>
            <w:proofErr w:type="spellStart"/>
            <w:r w:rsidR="00F61F94" w:rsidRPr="00083C4E">
              <w:rPr>
                <w:rFonts w:eastAsia="Times New Roman"/>
                <w:i w:val="0"/>
                <w:color w:val="000000" w:themeColor="text1"/>
              </w:rPr>
              <w:t>once</w:t>
            </w:r>
            <w:proofErr w:type="spellEnd"/>
            <w:r w:rsidR="00F61F94" w:rsidRPr="00083C4E">
              <w:rPr>
                <w:rFonts w:eastAsia="Times New Roman"/>
                <w:i w:val="0"/>
                <w:color w:val="000000" w:themeColor="text1"/>
              </w:rPr>
              <w:t xml:space="preserve"> není široce aplikován</w:t>
            </w:r>
            <w:r w:rsidR="00BC69B9" w:rsidRPr="00083C4E">
              <w:rPr>
                <w:rFonts w:eastAsia="Times New Roman"/>
                <w:i w:val="0"/>
                <w:color w:val="000000" w:themeColor="text1"/>
              </w:rPr>
              <w:t xml:space="preserve">. </w:t>
            </w:r>
            <w:r w:rsidR="009D06CC" w:rsidRPr="00083C4E">
              <w:rPr>
                <w:rFonts w:eastAsia="Times New Roman"/>
                <w:i w:val="0"/>
                <w:color w:val="000000" w:themeColor="text1"/>
              </w:rPr>
              <w:t xml:space="preserve">Na výrazné zlepšení individuálních indikátorů 5a1 Uživatelé </w:t>
            </w:r>
            <w:proofErr w:type="spellStart"/>
            <w:r w:rsidR="009D06CC" w:rsidRPr="00083C4E">
              <w:rPr>
                <w:rFonts w:eastAsia="Times New Roman"/>
                <w:i w:val="0"/>
                <w:color w:val="000000" w:themeColor="text1"/>
              </w:rPr>
              <w:t>eGovernmentu</w:t>
            </w:r>
            <w:proofErr w:type="spellEnd"/>
            <w:r w:rsidR="009D06CC" w:rsidRPr="00083C4E">
              <w:rPr>
                <w:rFonts w:eastAsia="Times New Roman"/>
                <w:i w:val="0"/>
                <w:color w:val="000000" w:themeColor="text1"/>
              </w:rPr>
              <w:t xml:space="preserve"> a </w:t>
            </w:r>
            <w:r w:rsidR="00F61F94" w:rsidRPr="00083C4E">
              <w:rPr>
                <w:rFonts w:eastAsia="Times New Roman"/>
                <w:i w:val="0"/>
                <w:color w:val="000000" w:themeColor="text1"/>
              </w:rPr>
              <w:t xml:space="preserve">5a2 Předvyplněné formuláře </w:t>
            </w:r>
            <w:r w:rsidR="009D06CC" w:rsidRPr="00083C4E">
              <w:rPr>
                <w:rFonts w:eastAsia="Times New Roman"/>
                <w:i w:val="0"/>
                <w:color w:val="000000" w:themeColor="text1"/>
              </w:rPr>
              <w:t xml:space="preserve">se zaměřuje tato </w:t>
            </w:r>
            <w:r w:rsidR="006D443B" w:rsidRPr="00083C4E">
              <w:rPr>
                <w:rFonts w:eastAsia="Times New Roman"/>
                <w:i w:val="0"/>
                <w:color w:val="000000" w:themeColor="text1"/>
              </w:rPr>
              <w:t>reforma</w:t>
            </w:r>
            <w:r w:rsidR="009D06CC" w:rsidRPr="00083C4E">
              <w:rPr>
                <w:rFonts w:eastAsia="Times New Roman"/>
                <w:i w:val="0"/>
                <w:color w:val="000000" w:themeColor="text1"/>
              </w:rPr>
              <w:t>.</w:t>
            </w:r>
          </w:p>
        </w:tc>
      </w:tr>
      <w:tr w:rsidR="00852465" w:rsidRPr="00083C4E" w14:paraId="51CFD787" w14:textId="77777777" w:rsidTr="00081843">
        <w:tc>
          <w:tcPr>
            <w:tcW w:w="2405" w:type="dxa"/>
          </w:tcPr>
          <w:p w14:paraId="0784A95F" w14:textId="77777777" w:rsidR="00852465" w:rsidRPr="00083C4E" w:rsidRDefault="00852465" w:rsidP="00081843">
            <w:pPr>
              <w:pStyle w:val="K-Text"/>
              <w:jc w:val="left"/>
            </w:pPr>
            <w:r w:rsidRPr="00083C4E">
              <w:lastRenderedPageBreak/>
              <w:t>Cíl</w:t>
            </w:r>
          </w:p>
        </w:tc>
        <w:tc>
          <w:tcPr>
            <w:tcW w:w="7223" w:type="dxa"/>
          </w:tcPr>
          <w:p w14:paraId="07624C13" w14:textId="77777777" w:rsidR="00F61F94" w:rsidRPr="00083C4E" w:rsidRDefault="00F61F94" w:rsidP="00F042F0">
            <w:pPr>
              <w:pStyle w:val="K-TextInfo"/>
              <w:numPr>
                <w:ilvl w:val="0"/>
                <w:numId w:val="24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 xml:space="preserve">Do 30.11.2024 zvýšit hodnotu DESI v individuálním indikátoru </w:t>
            </w:r>
            <w:r w:rsidR="3AD287FC" w:rsidRPr="00083C4E">
              <w:rPr>
                <w:rFonts w:eastAsia="Times New Roman"/>
                <w:i w:val="0"/>
                <w:iCs w:val="0"/>
                <w:color w:val="000000" w:themeColor="text1"/>
              </w:rPr>
              <w:t>5</w:t>
            </w:r>
            <w:r w:rsidR="62052412" w:rsidRPr="00083C4E">
              <w:rPr>
                <w:rFonts w:eastAsia="Times New Roman"/>
                <w:i w:val="0"/>
                <w:iCs w:val="0"/>
                <w:color w:val="000000" w:themeColor="text1"/>
              </w:rPr>
              <w:t xml:space="preserve"> </w:t>
            </w:r>
            <w:r w:rsidR="3AD287FC" w:rsidRPr="00083C4E">
              <w:rPr>
                <w:rFonts w:eastAsia="Times New Roman"/>
                <w:i w:val="0"/>
                <w:iCs w:val="0"/>
                <w:color w:val="000000" w:themeColor="text1"/>
              </w:rPr>
              <w:t>a</w:t>
            </w:r>
            <w:r w:rsidR="72CC904E" w:rsidRPr="00083C4E">
              <w:rPr>
                <w:rFonts w:eastAsia="Times New Roman"/>
                <w:i w:val="0"/>
                <w:iCs w:val="0"/>
                <w:color w:val="000000" w:themeColor="text1"/>
              </w:rPr>
              <w:t xml:space="preserve"> </w:t>
            </w:r>
            <w:r w:rsidR="3AD287FC" w:rsidRPr="00083C4E">
              <w:rPr>
                <w:rFonts w:eastAsia="Times New Roman"/>
                <w:i w:val="0"/>
                <w:iCs w:val="0"/>
                <w:color w:val="000000" w:themeColor="text1"/>
              </w:rPr>
              <w:t>2</w:t>
            </w:r>
            <w:r w:rsidRPr="00083C4E">
              <w:rPr>
                <w:rFonts w:eastAsia="Times New Roman"/>
                <w:i w:val="0"/>
                <w:color w:val="000000" w:themeColor="text1"/>
              </w:rPr>
              <w:t xml:space="preserve"> </w:t>
            </w:r>
            <w:proofErr w:type="spellStart"/>
            <w:r w:rsidR="002E4792" w:rsidRPr="00083C4E">
              <w:rPr>
                <w:rFonts w:eastAsia="Times New Roman"/>
                <w:i w:val="0"/>
                <w:color w:val="000000" w:themeColor="text1"/>
              </w:rPr>
              <w:t>P</w:t>
            </w:r>
            <w:r w:rsidRPr="00083C4E">
              <w:rPr>
                <w:rFonts w:eastAsia="Times New Roman"/>
                <w:i w:val="0"/>
                <w:color w:val="000000" w:themeColor="text1"/>
              </w:rPr>
              <w:t>ředvyplňované</w:t>
            </w:r>
            <w:proofErr w:type="spellEnd"/>
            <w:r w:rsidRPr="00083C4E">
              <w:rPr>
                <w:rFonts w:eastAsia="Times New Roman"/>
                <w:i w:val="0"/>
                <w:color w:val="000000" w:themeColor="text1"/>
              </w:rPr>
              <w:t xml:space="preserve"> formuláře ze stávající hodnoty 52,5 min. na 65 bodů </w:t>
            </w:r>
          </w:p>
          <w:p w14:paraId="610D2EF8" w14:textId="77777777" w:rsidR="00852465" w:rsidRPr="00083C4E" w:rsidRDefault="00005D48" w:rsidP="00F042F0">
            <w:pPr>
              <w:pStyle w:val="K-TextInfo"/>
              <w:numPr>
                <w:ilvl w:val="0"/>
                <w:numId w:val="24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 xml:space="preserve">Nárůst počtu elektronických podání vůči státním úřadům a organizacím v termínu do 31.10. 2025 o </w:t>
            </w:r>
            <w:r w:rsidR="00F84B99" w:rsidRPr="00083C4E">
              <w:rPr>
                <w:rFonts w:eastAsia="Times New Roman"/>
                <w:i w:val="0"/>
                <w:color w:val="000000" w:themeColor="text1"/>
              </w:rPr>
              <w:t>100</w:t>
            </w:r>
            <w:r w:rsidR="6585FB3F" w:rsidRPr="00083C4E">
              <w:rPr>
                <w:rFonts w:eastAsia="Times New Roman"/>
                <w:i w:val="0"/>
                <w:iCs w:val="0"/>
                <w:color w:val="000000" w:themeColor="text1"/>
              </w:rPr>
              <w:t xml:space="preserve"> </w:t>
            </w:r>
            <w:r w:rsidRPr="00083C4E">
              <w:rPr>
                <w:rFonts w:eastAsia="Times New Roman"/>
                <w:i w:val="0"/>
                <w:color w:val="000000" w:themeColor="text1"/>
              </w:rPr>
              <w:t>% oproti počtu k 31.12.2019</w:t>
            </w:r>
          </w:p>
        </w:tc>
      </w:tr>
      <w:tr w:rsidR="00852465" w:rsidRPr="00083C4E" w14:paraId="564692A5" w14:textId="77777777" w:rsidTr="00081843">
        <w:tc>
          <w:tcPr>
            <w:tcW w:w="2405" w:type="dxa"/>
          </w:tcPr>
          <w:p w14:paraId="2D8C446A" w14:textId="77777777" w:rsidR="00852465" w:rsidRPr="00083C4E" w:rsidRDefault="00852465" w:rsidP="00081843">
            <w:pPr>
              <w:pStyle w:val="K-Text"/>
              <w:jc w:val="left"/>
            </w:pPr>
            <w:r w:rsidRPr="00083C4E">
              <w:t>Implementace</w:t>
            </w:r>
          </w:p>
        </w:tc>
        <w:tc>
          <w:tcPr>
            <w:tcW w:w="7223" w:type="dxa"/>
          </w:tcPr>
          <w:p w14:paraId="79295F56" w14:textId="77777777" w:rsidR="00852465" w:rsidRPr="00083C4E" w:rsidRDefault="005509FB" w:rsidP="00852465">
            <w:pPr>
              <w:pStyle w:val="K-TextInfo"/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Reforma je složena z</w:t>
            </w:r>
            <w:r w:rsidR="00AF08BC" w:rsidRPr="00083C4E">
              <w:rPr>
                <w:rFonts w:eastAsia="Times New Roman"/>
                <w:i w:val="0"/>
                <w:color w:val="000000" w:themeColor="text1"/>
              </w:rPr>
              <w:t> jednoho programu a</w:t>
            </w:r>
            <w:r w:rsidRPr="00083C4E">
              <w:rPr>
                <w:rFonts w:eastAsia="Times New Roman"/>
                <w:i w:val="0"/>
                <w:color w:val="000000" w:themeColor="text1"/>
              </w:rPr>
              <w:t xml:space="preserve"> </w:t>
            </w:r>
            <w:r w:rsidR="6F68CCB9" w:rsidRPr="00083C4E">
              <w:rPr>
                <w:rFonts w:eastAsia="Times New Roman"/>
                <w:i w:val="0"/>
                <w:iCs w:val="0"/>
                <w:color w:val="000000" w:themeColor="text1"/>
              </w:rPr>
              <w:t>2</w:t>
            </w:r>
            <w:r w:rsidR="253CDB59" w:rsidRPr="00083C4E">
              <w:rPr>
                <w:rFonts w:eastAsia="Times New Roman"/>
                <w:i w:val="0"/>
                <w:iCs w:val="0"/>
                <w:color w:val="000000" w:themeColor="text1"/>
              </w:rPr>
              <w:t>4</w:t>
            </w:r>
            <w:r w:rsidRPr="00083C4E">
              <w:rPr>
                <w:rFonts w:eastAsia="Times New Roman"/>
                <w:i w:val="0"/>
                <w:color w:val="000000" w:themeColor="text1"/>
              </w:rPr>
              <w:t xml:space="preserve"> vzájemně propojených či na sebe navazujících projektů. Jejich koordinaci bude vykonávat programová kancelář Digitální Česko ve spolupráci s Ministerstvem vnitra jako gestorem digitalizace veřejné správy</w:t>
            </w:r>
            <w:r w:rsidR="72BAC713" w:rsidRPr="00083C4E">
              <w:rPr>
                <w:rFonts w:eastAsia="Times New Roman"/>
                <w:i w:val="0"/>
                <w:iCs w:val="0"/>
                <w:color w:val="000000" w:themeColor="text1"/>
              </w:rPr>
              <w:t xml:space="preserve"> a </w:t>
            </w:r>
            <w:r w:rsidR="419A5ECF" w:rsidRPr="00083C4E">
              <w:rPr>
                <w:rFonts w:eastAsia="Times New Roman"/>
                <w:i w:val="0"/>
                <w:iCs w:val="0"/>
                <w:color w:val="000000" w:themeColor="text1"/>
              </w:rPr>
              <w:t xml:space="preserve">v případě projektů zaměřených na oblast turismu pak s Ministerstvem pro místní rozvoj a </w:t>
            </w:r>
            <w:r w:rsidR="72BAC713" w:rsidRPr="00083C4E">
              <w:rPr>
                <w:rFonts w:eastAsia="Times New Roman"/>
                <w:i w:val="0"/>
                <w:iCs w:val="0"/>
                <w:color w:val="000000" w:themeColor="text1"/>
              </w:rPr>
              <w:t xml:space="preserve">agenturou </w:t>
            </w:r>
            <w:r w:rsidR="568323B2" w:rsidRPr="00083C4E">
              <w:rPr>
                <w:rFonts w:eastAsia="Times New Roman"/>
                <w:i w:val="0"/>
                <w:iCs w:val="0"/>
                <w:color w:val="000000" w:themeColor="text1"/>
              </w:rPr>
              <w:t xml:space="preserve">Czech </w:t>
            </w:r>
            <w:proofErr w:type="spellStart"/>
            <w:r w:rsidR="568323B2" w:rsidRPr="00083C4E">
              <w:rPr>
                <w:rFonts w:eastAsia="Times New Roman"/>
                <w:i w:val="0"/>
                <w:iCs w:val="0"/>
                <w:color w:val="000000" w:themeColor="text1"/>
              </w:rPr>
              <w:t>Tourism</w:t>
            </w:r>
            <w:proofErr w:type="spellEnd"/>
            <w:r w:rsidRPr="00083C4E">
              <w:rPr>
                <w:rFonts w:eastAsia="Times New Roman"/>
                <w:i w:val="0"/>
                <w:color w:val="000000" w:themeColor="text1"/>
              </w:rPr>
              <w:t xml:space="preserve">. </w:t>
            </w:r>
          </w:p>
          <w:p w14:paraId="433B555C" w14:textId="77777777" w:rsidR="005509FB" w:rsidRPr="00083C4E" w:rsidRDefault="005509FB" w:rsidP="00852465">
            <w:pPr>
              <w:pStyle w:val="K-TextInfo"/>
              <w:rPr>
                <w:rFonts w:eastAsia="Times New Roman"/>
                <w:i w:val="0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Programová kancelář bude mít ve vrcholných řídících strukturách projekt</w:t>
            </w:r>
            <w:r w:rsidR="00F84B99" w:rsidRPr="00083C4E">
              <w:rPr>
                <w:rFonts w:eastAsia="Times New Roman"/>
                <w:i w:val="0"/>
                <w:color w:val="000000" w:themeColor="text1"/>
              </w:rPr>
              <w:t>ů</w:t>
            </w:r>
            <w:r w:rsidRPr="00083C4E">
              <w:rPr>
                <w:rFonts w:eastAsia="Times New Roman"/>
                <w:i w:val="0"/>
                <w:color w:val="000000" w:themeColor="text1"/>
              </w:rPr>
              <w:t xml:space="preserve"> svého zástupce, který bude monitorovat vývoj projektu</w:t>
            </w:r>
            <w:r w:rsidR="006D21BA" w:rsidRPr="00083C4E">
              <w:rPr>
                <w:rFonts w:eastAsia="Times New Roman"/>
                <w:i w:val="0"/>
                <w:color w:val="000000" w:themeColor="text1"/>
              </w:rPr>
              <w:t xml:space="preserve"> v čase vč. </w:t>
            </w:r>
            <w:r w:rsidR="00440455" w:rsidRPr="00083C4E">
              <w:rPr>
                <w:rFonts w:eastAsia="Times New Roman"/>
                <w:i w:val="0"/>
                <w:color w:val="000000" w:themeColor="text1"/>
              </w:rPr>
              <w:t>stavu naplňování</w:t>
            </w:r>
            <w:r w:rsidR="006D21BA" w:rsidRPr="00083C4E">
              <w:rPr>
                <w:rFonts w:eastAsia="Times New Roman"/>
                <w:i w:val="0"/>
                <w:color w:val="000000" w:themeColor="text1"/>
              </w:rPr>
              <w:t xml:space="preserve"> jeho indikátorů</w:t>
            </w:r>
            <w:r w:rsidRPr="00083C4E">
              <w:rPr>
                <w:rFonts w:eastAsia="Times New Roman"/>
                <w:i w:val="0"/>
                <w:color w:val="000000" w:themeColor="text1"/>
              </w:rPr>
              <w:t xml:space="preserve"> a v případě problémů je bude</w:t>
            </w:r>
            <w:r w:rsidR="006D21BA" w:rsidRPr="00083C4E">
              <w:rPr>
                <w:rFonts w:eastAsia="Times New Roman"/>
                <w:i w:val="0"/>
                <w:color w:val="000000" w:themeColor="text1"/>
              </w:rPr>
              <w:t xml:space="preserve"> neprodleně</w:t>
            </w:r>
            <w:r w:rsidRPr="00083C4E">
              <w:rPr>
                <w:rFonts w:eastAsia="Times New Roman"/>
                <w:i w:val="0"/>
                <w:color w:val="000000" w:themeColor="text1"/>
              </w:rPr>
              <w:t xml:space="preserve"> eskalovat na úroveň vládního zmocněnce pro IT a digitalizaci.</w:t>
            </w:r>
            <w:r w:rsidR="006D21BA" w:rsidRPr="00083C4E">
              <w:rPr>
                <w:rFonts w:eastAsia="Times New Roman"/>
                <w:i w:val="0"/>
                <w:color w:val="000000" w:themeColor="text1"/>
              </w:rPr>
              <w:t xml:space="preserve"> Vedení programové kanceláře bude o běhu projektu informováno na pravidelné cca </w:t>
            </w:r>
            <w:r w:rsidR="00F84B99" w:rsidRPr="00083C4E">
              <w:rPr>
                <w:rFonts w:eastAsia="Times New Roman"/>
                <w:i w:val="0"/>
                <w:color w:val="000000" w:themeColor="text1"/>
              </w:rPr>
              <w:t>měsíční</w:t>
            </w:r>
            <w:r w:rsidR="006D21BA" w:rsidRPr="00083C4E">
              <w:rPr>
                <w:rFonts w:eastAsia="Times New Roman"/>
                <w:i w:val="0"/>
                <w:color w:val="000000" w:themeColor="text1"/>
              </w:rPr>
              <w:t xml:space="preserve"> bázi.</w:t>
            </w:r>
          </w:p>
        </w:tc>
      </w:tr>
      <w:tr w:rsidR="00852465" w:rsidRPr="00083C4E" w14:paraId="1C7FFE04" w14:textId="77777777" w:rsidTr="00081843">
        <w:trPr>
          <w:trHeight w:val="70"/>
        </w:trPr>
        <w:tc>
          <w:tcPr>
            <w:tcW w:w="2405" w:type="dxa"/>
          </w:tcPr>
          <w:p w14:paraId="6C74B72E" w14:textId="77777777" w:rsidR="00852465" w:rsidRPr="00083C4E" w:rsidRDefault="005B3F5C" w:rsidP="00081843">
            <w:pPr>
              <w:pStyle w:val="K-Text"/>
              <w:jc w:val="left"/>
            </w:pPr>
            <w:r w:rsidRPr="00083C4E">
              <w:t>Spolupráce a z</w:t>
            </w:r>
            <w:r w:rsidR="00852465" w:rsidRPr="00083C4E">
              <w:t>apojení zúčastněných stran</w:t>
            </w:r>
          </w:p>
        </w:tc>
        <w:tc>
          <w:tcPr>
            <w:tcW w:w="7223" w:type="dxa"/>
          </w:tcPr>
          <w:p w14:paraId="54A4477C" w14:textId="77777777" w:rsidR="006D21BA" w:rsidRPr="00083C4E" w:rsidRDefault="006D21BA" w:rsidP="00852465">
            <w:pPr>
              <w:pStyle w:val="K-TextInfo"/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Hlavními nositeli jednotlivých projektů jsou:</w:t>
            </w:r>
          </w:p>
          <w:p w14:paraId="3D574FEA" w14:textId="77777777" w:rsidR="00BC69B9" w:rsidRPr="00083C4E" w:rsidRDefault="00BC69B9" w:rsidP="00BC69B9">
            <w:pPr>
              <w:pStyle w:val="K-TextInfo"/>
              <w:numPr>
                <w:ilvl w:val="0"/>
                <w:numId w:val="25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Ministerstvo dopravy</w:t>
            </w:r>
          </w:p>
          <w:p w14:paraId="59A1A51D" w14:textId="77777777" w:rsidR="00BC69B9" w:rsidRPr="00083C4E" w:rsidRDefault="00BC69B9" w:rsidP="00BC69B9">
            <w:pPr>
              <w:pStyle w:val="K-TextInfo"/>
              <w:numPr>
                <w:ilvl w:val="0"/>
                <w:numId w:val="25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 xml:space="preserve">Ministerstvo financí </w:t>
            </w:r>
          </w:p>
          <w:p w14:paraId="294832F6" w14:textId="77777777" w:rsidR="00BC69B9" w:rsidRPr="00083C4E" w:rsidRDefault="00BC69B9" w:rsidP="00BC69B9">
            <w:pPr>
              <w:pStyle w:val="K-TextInfo"/>
              <w:numPr>
                <w:ilvl w:val="0"/>
                <w:numId w:val="25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Ministerstvo práce a sociálních věcí</w:t>
            </w:r>
          </w:p>
          <w:p w14:paraId="51D7D0A5" w14:textId="77777777" w:rsidR="00BC69B9" w:rsidRPr="00083C4E" w:rsidRDefault="00BC69B9" w:rsidP="00BC69B9">
            <w:pPr>
              <w:pStyle w:val="K-TextInfo"/>
              <w:numPr>
                <w:ilvl w:val="0"/>
                <w:numId w:val="25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Ministerstvo pro místní rozvoj</w:t>
            </w:r>
          </w:p>
          <w:p w14:paraId="5F6C3C81" w14:textId="77777777" w:rsidR="00BC69B9" w:rsidRPr="00083C4E" w:rsidRDefault="00BC69B9" w:rsidP="00BC69B9">
            <w:pPr>
              <w:pStyle w:val="K-TextInfo"/>
              <w:numPr>
                <w:ilvl w:val="0"/>
                <w:numId w:val="25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 xml:space="preserve">Ministerstvo průmyslu a obchodu </w:t>
            </w:r>
          </w:p>
          <w:p w14:paraId="565A16A6" w14:textId="77777777" w:rsidR="00BC69B9" w:rsidRPr="00083C4E" w:rsidRDefault="00BC69B9" w:rsidP="00BC69B9">
            <w:pPr>
              <w:pStyle w:val="K-TextInfo"/>
              <w:numPr>
                <w:ilvl w:val="0"/>
                <w:numId w:val="25"/>
              </w:numPr>
              <w:rPr>
                <w:rFonts w:eastAsia="Times New Roman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Ministerstvo školství</w:t>
            </w:r>
          </w:p>
          <w:p w14:paraId="5923CCD3" w14:textId="77777777" w:rsidR="00BC69B9" w:rsidRPr="00083C4E" w:rsidRDefault="00BC69B9" w:rsidP="00BC69B9">
            <w:pPr>
              <w:pStyle w:val="K-TextInfo"/>
              <w:numPr>
                <w:ilvl w:val="0"/>
                <w:numId w:val="25"/>
              </w:numPr>
              <w:rPr>
                <w:rFonts w:eastAsia="Times New Roman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Ministerstvo vnitra</w:t>
            </w:r>
          </w:p>
          <w:p w14:paraId="4D75916B" w14:textId="77777777" w:rsidR="00BC69B9" w:rsidRPr="00083C4E" w:rsidRDefault="00BC69B9" w:rsidP="00BC69B9">
            <w:pPr>
              <w:pStyle w:val="K-TextInfo"/>
              <w:numPr>
                <w:ilvl w:val="0"/>
                <w:numId w:val="25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Ministerstvo životního prostředí</w:t>
            </w:r>
          </w:p>
          <w:p w14:paraId="32589CC0" w14:textId="77777777" w:rsidR="492D1683" w:rsidRPr="00083C4E" w:rsidRDefault="492D1683" w:rsidP="04BA968A">
            <w:pPr>
              <w:pStyle w:val="K-TextInfo"/>
              <w:numPr>
                <w:ilvl w:val="0"/>
                <w:numId w:val="25"/>
              </w:numPr>
              <w:rPr>
                <w:i w:val="0"/>
                <w:iCs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iCs w:val="0"/>
                <w:color w:val="000000" w:themeColor="text1"/>
              </w:rPr>
              <w:t xml:space="preserve">Czech </w:t>
            </w:r>
            <w:proofErr w:type="spellStart"/>
            <w:r w:rsidRPr="00083C4E">
              <w:rPr>
                <w:rFonts w:eastAsia="Times New Roman"/>
                <w:i w:val="0"/>
                <w:iCs w:val="0"/>
                <w:color w:val="000000" w:themeColor="text1"/>
              </w:rPr>
              <w:t>Tourism</w:t>
            </w:r>
            <w:proofErr w:type="spellEnd"/>
          </w:p>
          <w:p w14:paraId="0C82344A" w14:textId="77777777" w:rsidR="00BC69B9" w:rsidRPr="00083C4E" w:rsidRDefault="00BC69B9" w:rsidP="00BC69B9">
            <w:pPr>
              <w:pStyle w:val="K-TextInfo"/>
              <w:numPr>
                <w:ilvl w:val="0"/>
                <w:numId w:val="25"/>
              </w:numPr>
              <w:rPr>
                <w:rFonts w:eastAsia="Times New Roman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Česká správa sociálního zabezpečení</w:t>
            </w:r>
          </w:p>
          <w:p w14:paraId="7A1CB9BF" w14:textId="77777777" w:rsidR="00BC69B9" w:rsidRPr="00083C4E" w:rsidRDefault="00BC69B9" w:rsidP="00BC69B9">
            <w:pPr>
              <w:pStyle w:val="K-TextInfo"/>
              <w:numPr>
                <w:ilvl w:val="0"/>
                <w:numId w:val="25"/>
              </w:numPr>
              <w:rPr>
                <w:rFonts w:eastAsia="Times New Roman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Český statistický úřad</w:t>
            </w:r>
          </w:p>
          <w:p w14:paraId="3B0EBD70" w14:textId="77777777" w:rsidR="00BC69B9" w:rsidRPr="00083C4E" w:rsidRDefault="00BC69B9" w:rsidP="00BC69B9">
            <w:pPr>
              <w:pStyle w:val="K-TextInfo"/>
              <w:numPr>
                <w:ilvl w:val="0"/>
                <w:numId w:val="25"/>
              </w:numPr>
              <w:rPr>
                <w:rFonts w:eastAsia="Times New Roman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Český úřad zeměměřičský a katastrální</w:t>
            </w:r>
          </w:p>
          <w:p w14:paraId="3F863EA4" w14:textId="77777777" w:rsidR="00BC69B9" w:rsidRPr="00083C4E" w:rsidRDefault="00BC69B9" w:rsidP="00BC69B9">
            <w:pPr>
              <w:pStyle w:val="K-TextInfo"/>
              <w:numPr>
                <w:ilvl w:val="0"/>
                <w:numId w:val="25"/>
              </w:numPr>
              <w:rPr>
                <w:rFonts w:eastAsia="Times New Roman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Státní správa hmotných rezerv</w:t>
            </w:r>
          </w:p>
          <w:p w14:paraId="1C1DE1F6" w14:textId="77777777" w:rsidR="00D55CA1" w:rsidRPr="00083C4E" w:rsidRDefault="00D55CA1" w:rsidP="00D55CA1">
            <w:pPr>
              <w:pStyle w:val="K-TextInfo"/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Do realizace projektů budou dále zapojeni:</w:t>
            </w:r>
          </w:p>
          <w:p w14:paraId="41725FAD" w14:textId="77777777" w:rsidR="00D55CA1" w:rsidRPr="00083C4E" w:rsidRDefault="00D55CA1" w:rsidP="00D55CA1">
            <w:pPr>
              <w:pStyle w:val="K-TextInfo"/>
              <w:numPr>
                <w:ilvl w:val="0"/>
                <w:numId w:val="28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Jednotlivé krajské úřady</w:t>
            </w:r>
          </w:p>
          <w:p w14:paraId="5BCD4A5C" w14:textId="77777777" w:rsidR="00BC69B9" w:rsidRPr="00083C4E" w:rsidRDefault="00BC69B9" w:rsidP="00BC69B9">
            <w:pPr>
              <w:pStyle w:val="K-TextInfo"/>
              <w:numPr>
                <w:ilvl w:val="0"/>
                <w:numId w:val="28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Municipality</w:t>
            </w:r>
          </w:p>
          <w:p w14:paraId="6DAA9571" w14:textId="77777777" w:rsidR="00D55CA1" w:rsidRPr="00083C4E" w:rsidRDefault="00D55CA1" w:rsidP="00D55CA1">
            <w:pPr>
              <w:pStyle w:val="K-TextInfo"/>
              <w:numPr>
                <w:ilvl w:val="0"/>
                <w:numId w:val="28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Zaměstnanecká a odborná sdružení</w:t>
            </w:r>
          </w:p>
          <w:p w14:paraId="44341114" w14:textId="77777777" w:rsidR="006D21BA" w:rsidRPr="00083C4E" w:rsidRDefault="00D55CA1" w:rsidP="00D55CA1">
            <w:pPr>
              <w:pStyle w:val="K-TextInfo"/>
              <w:numPr>
                <w:ilvl w:val="0"/>
                <w:numId w:val="28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Neziskový sektor a občanské iniciativy</w:t>
            </w:r>
          </w:p>
        </w:tc>
      </w:tr>
      <w:tr w:rsidR="00852465" w:rsidRPr="00083C4E" w14:paraId="3FDBD07B" w14:textId="77777777" w:rsidTr="00081843">
        <w:tc>
          <w:tcPr>
            <w:tcW w:w="2405" w:type="dxa"/>
          </w:tcPr>
          <w:p w14:paraId="75409972" w14:textId="77777777" w:rsidR="00852465" w:rsidRPr="00083C4E" w:rsidRDefault="00852465" w:rsidP="00081843">
            <w:pPr>
              <w:pStyle w:val="K-Text"/>
              <w:jc w:val="left"/>
            </w:pPr>
            <w:r w:rsidRPr="00083C4E">
              <w:t>Překážky</w:t>
            </w:r>
            <w:r w:rsidR="005B3F5C" w:rsidRPr="00083C4E">
              <w:t xml:space="preserve"> a rizika</w:t>
            </w:r>
          </w:p>
        </w:tc>
        <w:tc>
          <w:tcPr>
            <w:tcW w:w="7223" w:type="dxa"/>
          </w:tcPr>
          <w:p w14:paraId="4A4B9AE2" w14:textId="77777777" w:rsidR="00E01BBB" w:rsidRPr="00083C4E" w:rsidRDefault="00E01BBB" w:rsidP="00E01BBB">
            <w:pPr>
              <w:pStyle w:val="K-TextInfo"/>
              <w:numPr>
                <w:ilvl w:val="0"/>
                <w:numId w:val="34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 xml:space="preserve">Časové (prodlevy při přípravě jednotlivých zadávacích dokumentací, zahlcení OHA při vydávání stanovisek a s tím související delší </w:t>
            </w:r>
            <w:r w:rsidRPr="00083C4E">
              <w:rPr>
                <w:rFonts w:eastAsia="Times New Roman"/>
                <w:i w:val="0"/>
                <w:color w:val="000000" w:themeColor="text1"/>
              </w:rPr>
              <w:lastRenderedPageBreak/>
              <w:t>vydávání souhlasných stanovisek, nekvalitní architekt</w:t>
            </w:r>
            <w:r w:rsidR="00E81A7F" w:rsidRPr="00083C4E">
              <w:rPr>
                <w:rFonts w:eastAsia="Times New Roman"/>
                <w:i w:val="0"/>
                <w:color w:val="000000" w:themeColor="text1"/>
              </w:rPr>
              <w:t>o</w:t>
            </w:r>
            <w:r w:rsidRPr="00083C4E">
              <w:rPr>
                <w:rFonts w:eastAsia="Times New Roman"/>
                <w:i w:val="0"/>
                <w:color w:val="000000" w:themeColor="text1"/>
              </w:rPr>
              <w:t>nické návrhy, které si vyžádají opakované projednávání, problémy při zadávání veřejných zakázek, časový posun v implementaci bankovní identity, …)</w:t>
            </w:r>
          </w:p>
          <w:p w14:paraId="51819C4E" w14:textId="77777777" w:rsidR="00E01BBB" w:rsidRPr="00083C4E" w:rsidRDefault="00E01BBB" w:rsidP="00E01BBB">
            <w:pPr>
              <w:pStyle w:val="K-TextInfo"/>
              <w:numPr>
                <w:ilvl w:val="0"/>
                <w:numId w:val="34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Finanční (nedostatek finančních prostředků státního rozpočtu na předfinancování programu a projektů, …)</w:t>
            </w:r>
          </w:p>
          <w:p w14:paraId="74562BC2" w14:textId="77777777" w:rsidR="00E81A7F" w:rsidRPr="00083C4E" w:rsidRDefault="00E01BBB" w:rsidP="00E81A7F">
            <w:pPr>
              <w:pStyle w:val="K-TextInfo"/>
              <w:numPr>
                <w:ilvl w:val="0"/>
                <w:numId w:val="34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Veřejné zakázky (prodl</w:t>
            </w:r>
            <w:r w:rsidR="00E81A7F" w:rsidRPr="00083C4E">
              <w:rPr>
                <w:rFonts w:eastAsia="Times New Roman"/>
                <w:i w:val="0"/>
                <w:color w:val="000000" w:themeColor="text1"/>
              </w:rPr>
              <w:t>e</w:t>
            </w:r>
            <w:r w:rsidRPr="00083C4E">
              <w:rPr>
                <w:rFonts w:eastAsia="Times New Roman"/>
                <w:i w:val="0"/>
                <w:color w:val="000000" w:themeColor="text1"/>
              </w:rPr>
              <w:t xml:space="preserve">vy v realizaci VZ, </w:t>
            </w:r>
            <w:r w:rsidR="00E81A7F" w:rsidRPr="00083C4E">
              <w:rPr>
                <w:rFonts w:eastAsia="Times New Roman"/>
                <w:i w:val="0"/>
                <w:color w:val="000000" w:themeColor="text1"/>
              </w:rPr>
              <w:t>nekvalitní zakázková dokumentace generující dotazy uchazečů, odvolání uchazečů proti rozhodnutí o výběru, výběr nekvalitního dodavatele, nutnost změny dodavatele v průběhu realizace projektu, …)</w:t>
            </w:r>
          </w:p>
          <w:p w14:paraId="28D99FFF" w14:textId="77777777" w:rsidR="00E81A7F" w:rsidRPr="00083C4E" w:rsidRDefault="00E81A7F" w:rsidP="00E81A7F">
            <w:pPr>
              <w:pStyle w:val="K-TextInfo"/>
              <w:numPr>
                <w:ilvl w:val="0"/>
                <w:numId w:val="34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Organizační (odliv kvalifikovaného personálu do komerčního sektoru, …)</w:t>
            </w:r>
          </w:p>
        </w:tc>
      </w:tr>
      <w:tr w:rsidR="00996DF6" w:rsidRPr="00083C4E" w14:paraId="2903A8F1" w14:textId="77777777" w:rsidTr="00081843">
        <w:tc>
          <w:tcPr>
            <w:tcW w:w="2405" w:type="dxa"/>
          </w:tcPr>
          <w:p w14:paraId="6ED9C62A" w14:textId="77777777" w:rsidR="00996DF6" w:rsidRPr="00083C4E" w:rsidRDefault="00996DF6" w:rsidP="00081843">
            <w:pPr>
              <w:pStyle w:val="K-Text"/>
              <w:jc w:val="left"/>
            </w:pPr>
            <w:r w:rsidRPr="00083C4E">
              <w:lastRenderedPageBreak/>
              <w:t>Cílové skupiny populace a ekonomické subjekty</w:t>
            </w:r>
          </w:p>
        </w:tc>
        <w:tc>
          <w:tcPr>
            <w:tcW w:w="7223" w:type="dxa"/>
          </w:tcPr>
          <w:p w14:paraId="33941E0A" w14:textId="77777777" w:rsidR="006D21BA" w:rsidRPr="00083C4E" w:rsidRDefault="006D21BA" w:rsidP="00852465">
            <w:pPr>
              <w:pStyle w:val="K-TextInfo"/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Primární cílové skupiny</w:t>
            </w:r>
            <w:r w:rsidR="00440455" w:rsidRPr="00083C4E">
              <w:rPr>
                <w:rFonts w:eastAsia="Times New Roman"/>
                <w:i w:val="0"/>
                <w:color w:val="000000" w:themeColor="text1"/>
              </w:rPr>
              <w:t xml:space="preserve"> (přímí konzumenti služeb)</w:t>
            </w:r>
            <w:r w:rsidRPr="00083C4E">
              <w:rPr>
                <w:rFonts w:eastAsia="Times New Roman"/>
                <w:i w:val="0"/>
                <w:color w:val="000000" w:themeColor="text1"/>
              </w:rPr>
              <w:t>:</w:t>
            </w:r>
          </w:p>
          <w:p w14:paraId="545124F2" w14:textId="77777777" w:rsidR="006D21BA" w:rsidRPr="00083C4E" w:rsidRDefault="006D21BA" w:rsidP="00440455">
            <w:pPr>
              <w:pStyle w:val="K-TextInfo"/>
              <w:numPr>
                <w:ilvl w:val="0"/>
                <w:numId w:val="27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Občané ČR (způsobilí k právním úkonům)</w:t>
            </w:r>
          </w:p>
          <w:p w14:paraId="48034469" w14:textId="77777777" w:rsidR="006D21BA" w:rsidRPr="00083C4E" w:rsidRDefault="006D21BA" w:rsidP="00440455">
            <w:pPr>
              <w:pStyle w:val="K-TextInfo"/>
              <w:numPr>
                <w:ilvl w:val="0"/>
                <w:numId w:val="27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Statutární zástupci ekonomických subjektů</w:t>
            </w:r>
            <w:r w:rsidR="00BC69B9" w:rsidRPr="00083C4E">
              <w:rPr>
                <w:rFonts w:eastAsia="Times New Roman"/>
                <w:i w:val="0"/>
                <w:color w:val="000000" w:themeColor="text1"/>
              </w:rPr>
              <w:t>,</w:t>
            </w:r>
            <w:r w:rsidRPr="00083C4E">
              <w:rPr>
                <w:rFonts w:eastAsia="Times New Roman"/>
                <w:i w:val="0"/>
                <w:color w:val="000000" w:themeColor="text1"/>
              </w:rPr>
              <w:t xml:space="preserve"> a to jak se sídlem v ČR, tak EU</w:t>
            </w:r>
          </w:p>
          <w:p w14:paraId="40644A95" w14:textId="77777777" w:rsidR="006D21BA" w:rsidRPr="00083C4E" w:rsidRDefault="006D21BA" w:rsidP="00440455">
            <w:pPr>
              <w:pStyle w:val="K-TextInfo"/>
              <w:numPr>
                <w:ilvl w:val="0"/>
                <w:numId w:val="27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Živnostníci</w:t>
            </w:r>
          </w:p>
          <w:p w14:paraId="628E192F" w14:textId="77777777" w:rsidR="006D21BA" w:rsidRPr="00083C4E" w:rsidRDefault="006D21BA" w:rsidP="00440455">
            <w:pPr>
              <w:pStyle w:val="K-TextInfo"/>
              <w:numPr>
                <w:ilvl w:val="0"/>
                <w:numId w:val="27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Občané členských států EU (způsobilí k právním úkonům)</w:t>
            </w:r>
          </w:p>
          <w:p w14:paraId="0068FEDD" w14:textId="77777777" w:rsidR="00440455" w:rsidRPr="00083C4E" w:rsidRDefault="00440455" w:rsidP="00440455">
            <w:pPr>
              <w:pStyle w:val="K-TextInfo"/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Sekundární cílové skupiny (konzumenti, jimž služby přináší užitek, ale nemohou je sami vykonávat):</w:t>
            </w:r>
          </w:p>
          <w:p w14:paraId="57060F25" w14:textId="77777777" w:rsidR="00440455" w:rsidRPr="00083C4E" w:rsidRDefault="00440455" w:rsidP="00440455">
            <w:pPr>
              <w:pStyle w:val="K-TextInfo"/>
              <w:numPr>
                <w:ilvl w:val="0"/>
                <w:numId w:val="27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Občané ČR, nezpůsobilí k právním úkonům</w:t>
            </w:r>
          </w:p>
          <w:p w14:paraId="1E7FD463" w14:textId="77777777" w:rsidR="006D21BA" w:rsidRPr="00083C4E" w:rsidRDefault="00440455" w:rsidP="00440455">
            <w:pPr>
              <w:pStyle w:val="K-TextInfo"/>
              <w:numPr>
                <w:ilvl w:val="0"/>
                <w:numId w:val="27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Občané členských států EU, nezpůsobilí k právním úkonům</w:t>
            </w:r>
          </w:p>
        </w:tc>
      </w:tr>
      <w:tr w:rsidR="00996DF6" w:rsidRPr="00083C4E" w14:paraId="0449413A" w14:textId="77777777" w:rsidTr="00081843">
        <w:tc>
          <w:tcPr>
            <w:tcW w:w="2405" w:type="dxa"/>
          </w:tcPr>
          <w:p w14:paraId="0C74EA43" w14:textId="77777777" w:rsidR="00996DF6" w:rsidRPr="00083C4E" w:rsidRDefault="00996DF6" w:rsidP="00081843">
            <w:pPr>
              <w:pStyle w:val="K-Text"/>
              <w:jc w:val="left"/>
            </w:pPr>
            <w:r w:rsidRPr="00083C4E">
              <w:t>Souhrnné náklady realizace financované z RRF za celé období</w:t>
            </w:r>
          </w:p>
        </w:tc>
        <w:tc>
          <w:tcPr>
            <w:tcW w:w="7223" w:type="dxa"/>
          </w:tcPr>
          <w:p w14:paraId="7C4BD577" w14:textId="77777777" w:rsidR="00440455" w:rsidRPr="00083C4E" w:rsidRDefault="00440455" w:rsidP="00852465">
            <w:pPr>
              <w:pStyle w:val="K-TextInfo"/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 xml:space="preserve">Celkové náklady reformy hrazené z RRF jsou </w:t>
            </w:r>
            <w:r w:rsidR="00BC69B9" w:rsidRPr="00083C4E">
              <w:rPr>
                <w:rFonts w:eastAsia="Times New Roman"/>
                <w:i w:val="0"/>
                <w:color w:val="000000" w:themeColor="text1"/>
              </w:rPr>
              <w:t>4 0</w:t>
            </w:r>
            <w:r w:rsidR="00F14D43" w:rsidRPr="00083C4E">
              <w:rPr>
                <w:rFonts w:eastAsia="Times New Roman"/>
                <w:i w:val="0"/>
                <w:color w:val="000000" w:themeColor="text1"/>
              </w:rPr>
              <w:t>63</w:t>
            </w:r>
            <w:r w:rsidRPr="00083C4E">
              <w:rPr>
                <w:rFonts w:eastAsia="Times New Roman"/>
                <w:i w:val="0"/>
                <w:color w:val="000000" w:themeColor="text1"/>
              </w:rPr>
              <w:t>,</w:t>
            </w:r>
            <w:r w:rsidR="00BC69B9" w:rsidRPr="00083C4E">
              <w:rPr>
                <w:rFonts w:eastAsia="Times New Roman"/>
                <w:i w:val="0"/>
                <w:color w:val="000000" w:themeColor="text1"/>
              </w:rPr>
              <w:t>2</w:t>
            </w:r>
            <w:r w:rsidRPr="00083C4E">
              <w:rPr>
                <w:rFonts w:eastAsia="Times New Roman"/>
                <w:i w:val="0"/>
                <w:color w:val="000000" w:themeColor="text1"/>
              </w:rPr>
              <w:t xml:space="preserve"> mil Kč</w:t>
            </w:r>
          </w:p>
        </w:tc>
      </w:tr>
      <w:tr w:rsidR="00852465" w:rsidRPr="00083C4E" w14:paraId="78D28ADB" w14:textId="77777777" w:rsidTr="00081843">
        <w:tc>
          <w:tcPr>
            <w:tcW w:w="2405" w:type="dxa"/>
          </w:tcPr>
          <w:p w14:paraId="0957FF74" w14:textId="77777777" w:rsidR="00852465" w:rsidRPr="00083C4E" w:rsidRDefault="00852465" w:rsidP="00081843">
            <w:pPr>
              <w:pStyle w:val="K-Text"/>
              <w:jc w:val="left"/>
            </w:pPr>
            <w:r w:rsidRPr="00083C4E">
              <w:t>Dodržování pravidel státní podpory</w:t>
            </w:r>
          </w:p>
        </w:tc>
        <w:tc>
          <w:tcPr>
            <w:tcW w:w="7223" w:type="dxa"/>
          </w:tcPr>
          <w:p w14:paraId="0FEFAD28" w14:textId="77777777" w:rsidR="006D21BA" w:rsidRPr="00083C4E" w:rsidRDefault="006D21BA" w:rsidP="00852465">
            <w:pPr>
              <w:pStyle w:val="K-TextInfo"/>
              <w:rPr>
                <w:i w:val="0"/>
                <w:iCs w:val="0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Není releva</w:t>
            </w:r>
            <w:r w:rsidR="00D55CA1" w:rsidRPr="00083C4E">
              <w:rPr>
                <w:i w:val="0"/>
                <w:iCs w:val="0"/>
                <w:color w:val="000000" w:themeColor="text1"/>
              </w:rPr>
              <w:t>n</w:t>
            </w:r>
            <w:r w:rsidRPr="00083C4E">
              <w:rPr>
                <w:i w:val="0"/>
                <w:iCs w:val="0"/>
                <w:color w:val="000000" w:themeColor="text1"/>
              </w:rPr>
              <w:t>tní</w:t>
            </w:r>
          </w:p>
        </w:tc>
      </w:tr>
      <w:tr w:rsidR="00852465" w:rsidRPr="00083C4E" w14:paraId="52F0E23C" w14:textId="77777777" w:rsidTr="00081843">
        <w:tc>
          <w:tcPr>
            <w:tcW w:w="2405" w:type="dxa"/>
          </w:tcPr>
          <w:p w14:paraId="4025DDA8" w14:textId="77777777" w:rsidR="00852465" w:rsidRPr="00083C4E" w:rsidRDefault="00996DF6" w:rsidP="00081843">
            <w:pPr>
              <w:pStyle w:val="K-Text"/>
              <w:jc w:val="left"/>
            </w:pPr>
            <w:r w:rsidRPr="00083C4E">
              <w:t>Uveďte dobu implementace</w:t>
            </w:r>
          </w:p>
        </w:tc>
        <w:tc>
          <w:tcPr>
            <w:tcW w:w="7223" w:type="dxa"/>
          </w:tcPr>
          <w:p w14:paraId="07B557AB" w14:textId="77777777" w:rsidR="00440455" w:rsidRPr="00083C4E" w:rsidRDefault="00440455" w:rsidP="00852465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Plánovaná doba realizace je 58 měsíců. Předpokládané dokončení je ve 4Q 2025</w:t>
            </w:r>
          </w:p>
        </w:tc>
      </w:tr>
    </w:tbl>
    <w:p w14:paraId="7E23EA97" w14:textId="77777777" w:rsidR="000C0598" w:rsidRPr="00083C4E" w:rsidRDefault="000C0598" w:rsidP="006F1BEA">
      <w:pPr>
        <w:pStyle w:val="K-Text"/>
      </w:pPr>
    </w:p>
    <w:p w14:paraId="42EB980B" w14:textId="48388209" w:rsidR="004073CC" w:rsidRPr="00513947" w:rsidRDefault="008748AE" w:rsidP="008748AE">
      <w:pPr>
        <w:pStyle w:val="K-Tabulka"/>
      </w:pPr>
      <w:r w:rsidRPr="00513947">
        <w:t xml:space="preserve">2. </w:t>
      </w:r>
      <w:r w:rsidR="009D09F2" w:rsidRPr="00513947">
        <w:rPr>
          <w:rStyle w:val="K-TextChar"/>
        </w:rPr>
        <w:t xml:space="preserve">Zajištění </w:t>
      </w:r>
      <w:r w:rsidR="00634E0F" w:rsidRPr="00513947">
        <w:rPr>
          <w:rStyle w:val="K-TextChar"/>
        </w:rPr>
        <w:t>podmínek pro kvalitní správu datového fondu a zajištění řízeného přístupu k datům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4073CC" w:rsidRPr="00513947" w14:paraId="1453CBC8" w14:textId="77777777" w:rsidTr="005D61FA">
        <w:tc>
          <w:tcPr>
            <w:tcW w:w="2405" w:type="dxa"/>
          </w:tcPr>
          <w:p w14:paraId="6334BB21" w14:textId="77777777" w:rsidR="004073CC" w:rsidRPr="00513947" w:rsidRDefault="004073CC" w:rsidP="005D61FA">
            <w:pPr>
              <w:pStyle w:val="K-Text"/>
              <w:jc w:val="left"/>
            </w:pPr>
            <w:r w:rsidRPr="00513947">
              <w:t>Výzva</w:t>
            </w:r>
          </w:p>
        </w:tc>
        <w:tc>
          <w:tcPr>
            <w:tcW w:w="7223" w:type="dxa"/>
          </w:tcPr>
          <w:p w14:paraId="78FBD8B8" w14:textId="75AB3DED" w:rsidR="005D61FA" w:rsidRPr="00513947" w:rsidRDefault="00615CA7" w:rsidP="005D61FA">
            <w:pPr>
              <w:pStyle w:val="K-TextInfo"/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 xml:space="preserve">V </w:t>
            </w:r>
            <w:r w:rsidR="004073CC" w:rsidRPr="00513947">
              <w:rPr>
                <w:rFonts w:eastAsia="Times New Roman"/>
                <w:i w:val="0"/>
                <w:color w:val="000000" w:themeColor="text1"/>
              </w:rPr>
              <w:t>Česk</w:t>
            </w:r>
            <w:r w:rsidRPr="00513947">
              <w:rPr>
                <w:rFonts w:eastAsia="Times New Roman"/>
                <w:i w:val="0"/>
                <w:color w:val="000000" w:themeColor="text1"/>
              </w:rPr>
              <w:t>é</w:t>
            </w:r>
            <w:r w:rsidR="004073CC" w:rsidRPr="00513947">
              <w:rPr>
                <w:rFonts w:eastAsia="Times New Roman"/>
                <w:i w:val="0"/>
                <w:color w:val="000000" w:themeColor="text1"/>
              </w:rPr>
              <w:t xml:space="preserve"> republi</w:t>
            </w:r>
            <w:r w:rsidRPr="00513947">
              <w:rPr>
                <w:rFonts w:eastAsia="Times New Roman"/>
                <w:i w:val="0"/>
                <w:color w:val="000000" w:themeColor="text1"/>
              </w:rPr>
              <w:t>ce není v současné době vybudov</w:t>
            </w:r>
            <w:r w:rsidR="00037221" w:rsidRPr="00513947">
              <w:rPr>
                <w:rFonts w:eastAsia="Times New Roman"/>
                <w:i w:val="0"/>
                <w:color w:val="000000" w:themeColor="text1"/>
              </w:rPr>
              <w:t>á</w:t>
            </w:r>
            <w:r w:rsidRPr="00513947">
              <w:rPr>
                <w:rFonts w:eastAsia="Times New Roman"/>
                <w:i w:val="0"/>
                <w:color w:val="000000" w:themeColor="text1"/>
              </w:rPr>
              <w:t>n</w:t>
            </w:r>
            <w:r w:rsidR="00A46BDE" w:rsidRPr="00513947">
              <w:rPr>
                <w:rFonts w:eastAsia="Times New Roman"/>
                <w:i w:val="0"/>
                <w:color w:val="000000" w:themeColor="text1"/>
              </w:rPr>
              <w:t xml:space="preserve"> legislativní </w:t>
            </w:r>
            <w:r w:rsidR="00037221" w:rsidRPr="00513947">
              <w:rPr>
                <w:rFonts w:eastAsia="Times New Roman"/>
                <w:i w:val="0"/>
                <w:color w:val="000000" w:themeColor="text1"/>
              </w:rPr>
              <w:t>rámec pro</w:t>
            </w:r>
            <w:r w:rsidR="005D61FA" w:rsidRPr="00513947">
              <w:rPr>
                <w:rFonts w:eastAsia="Times New Roman"/>
                <w:i w:val="0"/>
                <w:color w:val="000000" w:themeColor="text1"/>
              </w:rPr>
              <w:t xml:space="preserve"> sdílení neveřejných údajů jak mezi orgány veřejné moci v rámci </w:t>
            </w:r>
            <w:proofErr w:type="spellStart"/>
            <w:r w:rsidR="005D61FA" w:rsidRPr="00513947">
              <w:rPr>
                <w:rFonts w:eastAsia="Times New Roman"/>
                <w:i w:val="0"/>
                <w:color w:val="000000" w:themeColor="text1"/>
              </w:rPr>
              <w:t>mimoagendové</w:t>
            </w:r>
            <w:proofErr w:type="spellEnd"/>
            <w:r w:rsidR="005D61FA" w:rsidRPr="00513947">
              <w:rPr>
                <w:rFonts w:eastAsia="Times New Roman"/>
                <w:i w:val="0"/>
                <w:color w:val="000000" w:themeColor="text1"/>
              </w:rPr>
              <w:t xml:space="preserve"> činnosti, tak sdílení s veřejností. Potřebu tohoto jednotného nástroje ilustruje velmi názorně příklad z podzimu 2020, kdy šlo o sdílení údajů o počtu nakažených osob v rámci</w:t>
            </w:r>
            <w:r w:rsidR="004E37F6" w:rsidRPr="00513947">
              <w:rPr>
                <w:rFonts w:eastAsia="Times New Roman"/>
                <w:i w:val="0"/>
                <w:color w:val="000000" w:themeColor="text1"/>
              </w:rPr>
              <w:t xml:space="preserve"> jednotlivých samosprávných</w:t>
            </w:r>
            <w:r w:rsidR="005D61FA" w:rsidRPr="00513947">
              <w:rPr>
                <w:rFonts w:eastAsia="Times New Roman"/>
                <w:i w:val="0"/>
                <w:color w:val="000000" w:themeColor="text1"/>
              </w:rPr>
              <w:t xml:space="preserve"> územní</w:t>
            </w:r>
            <w:r w:rsidR="004E37F6" w:rsidRPr="00513947">
              <w:rPr>
                <w:rFonts w:eastAsia="Times New Roman"/>
                <w:i w:val="0"/>
                <w:color w:val="000000" w:themeColor="text1"/>
              </w:rPr>
              <w:t>ch</w:t>
            </w:r>
            <w:r w:rsidR="005D61FA" w:rsidRPr="00513947">
              <w:rPr>
                <w:rFonts w:eastAsia="Times New Roman"/>
                <w:i w:val="0"/>
                <w:color w:val="000000" w:themeColor="text1"/>
              </w:rPr>
              <w:t xml:space="preserve"> celk</w:t>
            </w:r>
            <w:r w:rsidR="004E37F6" w:rsidRPr="00513947">
              <w:rPr>
                <w:rFonts w:eastAsia="Times New Roman"/>
                <w:i w:val="0"/>
                <w:color w:val="000000" w:themeColor="text1"/>
              </w:rPr>
              <w:t>ů</w:t>
            </w:r>
            <w:r w:rsidR="005D61FA" w:rsidRPr="00513947">
              <w:rPr>
                <w:rFonts w:eastAsia="Times New Roman"/>
                <w:i w:val="0"/>
                <w:color w:val="000000" w:themeColor="text1"/>
              </w:rPr>
              <w:t xml:space="preserve">. Starostům tato data nebyla systematicky poskytována a </w:t>
            </w:r>
            <w:r w:rsidR="004E37F6" w:rsidRPr="00513947">
              <w:rPr>
                <w:rFonts w:eastAsia="Times New Roman"/>
                <w:i w:val="0"/>
                <w:color w:val="000000" w:themeColor="text1"/>
              </w:rPr>
              <w:t>používali pro svá rozhodování</w:t>
            </w:r>
            <w:r w:rsidR="005D61FA" w:rsidRPr="00513947">
              <w:rPr>
                <w:rFonts w:eastAsia="Times New Roman"/>
                <w:i w:val="0"/>
                <w:color w:val="000000" w:themeColor="text1"/>
              </w:rPr>
              <w:t xml:space="preserve"> namísto </w:t>
            </w:r>
            <w:r w:rsidR="004E37F6" w:rsidRPr="00513947">
              <w:rPr>
                <w:rFonts w:eastAsia="Times New Roman"/>
                <w:i w:val="0"/>
                <w:color w:val="000000" w:themeColor="text1"/>
              </w:rPr>
              <w:t xml:space="preserve">kvalitních dat </w:t>
            </w:r>
            <w:r w:rsidR="005D61FA" w:rsidRPr="00513947">
              <w:rPr>
                <w:rFonts w:eastAsia="Times New Roman"/>
                <w:i w:val="0"/>
                <w:color w:val="000000" w:themeColor="text1"/>
              </w:rPr>
              <w:t xml:space="preserve">od ÚZIS </w:t>
            </w:r>
            <w:r w:rsidR="004E37F6" w:rsidRPr="00513947">
              <w:rPr>
                <w:rFonts w:eastAsia="Times New Roman"/>
                <w:i w:val="0"/>
                <w:color w:val="000000" w:themeColor="text1"/>
              </w:rPr>
              <w:t>data v rozličné kvalitě</w:t>
            </w:r>
            <w:r w:rsidR="005D61FA" w:rsidRPr="00513947">
              <w:rPr>
                <w:rFonts w:eastAsia="Times New Roman"/>
                <w:i w:val="0"/>
                <w:color w:val="000000" w:themeColor="text1"/>
              </w:rPr>
              <w:t xml:space="preserve"> od krajů, hygienických stanic apod.</w:t>
            </w:r>
          </w:p>
          <w:p w14:paraId="70B61515" w14:textId="45C71C20" w:rsidR="00634E0F" w:rsidRPr="00513947" w:rsidRDefault="00634E0F" w:rsidP="005D61FA">
            <w:pPr>
              <w:pStyle w:val="K-TextInfo"/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 xml:space="preserve">Reforma je zaměřena na vytvoření komplexního legislativního (vč. vnitřní předpisové základny úřadů), standardizačního a organizačního rámce pro kvalitní správu dat státní a veřejné správy a vytvoření nástroje tzv. řízeného přístupu, který </w:t>
            </w:r>
            <w:r w:rsidR="00A13051" w:rsidRPr="00513947">
              <w:rPr>
                <w:rFonts w:eastAsia="Times New Roman"/>
                <w:i w:val="0"/>
                <w:color w:val="000000" w:themeColor="text1"/>
              </w:rPr>
              <w:t>umožní se zajištěním FAIR principů</w:t>
            </w:r>
            <w:r w:rsidRPr="00513947">
              <w:rPr>
                <w:rFonts w:eastAsia="Times New Roman"/>
                <w:i w:val="0"/>
                <w:color w:val="000000" w:themeColor="text1"/>
              </w:rPr>
              <w:t xml:space="preserve">, po splnění kvalifikačních kritérií, přístup k neveřejným datům státní a veřejné správy </w:t>
            </w:r>
            <w:r w:rsidRPr="00513947">
              <w:rPr>
                <w:rFonts w:eastAsia="Times New Roman"/>
                <w:i w:val="0"/>
                <w:color w:val="000000" w:themeColor="text1"/>
              </w:rPr>
              <w:lastRenderedPageBreak/>
              <w:t>pro využití orgány státní správy i veřejností, a to především ve vědeckém a komerčním sektoru</w:t>
            </w:r>
            <w:r w:rsidR="004E37F6" w:rsidRPr="00513947">
              <w:rPr>
                <w:rFonts w:eastAsia="Times New Roman"/>
                <w:i w:val="0"/>
                <w:color w:val="000000" w:themeColor="text1"/>
              </w:rPr>
              <w:t>, kde vnímáme vysokou přidanou hodnotu těchto dat a jejich velký potenciál.</w:t>
            </w:r>
          </w:p>
        </w:tc>
      </w:tr>
      <w:tr w:rsidR="004073CC" w:rsidRPr="00513947" w14:paraId="4315FF19" w14:textId="77777777" w:rsidTr="005D61FA">
        <w:tc>
          <w:tcPr>
            <w:tcW w:w="2405" w:type="dxa"/>
          </w:tcPr>
          <w:p w14:paraId="6DBD6296" w14:textId="77777777" w:rsidR="004073CC" w:rsidRPr="00513947" w:rsidRDefault="004073CC" w:rsidP="005D61FA">
            <w:pPr>
              <w:pStyle w:val="K-Text"/>
              <w:jc w:val="left"/>
            </w:pPr>
            <w:r w:rsidRPr="00513947">
              <w:lastRenderedPageBreak/>
              <w:t>Cíl</w:t>
            </w:r>
          </w:p>
        </w:tc>
        <w:tc>
          <w:tcPr>
            <w:tcW w:w="7223" w:type="dxa"/>
          </w:tcPr>
          <w:p w14:paraId="157C17C5" w14:textId="77777777" w:rsidR="00C64600" w:rsidRPr="00513947" w:rsidRDefault="004E37F6" w:rsidP="00C64600">
            <w:pPr>
              <w:pStyle w:val="K-TextInfo"/>
              <w:numPr>
                <w:ilvl w:val="0"/>
                <w:numId w:val="24"/>
              </w:numPr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>Do 31.12.2021 vypracovat věcný návrh právního rámce a zaslat jej dotčeným subjektům v rámci mezirezortního připomínkového řízení.</w:t>
            </w:r>
          </w:p>
          <w:p w14:paraId="54A89D08" w14:textId="77777777" w:rsidR="00C64600" w:rsidRPr="00513947" w:rsidRDefault="00C64600" w:rsidP="00C64600">
            <w:pPr>
              <w:pStyle w:val="K-TextInfo"/>
              <w:numPr>
                <w:ilvl w:val="0"/>
                <w:numId w:val="24"/>
              </w:numPr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>Do 30.6.2022 zajistit jednání všech dotčených subjektů k věcnému návrhu zákona a vypořádat všechny připomínky.</w:t>
            </w:r>
          </w:p>
          <w:p w14:paraId="639D2C26" w14:textId="77777777" w:rsidR="004866B5" w:rsidRPr="00513947" w:rsidRDefault="004866B5" w:rsidP="00C64600">
            <w:pPr>
              <w:pStyle w:val="K-TextInfo"/>
              <w:numPr>
                <w:ilvl w:val="0"/>
                <w:numId w:val="24"/>
              </w:numPr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>Do 30.6.2022</w:t>
            </w:r>
            <w:r w:rsidR="001F3E4C" w:rsidRPr="00513947">
              <w:rPr>
                <w:rFonts w:eastAsia="Times New Roman"/>
                <w:i w:val="0"/>
                <w:color w:val="000000" w:themeColor="text1"/>
              </w:rPr>
              <w:t xml:space="preserve"> vytvořit odborný tým pro věcnou gesci, který by měl zahrnovat odborníky na legislativu, architekturu, data, interoperabilitu, sémantiku, UX, komunikaci a další.</w:t>
            </w:r>
          </w:p>
          <w:p w14:paraId="1FB38B64" w14:textId="355657A6" w:rsidR="00463642" w:rsidRPr="00513947" w:rsidRDefault="004073CC" w:rsidP="005D61FA">
            <w:pPr>
              <w:pStyle w:val="K-TextInfo"/>
              <w:numPr>
                <w:ilvl w:val="0"/>
                <w:numId w:val="24"/>
              </w:numPr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>Do 30.</w:t>
            </w:r>
            <w:r w:rsidR="00463642" w:rsidRPr="00513947">
              <w:rPr>
                <w:rFonts w:eastAsia="Times New Roman"/>
                <w:i w:val="0"/>
                <w:color w:val="000000" w:themeColor="text1"/>
              </w:rPr>
              <w:t>6</w:t>
            </w:r>
            <w:r w:rsidRPr="00513947">
              <w:rPr>
                <w:rFonts w:eastAsia="Times New Roman"/>
                <w:i w:val="0"/>
                <w:color w:val="000000" w:themeColor="text1"/>
              </w:rPr>
              <w:t>.202</w:t>
            </w:r>
            <w:r w:rsidR="004E37F6" w:rsidRPr="00513947">
              <w:rPr>
                <w:rFonts w:eastAsia="Times New Roman"/>
                <w:i w:val="0"/>
                <w:color w:val="000000" w:themeColor="text1"/>
              </w:rPr>
              <w:t>3</w:t>
            </w:r>
            <w:r w:rsidRPr="00513947">
              <w:rPr>
                <w:rFonts w:eastAsia="Times New Roman"/>
                <w:i w:val="0"/>
                <w:color w:val="000000" w:themeColor="text1"/>
              </w:rPr>
              <w:t xml:space="preserve"> </w:t>
            </w:r>
            <w:r w:rsidR="00C64600" w:rsidRPr="00513947">
              <w:rPr>
                <w:rFonts w:eastAsia="Times New Roman"/>
                <w:i w:val="0"/>
                <w:color w:val="000000" w:themeColor="text1"/>
              </w:rPr>
              <w:t xml:space="preserve">vytvořit paragrafové znění návrhu zákona a </w:t>
            </w:r>
            <w:r w:rsidR="004E37F6" w:rsidRPr="00513947">
              <w:rPr>
                <w:rFonts w:eastAsia="Times New Roman"/>
                <w:i w:val="0"/>
                <w:color w:val="000000" w:themeColor="text1"/>
              </w:rPr>
              <w:t xml:space="preserve">zaslat </w:t>
            </w:r>
            <w:r w:rsidR="00C64600" w:rsidRPr="00513947">
              <w:rPr>
                <w:rFonts w:eastAsia="Times New Roman"/>
                <w:i w:val="0"/>
                <w:color w:val="000000" w:themeColor="text1"/>
              </w:rPr>
              <w:t>jej</w:t>
            </w:r>
            <w:r w:rsidR="004E37F6" w:rsidRPr="00513947">
              <w:rPr>
                <w:rFonts w:eastAsia="Times New Roman"/>
                <w:i w:val="0"/>
                <w:color w:val="000000" w:themeColor="text1"/>
              </w:rPr>
              <w:t xml:space="preserve"> do mezirezortního připomínkového řízení</w:t>
            </w:r>
            <w:r w:rsidR="0041195C" w:rsidRPr="00513947">
              <w:rPr>
                <w:rFonts w:eastAsia="Times New Roman"/>
                <w:i w:val="0"/>
                <w:color w:val="000000" w:themeColor="text1"/>
              </w:rPr>
              <w:t>.</w:t>
            </w:r>
          </w:p>
          <w:p w14:paraId="45F75026" w14:textId="77777777" w:rsidR="00480C03" w:rsidRPr="00513947" w:rsidRDefault="00C64600">
            <w:pPr>
              <w:pStyle w:val="K-TextInfo"/>
              <w:numPr>
                <w:ilvl w:val="0"/>
                <w:numId w:val="24"/>
              </w:numPr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>Do 31.12.2023 zaslat materiál na Legislativní radu vlády.</w:t>
            </w:r>
          </w:p>
          <w:p w14:paraId="494CC615" w14:textId="096A9089" w:rsidR="004073CC" w:rsidRPr="00513947" w:rsidRDefault="007369A6" w:rsidP="004E37F6">
            <w:pPr>
              <w:pStyle w:val="K-TextInfo"/>
              <w:numPr>
                <w:ilvl w:val="0"/>
                <w:numId w:val="24"/>
              </w:numPr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 xml:space="preserve">Do 31.12.2025 </w:t>
            </w:r>
            <w:r w:rsidR="004E37F6" w:rsidRPr="00513947">
              <w:rPr>
                <w:rFonts w:eastAsia="Times New Roman"/>
                <w:i w:val="0"/>
                <w:color w:val="000000" w:themeColor="text1"/>
              </w:rPr>
              <w:t xml:space="preserve">zajistit v rámci </w:t>
            </w:r>
            <w:proofErr w:type="spellStart"/>
            <w:r w:rsidR="004E37F6" w:rsidRPr="00513947">
              <w:rPr>
                <w:rFonts w:eastAsia="Times New Roman"/>
                <w:i w:val="0"/>
                <w:color w:val="000000" w:themeColor="text1"/>
              </w:rPr>
              <w:t>legisvakanční</w:t>
            </w:r>
            <w:proofErr w:type="spellEnd"/>
            <w:r w:rsidR="004E37F6" w:rsidRPr="00513947">
              <w:rPr>
                <w:rFonts w:eastAsia="Times New Roman"/>
                <w:i w:val="0"/>
                <w:color w:val="000000" w:themeColor="text1"/>
              </w:rPr>
              <w:t xml:space="preserve"> doby metodickou podporu orgánům veřejné správy.</w:t>
            </w:r>
            <w:r w:rsidR="00C305FF" w:rsidRPr="00513947">
              <w:rPr>
                <w:rFonts w:eastAsia="Times New Roman"/>
                <w:i w:val="0"/>
                <w:color w:val="000000" w:themeColor="text1"/>
              </w:rPr>
              <w:t xml:space="preserve"> </w:t>
            </w:r>
            <w:r w:rsidR="005C0B7F" w:rsidRPr="00513947">
              <w:rPr>
                <w:rFonts w:eastAsia="Times New Roman"/>
                <w:i w:val="0"/>
                <w:color w:val="000000" w:themeColor="text1"/>
              </w:rPr>
              <w:t>Součástí podpory je vytvoření nezbytných standardů a metodik.</w:t>
            </w:r>
          </w:p>
          <w:p w14:paraId="2157DF15" w14:textId="77777777" w:rsidR="00480C03" w:rsidRPr="00513947" w:rsidRDefault="00A13051">
            <w:pPr>
              <w:pStyle w:val="K-TextInfo"/>
              <w:numPr>
                <w:ilvl w:val="0"/>
                <w:numId w:val="24"/>
              </w:numPr>
              <w:rPr>
                <w:rFonts w:eastAsia="Times New Roman"/>
                <w:i w:val="0"/>
                <w:color w:val="000000" w:themeColor="text1"/>
                <w:lang w:eastAsia="cs-CZ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>Nejpozději k datu účinnosti zákona vybudovat potřebnou SW a HW infrastrukturu.</w:t>
            </w:r>
          </w:p>
        </w:tc>
      </w:tr>
      <w:tr w:rsidR="004073CC" w:rsidRPr="00513947" w14:paraId="6E1B869D" w14:textId="77777777" w:rsidTr="005D61FA">
        <w:tc>
          <w:tcPr>
            <w:tcW w:w="2405" w:type="dxa"/>
          </w:tcPr>
          <w:p w14:paraId="3DE82D16" w14:textId="77777777" w:rsidR="004073CC" w:rsidRPr="00513947" w:rsidRDefault="004073CC" w:rsidP="005D61FA">
            <w:pPr>
              <w:pStyle w:val="K-Text"/>
              <w:jc w:val="left"/>
            </w:pPr>
            <w:r w:rsidRPr="00513947">
              <w:t>Implementace</w:t>
            </w:r>
          </w:p>
        </w:tc>
        <w:tc>
          <w:tcPr>
            <w:tcW w:w="7223" w:type="dxa"/>
          </w:tcPr>
          <w:p w14:paraId="0F167804" w14:textId="3584BC87" w:rsidR="00910D72" w:rsidRPr="00513947" w:rsidRDefault="004073CC" w:rsidP="005D61FA">
            <w:pPr>
              <w:pStyle w:val="K-TextInfo"/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>Reforma je složena z jednoho programu</w:t>
            </w:r>
            <w:r w:rsidR="00F85B61" w:rsidRPr="00513947">
              <w:rPr>
                <w:rFonts w:eastAsia="Times New Roman"/>
                <w:i w:val="0"/>
                <w:color w:val="000000" w:themeColor="text1"/>
              </w:rPr>
              <w:t xml:space="preserve"> představuj</w:t>
            </w:r>
            <w:r w:rsidR="00902A9E" w:rsidRPr="00513947">
              <w:rPr>
                <w:rFonts w:eastAsia="Times New Roman"/>
                <w:i w:val="0"/>
                <w:color w:val="000000" w:themeColor="text1"/>
              </w:rPr>
              <w:t>ícího</w:t>
            </w:r>
            <w:r w:rsidR="00F85B61" w:rsidRPr="00513947">
              <w:rPr>
                <w:rFonts w:eastAsia="Times New Roman"/>
                <w:i w:val="0"/>
                <w:color w:val="000000" w:themeColor="text1"/>
              </w:rPr>
              <w:t xml:space="preserve"> legislativní</w:t>
            </w:r>
            <w:r w:rsidR="001C1B88" w:rsidRPr="00513947">
              <w:rPr>
                <w:rFonts w:eastAsia="Times New Roman"/>
                <w:i w:val="0"/>
                <w:color w:val="000000" w:themeColor="text1"/>
              </w:rPr>
              <w:t xml:space="preserve">, </w:t>
            </w:r>
            <w:r w:rsidR="000875C4" w:rsidRPr="00513947">
              <w:rPr>
                <w:rFonts w:eastAsia="Times New Roman"/>
                <w:i w:val="0"/>
                <w:color w:val="000000" w:themeColor="text1"/>
              </w:rPr>
              <w:t xml:space="preserve">procesní, </w:t>
            </w:r>
            <w:r w:rsidR="001C1B88" w:rsidRPr="00513947">
              <w:rPr>
                <w:rFonts w:eastAsia="Times New Roman"/>
                <w:i w:val="0"/>
                <w:color w:val="000000" w:themeColor="text1"/>
              </w:rPr>
              <w:t xml:space="preserve">standardizační </w:t>
            </w:r>
            <w:r w:rsidRPr="00513947">
              <w:rPr>
                <w:rFonts w:eastAsia="Times New Roman"/>
                <w:i w:val="0"/>
                <w:color w:val="000000" w:themeColor="text1"/>
              </w:rPr>
              <w:t xml:space="preserve">a </w:t>
            </w:r>
            <w:r w:rsidR="001C1B88" w:rsidRPr="00513947">
              <w:rPr>
                <w:rFonts w:eastAsia="Times New Roman"/>
                <w:i w:val="0"/>
                <w:color w:val="000000" w:themeColor="text1"/>
              </w:rPr>
              <w:t>implementační projekty, které jdou napříč veřejnou správou</w:t>
            </w:r>
            <w:r w:rsidRPr="00513947">
              <w:rPr>
                <w:rFonts w:eastAsia="Times New Roman"/>
                <w:i w:val="0"/>
                <w:color w:val="000000" w:themeColor="text1"/>
              </w:rPr>
              <w:t>. Je</w:t>
            </w:r>
            <w:r w:rsidR="001C1B88" w:rsidRPr="00513947">
              <w:rPr>
                <w:rFonts w:eastAsia="Times New Roman"/>
                <w:i w:val="0"/>
                <w:color w:val="000000" w:themeColor="text1"/>
              </w:rPr>
              <w:t>ho</w:t>
            </w:r>
            <w:r w:rsidR="00737B76" w:rsidRPr="00513947">
              <w:rPr>
                <w:rFonts w:eastAsia="Times New Roman"/>
                <w:i w:val="0"/>
                <w:color w:val="000000" w:themeColor="text1"/>
              </w:rPr>
              <w:t xml:space="preserve"> </w:t>
            </w:r>
            <w:r w:rsidRPr="00513947">
              <w:rPr>
                <w:rFonts w:eastAsia="Times New Roman"/>
                <w:i w:val="0"/>
                <w:color w:val="000000" w:themeColor="text1"/>
              </w:rPr>
              <w:t xml:space="preserve">koordinaci bude vykonávat programová kancelář Digitální Česko ve spolupráci s Ministerstvem vnitra jako gestorem </w:t>
            </w:r>
            <w:r w:rsidR="0053578E" w:rsidRPr="00513947">
              <w:rPr>
                <w:rFonts w:eastAsia="Times New Roman"/>
                <w:i w:val="0"/>
                <w:color w:val="000000" w:themeColor="text1"/>
              </w:rPr>
              <w:t xml:space="preserve">datových politik </w:t>
            </w:r>
            <w:r w:rsidRPr="00513947">
              <w:rPr>
                <w:rFonts w:eastAsia="Times New Roman"/>
                <w:i w:val="0"/>
                <w:color w:val="000000" w:themeColor="text1"/>
              </w:rPr>
              <w:t>veřejné správy.</w:t>
            </w:r>
          </w:p>
          <w:p w14:paraId="52F3CD65" w14:textId="095C31EC" w:rsidR="00480C03" w:rsidRPr="00513947" w:rsidRDefault="004073CC">
            <w:pPr>
              <w:pStyle w:val="K-TextInfo"/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 xml:space="preserve">Programová kancelář </w:t>
            </w:r>
            <w:r w:rsidR="005C0B7F" w:rsidRPr="00513947">
              <w:rPr>
                <w:rFonts w:eastAsia="Times New Roman"/>
                <w:i w:val="0"/>
                <w:color w:val="000000" w:themeColor="text1"/>
              </w:rPr>
              <w:t xml:space="preserve">a Ministerstvo vnitra </w:t>
            </w:r>
            <w:r w:rsidRPr="00513947">
              <w:rPr>
                <w:rFonts w:eastAsia="Times New Roman"/>
                <w:i w:val="0"/>
                <w:color w:val="000000" w:themeColor="text1"/>
              </w:rPr>
              <w:t>bud</w:t>
            </w:r>
            <w:r w:rsidR="005C0B7F" w:rsidRPr="00513947">
              <w:rPr>
                <w:rFonts w:eastAsia="Times New Roman"/>
                <w:i w:val="0"/>
                <w:color w:val="000000" w:themeColor="text1"/>
              </w:rPr>
              <w:t>ou</w:t>
            </w:r>
            <w:r w:rsidRPr="00513947">
              <w:rPr>
                <w:rFonts w:eastAsia="Times New Roman"/>
                <w:i w:val="0"/>
                <w:color w:val="000000" w:themeColor="text1"/>
              </w:rPr>
              <w:t xml:space="preserve"> mít ve vrcholných řídících strukturách projektů svého zástupce, který bude monitorovat vývoj projektu v čase vč. stavu naplňování jeho indikátorů a v případě problémů je bude neprodleně eskalovat na úroveň vládního zmocněnce pro IT a digitalizaci. Vedení programové kanceláře </w:t>
            </w:r>
            <w:r w:rsidR="005C0B7F" w:rsidRPr="00513947">
              <w:rPr>
                <w:rFonts w:eastAsia="Times New Roman"/>
                <w:i w:val="0"/>
                <w:color w:val="000000" w:themeColor="text1"/>
              </w:rPr>
              <w:t xml:space="preserve">a Ministerstvo vnitra </w:t>
            </w:r>
            <w:r w:rsidRPr="00513947">
              <w:rPr>
                <w:rFonts w:eastAsia="Times New Roman"/>
                <w:i w:val="0"/>
                <w:color w:val="000000" w:themeColor="text1"/>
              </w:rPr>
              <w:t>bud</w:t>
            </w:r>
            <w:r w:rsidR="005C0B7F" w:rsidRPr="00513947">
              <w:rPr>
                <w:rFonts w:eastAsia="Times New Roman"/>
                <w:i w:val="0"/>
                <w:color w:val="000000" w:themeColor="text1"/>
              </w:rPr>
              <w:t>ou</w:t>
            </w:r>
            <w:r w:rsidRPr="00513947">
              <w:rPr>
                <w:rFonts w:eastAsia="Times New Roman"/>
                <w:i w:val="0"/>
                <w:color w:val="000000" w:themeColor="text1"/>
              </w:rPr>
              <w:t xml:space="preserve"> o běhu projektu informován</w:t>
            </w:r>
            <w:r w:rsidR="005C0B7F" w:rsidRPr="00513947">
              <w:rPr>
                <w:rFonts w:eastAsia="Times New Roman"/>
                <w:i w:val="0"/>
                <w:color w:val="000000" w:themeColor="text1"/>
              </w:rPr>
              <w:t>y</w:t>
            </w:r>
            <w:r w:rsidRPr="00513947">
              <w:rPr>
                <w:rFonts w:eastAsia="Times New Roman"/>
                <w:i w:val="0"/>
                <w:color w:val="000000" w:themeColor="text1"/>
              </w:rPr>
              <w:t xml:space="preserve"> na pravidelné cca měsíční bázi.</w:t>
            </w:r>
          </w:p>
        </w:tc>
      </w:tr>
      <w:tr w:rsidR="004073CC" w:rsidRPr="00513947" w14:paraId="165082CF" w14:textId="77777777" w:rsidTr="005D61FA">
        <w:trPr>
          <w:trHeight w:val="70"/>
        </w:trPr>
        <w:tc>
          <w:tcPr>
            <w:tcW w:w="2405" w:type="dxa"/>
          </w:tcPr>
          <w:p w14:paraId="31081698" w14:textId="77777777" w:rsidR="004073CC" w:rsidRPr="00513947" w:rsidRDefault="004073CC" w:rsidP="005D61FA">
            <w:pPr>
              <w:pStyle w:val="K-Text"/>
              <w:jc w:val="left"/>
            </w:pPr>
            <w:r w:rsidRPr="00513947">
              <w:t>Spolupráce a zapojení zúčastněných stran</w:t>
            </w:r>
          </w:p>
        </w:tc>
        <w:tc>
          <w:tcPr>
            <w:tcW w:w="7223" w:type="dxa"/>
          </w:tcPr>
          <w:p w14:paraId="1E578BE1" w14:textId="32C7F54E" w:rsidR="00C11704" w:rsidRPr="00513947" w:rsidRDefault="004073CC" w:rsidP="005D61FA">
            <w:pPr>
              <w:pStyle w:val="K-TextInfo"/>
              <w:rPr>
                <w:rFonts w:eastAsia="Times New Roman"/>
                <w:i w:val="0"/>
                <w:color w:val="auto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 xml:space="preserve">Hlavními nositeli </w:t>
            </w:r>
            <w:r w:rsidR="00491722" w:rsidRPr="00513947">
              <w:rPr>
                <w:rFonts w:eastAsia="Times New Roman"/>
                <w:i w:val="0"/>
                <w:color w:val="auto"/>
              </w:rPr>
              <w:t>p</w:t>
            </w:r>
            <w:r w:rsidR="00154FEB" w:rsidRPr="00513947">
              <w:rPr>
                <w:rFonts w:eastAsia="Times New Roman"/>
                <w:i w:val="0"/>
                <w:iCs w:val="0"/>
                <w:color w:val="auto"/>
              </w:rPr>
              <w:t>rogramu</w:t>
            </w:r>
            <w:r w:rsidRPr="00513947">
              <w:rPr>
                <w:rFonts w:eastAsia="Times New Roman"/>
                <w:i w:val="0"/>
                <w:color w:val="auto"/>
              </w:rPr>
              <w:t xml:space="preserve"> j</w:t>
            </w:r>
            <w:r w:rsidR="00C11704" w:rsidRPr="00513947">
              <w:rPr>
                <w:rFonts w:eastAsia="Times New Roman"/>
                <w:i w:val="0"/>
                <w:color w:val="auto"/>
              </w:rPr>
              <w:t xml:space="preserve">e </w:t>
            </w:r>
            <w:r w:rsidR="00083C4E" w:rsidRPr="00513947">
              <w:rPr>
                <w:rFonts w:eastAsia="Times New Roman"/>
                <w:i w:val="0"/>
                <w:color w:val="auto"/>
              </w:rPr>
              <w:t>Ministerstvo</w:t>
            </w:r>
            <w:r w:rsidR="00C11704" w:rsidRPr="00513947">
              <w:rPr>
                <w:rFonts w:eastAsia="Times New Roman"/>
                <w:i w:val="0"/>
                <w:color w:val="auto"/>
              </w:rPr>
              <w:t xml:space="preserve"> vnitra.</w:t>
            </w:r>
          </w:p>
          <w:p w14:paraId="0B6755BA" w14:textId="65BB601B" w:rsidR="007C49FD" w:rsidRPr="00513947" w:rsidRDefault="00C11704" w:rsidP="00346E23">
            <w:pPr>
              <w:pStyle w:val="K-TextInfo"/>
              <w:rPr>
                <w:rFonts w:eastAsia="Times New Roman"/>
                <w:i w:val="0"/>
                <w:color w:val="000000" w:themeColor="text1"/>
                <w:lang w:eastAsia="cs-CZ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 xml:space="preserve">Věcný záměr bude </w:t>
            </w:r>
            <w:r w:rsidR="007C49FD" w:rsidRPr="00513947">
              <w:rPr>
                <w:rFonts w:eastAsia="Times New Roman"/>
                <w:i w:val="0"/>
                <w:color w:val="000000" w:themeColor="text1"/>
              </w:rPr>
              <w:t>konzultován se všemi dotčenými instit</w:t>
            </w:r>
            <w:r w:rsidRPr="00513947">
              <w:rPr>
                <w:rFonts w:eastAsia="Times New Roman"/>
                <w:i w:val="0"/>
                <w:color w:val="000000" w:themeColor="text1"/>
              </w:rPr>
              <w:t>ucemi veřejné a státní správy v rámci mezi</w:t>
            </w:r>
            <w:r w:rsidR="007C49FD" w:rsidRPr="00513947">
              <w:rPr>
                <w:rFonts w:eastAsia="Times New Roman"/>
                <w:i w:val="0"/>
                <w:color w:val="000000" w:themeColor="text1"/>
              </w:rPr>
              <w:t>rezortního</w:t>
            </w:r>
            <w:r w:rsidR="007C49FD" w:rsidRPr="00513947">
              <w:rPr>
                <w:rFonts w:eastAsia="Times New Roman"/>
                <w:iCs w:val="0"/>
                <w:color w:val="000000" w:themeColor="text1"/>
              </w:rPr>
              <w:t xml:space="preserve"> připomínkového řízení k věcnému záměru navrhované úpravy a následně také k paragrafovému</w:t>
            </w:r>
            <w:r w:rsidRPr="00513947">
              <w:rPr>
                <w:rFonts w:eastAsia="Times New Roman"/>
                <w:i w:val="0"/>
                <w:color w:val="auto"/>
              </w:rPr>
              <w:t xml:space="preserve"> znění.</w:t>
            </w:r>
          </w:p>
        </w:tc>
      </w:tr>
      <w:tr w:rsidR="004073CC" w:rsidRPr="00513947" w14:paraId="6AD78D83" w14:textId="77777777" w:rsidTr="005D61FA">
        <w:tc>
          <w:tcPr>
            <w:tcW w:w="2405" w:type="dxa"/>
          </w:tcPr>
          <w:p w14:paraId="29B7088E" w14:textId="77777777" w:rsidR="004073CC" w:rsidRPr="00513947" w:rsidRDefault="004073CC" w:rsidP="005D61FA">
            <w:pPr>
              <w:pStyle w:val="K-Text"/>
              <w:jc w:val="left"/>
            </w:pPr>
            <w:r w:rsidRPr="00513947">
              <w:t>Překážky a rizika</w:t>
            </w:r>
          </w:p>
        </w:tc>
        <w:tc>
          <w:tcPr>
            <w:tcW w:w="7223" w:type="dxa"/>
          </w:tcPr>
          <w:p w14:paraId="6DD002C1" w14:textId="2F6B239B" w:rsidR="004073CC" w:rsidRPr="00513947" w:rsidRDefault="00951C94" w:rsidP="005D61FA">
            <w:pPr>
              <w:pStyle w:val="K-TextInfo"/>
              <w:numPr>
                <w:ilvl w:val="0"/>
                <w:numId w:val="34"/>
              </w:numPr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>Skluz při tvorbě a schvalování legislativního rámce</w:t>
            </w:r>
            <w:r w:rsidR="00822C94" w:rsidRPr="00513947">
              <w:rPr>
                <w:rFonts w:eastAsia="Times New Roman"/>
                <w:i w:val="0"/>
                <w:color w:val="000000" w:themeColor="text1"/>
              </w:rPr>
              <w:t>.</w:t>
            </w:r>
          </w:p>
          <w:p w14:paraId="77F99C42" w14:textId="60BD446E" w:rsidR="00A3479C" w:rsidRPr="00513947" w:rsidRDefault="00E0459A" w:rsidP="00C64600">
            <w:pPr>
              <w:pStyle w:val="K-TextInfo"/>
              <w:numPr>
                <w:ilvl w:val="0"/>
                <w:numId w:val="34"/>
              </w:numPr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 xml:space="preserve">Neochota jednotlivých původců dat </w:t>
            </w:r>
            <w:r w:rsidR="00C64600" w:rsidRPr="00513947">
              <w:rPr>
                <w:rFonts w:eastAsia="Times New Roman"/>
                <w:i w:val="0"/>
                <w:color w:val="000000" w:themeColor="text1"/>
              </w:rPr>
              <w:t>se řídit nově schváleným rámcem a implementovat potřebné mechanismy v plné šíři</w:t>
            </w:r>
            <w:r w:rsidR="00FF65E8" w:rsidRPr="00513947">
              <w:rPr>
                <w:rFonts w:eastAsia="Times New Roman"/>
                <w:i w:val="0"/>
                <w:iCs w:val="0"/>
                <w:color w:val="000000" w:themeColor="text1"/>
              </w:rPr>
              <w:t>.</w:t>
            </w:r>
            <w:r w:rsidR="00AD481D" w:rsidRPr="00513947">
              <w:rPr>
                <w:rFonts w:eastAsia="Times New Roman"/>
                <w:i w:val="0"/>
                <w:iCs w:val="0"/>
                <w:color w:val="000000" w:themeColor="text1"/>
              </w:rPr>
              <w:t xml:space="preserve"> </w:t>
            </w:r>
          </w:p>
          <w:p w14:paraId="3DEC908E" w14:textId="77777777" w:rsidR="00023727" w:rsidRPr="00513947" w:rsidRDefault="00A3479C" w:rsidP="005D61FA">
            <w:pPr>
              <w:pStyle w:val="K-TextInfo"/>
              <w:numPr>
                <w:ilvl w:val="0"/>
                <w:numId w:val="34"/>
              </w:numPr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iCs w:val="0"/>
                <w:color w:val="000000" w:themeColor="text1"/>
              </w:rPr>
              <w:t xml:space="preserve">Omezené </w:t>
            </w:r>
            <w:r w:rsidR="005A074F" w:rsidRPr="00513947">
              <w:rPr>
                <w:rFonts w:eastAsia="Times New Roman"/>
                <w:i w:val="0"/>
                <w:iCs w:val="0"/>
                <w:color w:val="000000" w:themeColor="text1"/>
              </w:rPr>
              <w:t>schopnosti a možnosti</w:t>
            </w:r>
            <w:r w:rsidRPr="00513947">
              <w:rPr>
                <w:rFonts w:eastAsia="Times New Roman"/>
                <w:i w:val="0"/>
                <w:iCs w:val="0"/>
                <w:color w:val="000000" w:themeColor="text1"/>
              </w:rPr>
              <w:t xml:space="preserve"> práce s daty a jejich vzájemného propojování v rámci jednoho resortu. </w:t>
            </w:r>
          </w:p>
          <w:p w14:paraId="377265BD" w14:textId="77777777" w:rsidR="004073CC" w:rsidRPr="00513947" w:rsidRDefault="004073CC" w:rsidP="005D61FA">
            <w:pPr>
              <w:pStyle w:val="K-TextInfo"/>
              <w:numPr>
                <w:ilvl w:val="0"/>
                <w:numId w:val="34"/>
              </w:numPr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>Veřejné zakázky (prodlevy v realizaci VZ, nekvalitní zakázková dokumentace generující dotazy uchazečů, odvolání uchazečů proti rozhodnutí o výběru, výběr nekvalitního dodavatele, nutnost změny dodavatele v průběhu realizace projektu, …)</w:t>
            </w:r>
            <w:r w:rsidR="00822C94" w:rsidRPr="00513947">
              <w:rPr>
                <w:rFonts w:eastAsia="Times New Roman"/>
                <w:i w:val="0"/>
                <w:color w:val="000000" w:themeColor="text1"/>
              </w:rPr>
              <w:t>.</w:t>
            </w:r>
          </w:p>
          <w:p w14:paraId="3AB5C872" w14:textId="77777777" w:rsidR="004073CC" w:rsidRPr="00513947" w:rsidRDefault="004073CC" w:rsidP="005D61FA">
            <w:pPr>
              <w:pStyle w:val="K-TextInfo"/>
              <w:numPr>
                <w:ilvl w:val="0"/>
                <w:numId w:val="34"/>
              </w:numPr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>Organizační (</w:t>
            </w:r>
            <w:r w:rsidR="00FF65E8" w:rsidRPr="00513947">
              <w:rPr>
                <w:rFonts w:eastAsia="Times New Roman"/>
                <w:i w:val="0"/>
                <w:color w:val="000000" w:themeColor="text1"/>
              </w:rPr>
              <w:t xml:space="preserve">problematické ustanovení </w:t>
            </w:r>
            <w:r w:rsidR="00A3479C" w:rsidRPr="00513947">
              <w:rPr>
                <w:rFonts w:eastAsia="Times New Roman"/>
                <w:i w:val="0"/>
                <w:color w:val="000000" w:themeColor="text1"/>
              </w:rPr>
              <w:t xml:space="preserve">rozhodovacích struktur, </w:t>
            </w:r>
            <w:r w:rsidRPr="00513947">
              <w:rPr>
                <w:rFonts w:eastAsia="Times New Roman"/>
                <w:i w:val="0"/>
                <w:color w:val="000000" w:themeColor="text1"/>
              </w:rPr>
              <w:t>odliv kvalifikovaného personálu do komerčního sektoru, …)</w:t>
            </w:r>
            <w:r w:rsidR="00822C94" w:rsidRPr="00513947">
              <w:rPr>
                <w:rFonts w:eastAsia="Times New Roman"/>
                <w:i w:val="0"/>
                <w:color w:val="000000" w:themeColor="text1"/>
              </w:rPr>
              <w:t>.</w:t>
            </w:r>
          </w:p>
        </w:tc>
      </w:tr>
      <w:tr w:rsidR="004073CC" w:rsidRPr="00513947" w14:paraId="0A4E2CE0" w14:textId="77777777" w:rsidTr="005D61FA">
        <w:tc>
          <w:tcPr>
            <w:tcW w:w="2405" w:type="dxa"/>
          </w:tcPr>
          <w:p w14:paraId="6A5CBB18" w14:textId="77777777" w:rsidR="004073CC" w:rsidRPr="00513947" w:rsidRDefault="004073CC" w:rsidP="005D61FA">
            <w:pPr>
              <w:pStyle w:val="K-Text"/>
              <w:jc w:val="left"/>
            </w:pPr>
            <w:r w:rsidRPr="00513947">
              <w:lastRenderedPageBreak/>
              <w:t>Cílové skupiny populace a ekonomické subjekty</w:t>
            </w:r>
          </w:p>
        </w:tc>
        <w:tc>
          <w:tcPr>
            <w:tcW w:w="7223" w:type="dxa"/>
          </w:tcPr>
          <w:p w14:paraId="02828620" w14:textId="77777777" w:rsidR="0053578E" w:rsidRPr="00513947" w:rsidRDefault="004073CC" w:rsidP="005D61FA">
            <w:pPr>
              <w:pStyle w:val="K-TextInfo"/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>Primární cílové skupiny (přímí konzumenti služeb):</w:t>
            </w:r>
          </w:p>
          <w:p w14:paraId="64603D82" w14:textId="77777777" w:rsidR="0053578E" w:rsidRPr="00513947" w:rsidRDefault="0053578E" w:rsidP="008353C7">
            <w:pPr>
              <w:pStyle w:val="K-TextInfo"/>
              <w:numPr>
                <w:ilvl w:val="0"/>
                <w:numId w:val="27"/>
              </w:numPr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 xml:space="preserve">Orgány státní a veřejné správy využívající data pro výkon svých </w:t>
            </w:r>
            <w:proofErr w:type="spellStart"/>
            <w:r w:rsidRPr="00513947">
              <w:rPr>
                <w:rFonts w:eastAsia="Times New Roman"/>
                <w:i w:val="0"/>
                <w:color w:val="000000" w:themeColor="text1"/>
              </w:rPr>
              <w:t>agendových</w:t>
            </w:r>
            <w:proofErr w:type="spellEnd"/>
            <w:r w:rsidRPr="00513947">
              <w:rPr>
                <w:rFonts w:eastAsia="Times New Roman"/>
                <w:i w:val="0"/>
                <w:color w:val="000000" w:themeColor="text1"/>
              </w:rPr>
              <w:t xml:space="preserve"> i </w:t>
            </w:r>
            <w:proofErr w:type="spellStart"/>
            <w:r w:rsidRPr="00513947">
              <w:rPr>
                <w:rFonts w:eastAsia="Times New Roman"/>
                <w:i w:val="0"/>
                <w:color w:val="000000" w:themeColor="text1"/>
              </w:rPr>
              <w:t>neagendových</w:t>
            </w:r>
            <w:proofErr w:type="spellEnd"/>
            <w:r w:rsidRPr="00513947">
              <w:rPr>
                <w:rFonts w:eastAsia="Times New Roman"/>
                <w:i w:val="0"/>
                <w:color w:val="000000" w:themeColor="text1"/>
              </w:rPr>
              <w:t xml:space="preserve"> činností a k vývoji nových či zlepšení stávajících služeb</w:t>
            </w:r>
          </w:p>
          <w:p w14:paraId="5B2493CC" w14:textId="77777777" w:rsidR="0053578E" w:rsidRPr="00513947" w:rsidRDefault="0053578E" w:rsidP="008353C7">
            <w:pPr>
              <w:pStyle w:val="K-TextInfo"/>
              <w:numPr>
                <w:ilvl w:val="0"/>
                <w:numId w:val="27"/>
              </w:numPr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>Politické vedení využívající data pro kvalitní rozhodování založené na faktech (evidence-</w:t>
            </w:r>
            <w:proofErr w:type="spellStart"/>
            <w:r w:rsidRPr="00513947">
              <w:rPr>
                <w:rFonts w:eastAsia="Times New Roman"/>
                <w:i w:val="0"/>
                <w:color w:val="000000" w:themeColor="text1"/>
              </w:rPr>
              <w:t>based</w:t>
            </w:r>
            <w:proofErr w:type="spellEnd"/>
            <w:r w:rsidRPr="00513947">
              <w:rPr>
                <w:rFonts w:eastAsia="Times New Roman"/>
                <w:i w:val="0"/>
                <w:color w:val="000000" w:themeColor="text1"/>
              </w:rPr>
              <w:t xml:space="preserve"> </w:t>
            </w:r>
            <w:proofErr w:type="spellStart"/>
            <w:r w:rsidRPr="00513947">
              <w:rPr>
                <w:rFonts w:eastAsia="Times New Roman"/>
                <w:i w:val="0"/>
                <w:color w:val="000000" w:themeColor="text1"/>
              </w:rPr>
              <w:t>policy</w:t>
            </w:r>
            <w:proofErr w:type="spellEnd"/>
            <w:r w:rsidRPr="00513947">
              <w:rPr>
                <w:rFonts w:eastAsia="Times New Roman"/>
                <w:i w:val="0"/>
                <w:color w:val="000000" w:themeColor="text1"/>
              </w:rPr>
              <w:t>)</w:t>
            </w:r>
          </w:p>
          <w:p w14:paraId="2546D559" w14:textId="1749D314" w:rsidR="008353C7" w:rsidRPr="00513947" w:rsidRDefault="008353C7" w:rsidP="008353C7">
            <w:pPr>
              <w:pStyle w:val="K-TextInfo"/>
              <w:numPr>
                <w:ilvl w:val="0"/>
                <w:numId w:val="27"/>
              </w:numPr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>Vědecké instituce a univerzity využívající data pro vědecké účely</w:t>
            </w:r>
          </w:p>
          <w:p w14:paraId="297381D0" w14:textId="7A83A210" w:rsidR="004073CC" w:rsidRPr="00513947" w:rsidRDefault="00966FF1" w:rsidP="005D61FA">
            <w:pPr>
              <w:pStyle w:val="K-TextInfo"/>
              <w:numPr>
                <w:ilvl w:val="0"/>
                <w:numId w:val="27"/>
              </w:numPr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>Komerční subjekty využívající data</w:t>
            </w:r>
            <w:r w:rsidR="00BC650D" w:rsidRPr="00513947">
              <w:rPr>
                <w:rFonts w:eastAsia="Times New Roman"/>
                <w:i w:val="0"/>
                <w:color w:val="000000" w:themeColor="text1"/>
              </w:rPr>
              <w:t xml:space="preserve"> k vývoji nových či zlepšení stávajících služeb</w:t>
            </w:r>
          </w:p>
          <w:p w14:paraId="4F47D12B" w14:textId="4E195544" w:rsidR="001974CF" w:rsidRPr="00513947" w:rsidRDefault="001974CF" w:rsidP="001974CF">
            <w:pPr>
              <w:pStyle w:val="K-TextInfo"/>
              <w:numPr>
                <w:ilvl w:val="0"/>
                <w:numId w:val="27"/>
              </w:numPr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>Nekomerční subjekty využívající data k vývoji nových či zlepšení stávajících služeb</w:t>
            </w:r>
          </w:p>
          <w:p w14:paraId="113038D7" w14:textId="77777777" w:rsidR="001974CF" w:rsidRPr="00513947" w:rsidRDefault="001974CF" w:rsidP="001974CF">
            <w:pPr>
              <w:pStyle w:val="K-TextInfo"/>
              <w:numPr>
                <w:ilvl w:val="0"/>
                <w:numId w:val="27"/>
              </w:numPr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>Široká odborná veřejnost</w:t>
            </w:r>
          </w:p>
          <w:p w14:paraId="020137E6" w14:textId="77777777" w:rsidR="004073CC" w:rsidRPr="00513947" w:rsidRDefault="004073CC" w:rsidP="005D61FA">
            <w:pPr>
              <w:pStyle w:val="K-TextInfo"/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>Sekundární cílové skupiny (konzumenti, jimž služby přináší užitek, ale nemohou je sami vykonávat):</w:t>
            </w:r>
          </w:p>
          <w:p w14:paraId="03CA10FB" w14:textId="77777777" w:rsidR="004073CC" w:rsidRPr="00513947" w:rsidRDefault="004073CC" w:rsidP="005D61FA">
            <w:pPr>
              <w:pStyle w:val="K-TextInfo"/>
              <w:numPr>
                <w:ilvl w:val="0"/>
                <w:numId w:val="27"/>
              </w:numPr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>Občané ČR</w:t>
            </w:r>
            <w:r w:rsidR="001974CF" w:rsidRPr="00513947">
              <w:rPr>
                <w:rFonts w:eastAsia="Times New Roman"/>
                <w:i w:val="0"/>
                <w:color w:val="000000" w:themeColor="text1"/>
              </w:rPr>
              <w:t xml:space="preserve">, příjemci nových či </w:t>
            </w:r>
            <w:r w:rsidR="00512DD1" w:rsidRPr="00513947">
              <w:rPr>
                <w:rFonts w:eastAsia="Times New Roman"/>
                <w:i w:val="0"/>
                <w:color w:val="000000" w:themeColor="text1"/>
              </w:rPr>
              <w:t>inovovaných</w:t>
            </w:r>
            <w:r w:rsidR="001974CF" w:rsidRPr="00513947">
              <w:rPr>
                <w:rFonts w:eastAsia="Times New Roman"/>
                <w:i w:val="0"/>
                <w:color w:val="000000" w:themeColor="text1"/>
              </w:rPr>
              <w:t xml:space="preserve"> služeb a vědeckých</w:t>
            </w:r>
            <w:r w:rsidR="000B4D99" w:rsidRPr="00513947">
              <w:rPr>
                <w:rFonts w:eastAsia="Times New Roman"/>
                <w:i w:val="0"/>
                <w:color w:val="000000" w:themeColor="text1"/>
              </w:rPr>
              <w:t xml:space="preserve"> poznatků realizovaných na základě využití anonymizovaných individuálních dat</w:t>
            </w:r>
          </w:p>
          <w:p w14:paraId="79FA16EB" w14:textId="77777777" w:rsidR="004073CC" w:rsidRPr="00513947" w:rsidRDefault="004073CC" w:rsidP="002B1B44">
            <w:pPr>
              <w:pStyle w:val="K-TextInfo"/>
              <w:numPr>
                <w:ilvl w:val="0"/>
                <w:numId w:val="27"/>
              </w:numPr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 xml:space="preserve">Občané </w:t>
            </w:r>
            <w:r w:rsidR="002B1B44" w:rsidRPr="00513947">
              <w:rPr>
                <w:rFonts w:eastAsia="Times New Roman"/>
                <w:i w:val="0"/>
                <w:color w:val="000000" w:themeColor="text1"/>
              </w:rPr>
              <w:t xml:space="preserve">ostatních zemí, příjemci nových či </w:t>
            </w:r>
            <w:r w:rsidR="00512DD1" w:rsidRPr="00513947">
              <w:rPr>
                <w:rFonts w:eastAsia="Times New Roman"/>
                <w:i w:val="0"/>
                <w:color w:val="000000" w:themeColor="text1"/>
              </w:rPr>
              <w:t>inovovaných</w:t>
            </w:r>
            <w:r w:rsidR="002B1B44" w:rsidRPr="00513947">
              <w:rPr>
                <w:rFonts w:eastAsia="Times New Roman"/>
                <w:i w:val="0"/>
                <w:color w:val="000000" w:themeColor="text1"/>
              </w:rPr>
              <w:t xml:space="preserve"> služeb a vědeckých poznatků realizovaných na základě využití anonymizovaných individuálních dat</w:t>
            </w:r>
          </w:p>
        </w:tc>
      </w:tr>
      <w:tr w:rsidR="004073CC" w:rsidRPr="00083C4E" w14:paraId="25A64042" w14:textId="77777777" w:rsidTr="005D61FA">
        <w:tc>
          <w:tcPr>
            <w:tcW w:w="2405" w:type="dxa"/>
          </w:tcPr>
          <w:p w14:paraId="741C4D23" w14:textId="77777777" w:rsidR="004073CC" w:rsidRPr="00513947" w:rsidRDefault="004073CC" w:rsidP="005D61FA">
            <w:pPr>
              <w:pStyle w:val="K-Text"/>
              <w:jc w:val="left"/>
            </w:pPr>
            <w:r w:rsidRPr="00513947">
              <w:t>Souhrnné náklady realizace financované z RRF za celé období</w:t>
            </w:r>
          </w:p>
        </w:tc>
        <w:tc>
          <w:tcPr>
            <w:tcW w:w="7223" w:type="dxa"/>
          </w:tcPr>
          <w:p w14:paraId="7CC827A8" w14:textId="77777777" w:rsidR="004073CC" w:rsidRPr="00083C4E" w:rsidRDefault="004073CC" w:rsidP="005D61FA">
            <w:pPr>
              <w:pStyle w:val="K-TextInfo"/>
              <w:rPr>
                <w:rFonts w:eastAsia="Times New Roman"/>
                <w:i w:val="0"/>
                <w:color w:val="000000" w:themeColor="text1"/>
              </w:rPr>
            </w:pPr>
            <w:r w:rsidRPr="00513947">
              <w:rPr>
                <w:rFonts w:eastAsia="Times New Roman"/>
                <w:i w:val="0"/>
                <w:color w:val="000000" w:themeColor="text1"/>
              </w:rPr>
              <w:t xml:space="preserve">Celkové náklady reformy hrazené z RRF jsou </w:t>
            </w:r>
            <w:r w:rsidR="00835548" w:rsidRPr="00513947">
              <w:rPr>
                <w:rFonts w:eastAsia="Times New Roman"/>
                <w:i w:val="0"/>
                <w:color w:val="000000" w:themeColor="text1"/>
              </w:rPr>
              <w:t>12</w:t>
            </w:r>
            <w:r w:rsidR="00034B10" w:rsidRPr="00513947">
              <w:rPr>
                <w:rFonts w:eastAsia="Times New Roman"/>
                <w:i w:val="0"/>
                <w:color w:val="000000" w:themeColor="text1"/>
              </w:rPr>
              <w:t>6</w:t>
            </w:r>
            <w:r w:rsidR="00835548" w:rsidRPr="00513947">
              <w:rPr>
                <w:rFonts w:eastAsia="Times New Roman"/>
                <w:i w:val="0"/>
                <w:color w:val="000000" w:themeColor="text1"/>
              </w:rPr>
              <w:t xml:space="preserve"> </w:t>
            </w:r>
            <w:r w:rsidRPr="00513947">
              <w:rPr>
                <w:rFonts w:eastAsia="Times New Roman"/>
                <w:i w:val="0"/>
                <w:color w:val="000000" w:themeColor="text1"/>
              </w:rPr>
              <w:t>mil Kč</w:t>
            </w:r>
          </w:p>
        </w:tc>
      </w:tr>
      <w:tr w:rsidR="004073CC" w:rsidRPr="00083C4E" w14:paraId="5FB1FDED" w14:textId="77777777" w:rsidTr="005D61FA">
        <w:tc>
          <w:tcPr>
            <w:tcW w:w="2405" w:type="dxa"/>
          </w:tcPr>
          <w:p w14:paraId="75FBF0ED" w14:textId="77777777" w:rsidR="004073CC" w:rsidRPr="00083C4E" w:rsidRDefault="004073CC" w:rsidP="005D61FA">
            <w:pPr>
              <w:pStyle w:val="K-Text"/>
              <w:jc w:val="left"/>
            </w:pPr>
            <w:r w:rsidRPr="00083C4E">
              <w:t>Dodržování pravidel státní podpory</w:t>
            </w:r>
          </w:p>
        </w:tc>
        <w:tc>
          <w:tcPr>
            <w:tcW w:w="7223" w:type="dxa"/>
          </w:tcPr>
          <w:p w14:paraId="5D56A2D7" w14:textId="77777777" w:rsidR="004073CC" w:rsidRPr="00083C4E" w:rsidRDefault="004073CC" w:rsidP="005D61FA">
            <w:pPr>
              <w:pStyle w:val="K-TextInfo"/>
              <w:rPr>
                <w:i w:val="0"/>
                <w:iCs w:val="0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Není relevantní</w:t>
            </w:r>
          </w:p>
        </w:tc>
      </w:tr>
      <w:tr w:rsidR="004073CC" w:rsidRPr="00083C4E" w14:paraId="1CFD17FE" w14:textId="77777777" w:rsidTr="005D61FA">
        <w:tc>
          <w:tcPr>
            <w:tcW w:w="2405" w:type="dxa"/>
          </w:tcPr>
          <w:p w14:paraId="4A67558C" w14:textId="77777777" w:rsidR="004073CC" w:rsidRPr="00083C4E" w:rsidRDefault="004073CC" w:rsidP="005D61FA">
            <w:pPr>
              <w:pStyle w:val="K-Text"/>
              <w:jc w:val="left"/>
            </w:pPr>
            <w:r w:rsidRPr="00083C4E">
              <w:t>Uveďte dobu implementace</w:t>
            </w:r>
          </w:p>
        </w:tc>
        <w:tc>
          <w:tcPr>
            <w:tcW w:w="7223" w:type="dxa"/>
          </w:tcPr>
          <w:p w14:paraId="7949BDA3" w14:textId="77777777" w:rsidR="004073CC" w:rsidRPr="00083C4E" w:rsidRDefault="004073CC" w:rsidP="005D61FA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Plánovaná doba realizace je 58 měsíců. Předpokládané dokončení je ve 4Q 2025</w:t>
            </w:r>
          </w:p>
        </w:tc>
      </w:tr>
    </w:tbl>
    <w:p w14:paraId="348E35D4" w14:textId="77777777" w:rsidR="004073CC" w:rsidRPr="00083C4E" w:rsidRDefault="004073CC" w:rsidP="008748AE">
      <w:pPr>
        <w:pStyle w:val="K-Tabulka"/>
      </w:pPr>
    </w:p>
    <w:p w14:paraId="4EB3D597" w14:textId="77777777" w:rsidR="008748AE" w:rsidRPr="00083C4E" w:rsidRDefault="004073CC" w:rsidP="008748AE">
      <w:pPr>
        <w:pStyle w:val="K-Tabulka"/>
      </w:pPr>
      <w:r w:rsidRPr="00083C4E">
        <w:t xml:space="preserve">3. </w:t>
      </w:r>
      <w:proofErr w:type="spellStart"/>
      <w:r w:rsidR="008748AE" w:rsidRPr="00083C4E">
        <w:t>eHealth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8748AE" w:rsidRPr="00083C4E" w14:paraId="683DC719" w14:textId="77777777" w:rsidTr="005D2C23">
        <w:tc>
          <w:tcPr>
            <w:tcW w:w="2405" w:type="dxa"/>
          </w:tcPr>
          <w:p w14:paraId="6415D7F2" w14:textId="77777777" w:rsidR="008748AE" w:rsidRPr="00083C4E" w:rsidRDefault="008748AE" w:rsidP="005D2C23">
            <w:pPr>
              <w:pStyle w:val="K-Text"/>
              <w:jc w:val="left"/>
            </w:pPr>
            <w:r w:rsidRPr="00083C4E">
              <w:t>Výzva</w:t>
            </w:r>
          </w:p>
        </w:tc>
        <w:tc>
          <w:tcPr>
            <w:tcW w:w="7223" w:type="dxa"/>
          </w:tcPr>
          <w:p w14:paraId="350A53CE" w14:textId="77777777" w:rsidR="00401289" w:rsidRPr="00083C4E" w:rsidRDefault="00996601" w:rsidP="005D2C23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 xml:space="preserve">Oblast </w:t>
            </w:r>
            <w:proofErr w:type="spellStart"/>
            <w:r w:rsidRPr="00083C4E">
              <w:rPr>
                <w:i w:val="0"/>
                <w:iCs w:val="0"/>
                <w:color w:val="000000" w:themeColor="text1"/>
              </w:rPr>
              <w:t>eHealth</w:t>
            </w:r>
            <w:proofErr w:type="spellEnd"/>
            <w:r w:rsidRPr="00083C4E">
              <w:rPr>
                <w:i w:val="0"/>
                <w:iCs w:val="0"/>
                <w:color w:val="000000" w:themeColor="text1"/>
              </w:rPr>
              <w:t xml:space="preserve"> je v České republice na počátku rozvoje. V době pandemie COVID-19 se velice dobře osvědčilo a výrazně rozšířilo využívání elektronických receptů (</w:t>
            </w:r>
            <w:proofErr w:type="spellStart"/>
            <w:r w:rsidRPr="00083C4E">
              <w:rPr>
                <w:i w:val="0"/>
                <w:iCs w:val="0"/>
                <w:color w:val="000000" w:themeColor="text1"/>
              </w:rPr>
              <w:t>ePrescripce</w:t>
            </w:r>
            <w:proofErr w:type="spellEnd"/>
            <w:r w:rsidRPr="00083C4E">
              <w:rPr>
                <w:i w:val="0"/>
                <w:iCs w:val="0"/>
                <w:color w:val="000000" w:themeColor="text1"/>
              </w:rPr>
              <w:t>)</w:t>
            </w:r>
            <w:r w:rsidR="00073277" w:rsidRPr="00083C4E">
              <w:rPr>
                <w:i w:val="0"/>
                <w:iCs w:val="0"/>
                <w:color w:val="000000" w:themeColor="text1"/>
              </w:rPr>
              <w:t xml:space="preserve"> tuto rovinu je však nutné i nadále rozvíjet</w:t>
            </w:r>
            <w:r w:rsidRPr="00083C4E">
              <w:rPr>
                <w:i w:val="0"/>
                <w:iCs w:val="0"/>
                <w:color w:val="000000" w:themeColor="text1"/>
              </w:rPr>
              <w:t xml:space="preserve">. Zároveň je nutné konstatovat výraznou absenci centrální koordinace a řízení elektronizace zdravotnictví, pouze minimální elektronickou výměnu pacientských dat, telemedicínu či využívání sekundárních dat. Občané ČR mají také pouze omezený on-line přístup ke své zdravotní dokumentaci. </w:t>
            </w:r>
          </w:p>
        </w:tc>
      </w:tr>
      <w:tr w:rsidR="008748AE" w:rsidRPr="00083C4E" w14:paraId="7DE81D58" w14:textId="77777777" w:rsidTr="005D2C23">
        <w:tc>
          <w:tcPr>
            <w:tcW w:w="2405" w:type="dxa"/>
          </w:tcPr>
          <w:p w14:paraId="250BEBF1" w14:textId="77777777" w:rsidR="008748AE" w:rsidRPr="00083C4E" w:rsidRDefault="008748AE" w:rsidP="005D2C23">
            <w:pPr>
              <w:pStyle w:val="K-Text"/>
              <w:jc w:val="left"/>
            </w:pPr>
            <w:r w:rsidRPr="00083C4E">
              <w:t>Cíl</w:t>
            </w:r>
          </w:p>
        </w:tc>
        <w:tc>
          <w:tcPr>
            <w:tcW w:w="7223" w:type="dxa"/>
          </w:tcPr>
          <w:p w14:paraId="55673891" w14:textId="77777777" w:rsidR="00996601" w:rsidRPr="00083C4E" w:rsidRDefault="00996601" w:rsidP="00996601">
            <w:pPr>
              <w:pStyle w:val="K-TextInfo"/>
              <w:numPr>
                <w:ilvl w:val="0"/>
                <w:numId w:val="30"/>
              </w:numPr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Ustanovení Národního centra elektronizace zdravotnictví v termínu do 30.6.2021</w:t>
            </w:r>
          </w:p>
          <w:p w14:paraId="73F1FF78" w14:textId="77777777" w:rsidR="00073277" w:rsidRPr="00083C4E" w:rsidRDefault="00073277" w:rsidP="00996601">
            <w:pPr>
              <w:pStyle w:val="K-TextInfo"/>
              <w:numPr>
                <w:ilvl w:val="0"/>
                <w:numId w:val="30"/>
              </w:numPr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 xml:space="preserve">Rozvoj </w:t>
            </w:r>
            <w:proofErr w:type="spellStart"/>
            <w:r w:rsidRPr="00083C4E">
              <w:rPr>
                <w:i w:val="0"/>
                <w:iCs w:val="0"/>
                <w:color w:val="000000" w:themeColor="text1"/>
              </w:rPr>
              <w:t>core</w:t>
            </w:r>
            <w:proofErr w:type="spellEnd"/>
            <w:r w:rsidRPr="00083C4E">
              <w:rPr>
                <w:i w:val="0"/>
                <w:iCs w:val="0"/>
                <w:color w:val="000000" w:themeColor="text1"/>
              </w:rPr>
              <w:t xml:space="preserve"> služby </w:t>
            </w:r>
            <w:proofErr w:type="spellStart"/>
            <w:r w:rsidRPr="00083C4E">
              <w:rPr>
                <w:i w:val="0"/>
                <w:iCs w:val="0"/>
                <w:color w:val="000000" w:themeColor="text1"/>
              </w:rPr>
              <w:t>ePreskripce</w:t>
            </w:r>
            <w:proofErr w:type="spellEnd"/>
            <w:r w:rsidRPr="00083C4E">
              <w:rPr>
                <w:i w:val="0"/>
                <w:iCs w:val="0"/>
                <w:color w:val="000000" w:themeColor="text1"/>
              </w:rPr>
              <w:t xml:space="preserve"> a zavedení 4 nových </w:t>
            </w:r>
            <w:proofErr w:type="spellStart"/>
            <w:r w:rsidRPr="00083C4E">
              <w:rPr>
                <w:i w:val="0"/>
                <w:iCs w:val="0"/>
                <w:color w:val="000000" w:themeColor="text1"/>
              </w:rPr>
              <w:t>core</w:t>
            </w:r>
            <w:proofErr w:type="spellEnd"/>
            <w:r w:rsidRPr="00083C4E">
              <w:rPr>
                <w:i w:val="0"/>
                <w:iCs w:val="0"/>
                <w:color w:val="000000" w:themeColor="text1"/>
              </w:rPr>
              <w:t xml:space="preserve"> digitálních služeb do 30.11.2025</w:t>
            </w:r>
          </w:p>
          <w:p w14:paraId="25E294E8" w14:textId="77777777" w:rsidR="00073277" w:rsidRPr="00083C4E" w:rsidRDefault="00073277" w:rsidP="00996601">
            <w:pPr>
              <w:pStyle w:val="K-TextInfo"/>
              <w:numPr>
                <w:ilvl w:val="0"/>
                <w:numId w:val="30"/>
              </w:numPr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Zavedení 10 nových digitálních služeb do 30.11.2025</w:t>
            </w:r>
          </w:p>
          <w:p w14:paraId="00775AEE" w14:textId="77777777" w:rsidR="00996601" w:rsidRPr="00083C4E" w:rsidRDefault="00073277" w:rsidP="00996601">
            <w:pPr>
              <w:pStyle w:val="K-TextInfo"/>
              <w:numPr>
                <w:ilvl w:val="0"/>
                <w:numId w:val="30"/>
              </w:numPr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Napojení 80</w:t>
            </w:r>
            <w:r w:rsidR="094C46CC" w:rsidRPr="00083C4E">
              <w:rPr>
                <w:i w:val="0"/>
                <w:iCs w:val="0"/>
                <w:color w:val="000000" w:themeColor="text1"/>
              </w:rPr>
              <w:t xml:space="preserve"> </w:t>
            </w:r>
            <w:r w:rsidRPr="00083C4E">
              <w:rPr>
                <w:i w:val="0"/>
                <w:iCs w:val="0"/>
                <w:color w:val="000000" w:themeColor="text1"/>
              </w:rPr>
              <w:t xml:space="preserve">% PZS do systému výměny dat do 30.11.2025 </w:t>
            </w:r>
          </w:p>
        </w:tc>
      </w:tr>
      <w:tr w:rsidR="008748AE" w:rsidRPr="00083C4E" w14:paraId="264B95BD" w14:textId="77777777" w:rsidTr="005D2C23">
        <w:tc>
          <w:tcPr>
            <w:tcW w:w="2405" w:type="dxa"/>
          </w:tcPr>
          <w:p w14:paraId="4CBAC4B6" w14:textId="77777777" w:rsidR="008748AE" w:rsidRPr="00083C4E" w:rsidRDefault="008748AE" w:rsidP="005D2C23">
            <w:pPr>
              <w:pStyle w:val="K-Text"/>
              <w:jc w:val="left"/>
            </w:pPr>
            <w:r w:rsidRPr="00083C4E">
              <w:lastRenderedPageBreak/>
              <w:t>Implementace</w:t>
            </w:r>
          </w:p>
        </w:tc>
        <w:tc>
          <w:tcPr>
            <w:tcW w:w="7223" w:type="dxa"/>
          </w:tcPr>
          <w:p w14:paraId="3419565B" w14:textId="77777777" w:rsidR="00073277" w:rsidRPr="00083C4E" w:rsidRDefault="00996601" w:rsidP="00073277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Reforma je složena z</w:t>
            </w:r>
            <w:r w:rsidR="00073277" w:rsidRPr="00083C4E">
              <w:rPr>
                <w:i w:val="0"/>
                <w:iCs w:val="0"/>
                <w:color w:val="000000" w:themeColor="text1"/>
              </w:rPr>
              <w:t xml:space="preserve"> třech programů a čtyřech projektů </w:t>
            </w:r>
            <w:r w:rsidRPr="00083C4E">
              <w:rPr>
                <w:i w:val="0"/>
                <w:iCs w:val="0"/>
                <w:color w:val="000000" w:themeColor="text1"/>
              </w:rPr>
              <w:t xml:space="preserve">vzájemně propojených či na sebe navazujících. Jejich koordinaci bude vykonávat </w:t>
            </w:r>
            <w:r w:rsidR="00073277" w:rsidRPr="00083C4E">
              <w:rPr>
                <w:i w:val="0"/>
                <w:iCs w:val="0"/>
                <w:color w:val="000000" w:themeColor="text1"/>
              </w:rPr>
              <w:t xml:space="preserve">nově ustanovené Národní centrum elektronizace zdravotnictví. </w:t>
            </w:r>
          </w:p>
          <w:p w14:paraId="4B12AB89" w14:textId="77777777" w:rsidR="008748AE" w:rsidRPr="00083C4E" w:rsidRDefault="008748AE" w:rsidP="00073277">
            <w:pPr>
              <w:pStyle w:val="K-TextInfo"/>
            </w:pPr>
          </w:p>
        </w:tc>
      </w:tr>
      <w:tr w:rsidR="008748AE" w:rsidRPr="00083C4E" w14:paraId="6D31BEA7" w14:textId="77777777" w:rsidTr="005D2C23">
        <w:trPr>
          <w:trHeight w:val="70"/>
        </w:trPr>
        <w:tc>
          <w:tcPr>
            <w:tcW w:w="2405" w:type="dxa"/>
          </w:tcPr>
          <w:p w14:paraId="3CBC4DE0" w14:textId="77777777" w:rsidR="008748AE" w:rsidRPr="00083C4E" w:rsidRDefault="008748AE" w:rsidP="005D2C23">
            <w:pPr>
              <w:pStyle w:val="K-Text"/>
              <w:jc w:val="left"/>
            </w:pPr>
            <w:r w:rsidRPr="00083C4E">
              <w:t>Spolupráce a zapojení zúčastněných stran</w:t>
            </w:r>
          </w:p>
        </w:tc>
        <w:tc>
          <w:tcPr>
            <w:tcW w:w="7223" w:type="dxa"/>
          </w:tcPr>
          <w:p w14:paraId="1F045887" w14:textId="77777777" w:rsidR="00E60306" w:rsidRPr="00083C4E" w:rsidRDefault="00E60306" w:rsidP="00073277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Ministerstvo zdravotnictví</w:t>
            </w:r>
          </w:p>
          <w:p w14:paraId="04C4F7D5" w14:textId="77777777" w:rsidR="00E60306" w:rsidRPr="00083C4E" w:rsidRDefault="00E60306" w:rsidP="00073277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Správa základních registrů</w:t>
            </w:r>
          </w:p>
          <w:p w14:paraId="1364501E" w14:textId="77777777" w:rsidR="00F042F0" w:rsidRPr="00083C4E" w:rsidRDefault="00073277" w:rsidP="00F042F0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Poskytovatelé zdravotních služeb</w:t>
            </w:r>
            <w:r w:rsidR="00F042F0" w:rsidRPr="00083C4E">
              <w:rPr>
                <w:i w:val="0"/>
                <w:iCs w:val="0"/>
                <w:color w:val="000000" w:themeColor="text1"/>
              </w:rPr>
              <w:t xml:space="preserve"> a organizace rezortu zdravotnictví</w:t>
            </w:r>
          </w:p>
          <w:p w14:paraId="0A62490C" w14:textId="77777777" w:rsidR="00F042F0" w:rsidRPr="00083C4E" w:rsidRDefault="00F042F0" w:rsidP="00F042F0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Krajské úřady</w:t>
            </w:r>
          </w:p>
          <w:p w14:paraId="77990309" w14:textId="77777777" w:rsidR="00F042F0" w:rsidRPr="00083C4E" w:rsidRDefault="00F042F0" w:rsidP="00F042F0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Municipality</w:t>
            </w:r>
          </w:p>
          <w:p w14:paraId="44165A85" w14:textId="77777777" w:rsidR="00F042F0" w:rsidRPr="00083C4E" w:rsidRDefault="00F042F0" w:rsidP="00F042F0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Zdravotní pojišťovny</w:t>
            </w:r>
          </w:p>
          <w:p w14:paraId="289B69AC" w14:textId="77777777" w:rsidR="00E60306" w:rsidRPr="00083C4E" w:rsidRDefault="00F042F0" w:rsidP="00F042F0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Dodavatelé informačních systémů ve zdravotnictví</w:t>
            </w:r>
          </w:p>
        </w:tc>
      </w:tr>
      <w:tr w:rsidR="008748AE" w:rsidRPr="00083C4E" w14:paraId="4F5D1EF7" w14:textId="77777777" w:rsidTr="005D2C23">
        <w:tc>
          <w:tcPr>
            <w:tcW w:w="2405" w:type="dxa"/>
          </w:tcPr>
          <w:p w14:paraId="286BFE56" w14:textId="77777777" w:rsidR="008748AE" w:rsidRPr="00083C4E" w:rsidRDefault="008748AE" w:rsidP="005D2C23">
            <w:pPr>
              <w:pStyle w:val="K-Text"/>
              <w:jc w:val="left"/>
            </w:pPr>
            <w:r w:rsidRPr="00083C4E">
              <w:t>Překážky a rizika</w:t>
            </w:r>
          </w:p>
        </w:tc>
        <w:tc>
          <w:tcPr>
            <w:tcW w:w="7223" w:type="dxa"/>
          </w:tcPr>
          <w:p w14:paraId="5208F1D9" w14:textId="77777777" w:rsidR="00073277" w:rsidRPr="00083C4E" w:rsidRDefault="00E81A7F" w:rsidP="00E81A7F">
            <w:pPr>
              <w:pStyle w:val="K-TextInfo"/>
              <w:numPr>
                <w:ilvl w:val="0"/>
                <w:numId w:val="32"/>
              </w:numPr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L</w:t>
            </w:r>
            <w:r w:rsidR="00E01BBB" w:rsidRPr="00083C4E">
              <w:rPr>
                <w:i w:val="0"/>
                <w:iCs w:val="0"/>
                <w:color w:val="000000" w:themeColor="text1"/>
              </w:rPr>
              <w:t>egislativ</w:t>
            </w:r>
            <w:r w:rsidRPr="00083C4E">
              <w:rPr>
                <w:i w:val="0"/>
                <w:iCs w:val="0"/>
                <w:color w:val="000000" w:themeColor="text1"/>
              </w:rPr>
              <w:t>ní</w:t>
            </w:r>
            <w:r w:rsidR="00E01BBB" w:rsidRPr="00083C4E">
              <w:rPr>
                <w:i w:val="0"/>
                <w:iCs w:val="0"/>
                <w:color w:val="000000" w:themeColor="text1"/>
              </w:rPr>
              <w:t xml:space="preserve"> </w:t>
            </w:r>
            <w:r w:rsidRPr="00083C4E">
              <w:rPr>
                <w:i w:val="0"/>
                <w:iCs w:val="0"/>
                <w:color w:val="000000" w:themeColor="text1"/>
              </w:rPr>
              <w:t xml:space="preserve">(legislativa </w:t>
            </w:r>
            <w:r w:rsidR="00E01BBB" w:rsidRPr="00083C4E">
              <w:rPr>
                <w:i w:val="0"/>
                <w:iCs w:val="0"/>
                <w:color w:val="000000" w:themeColor="text1"/>
              </w:rPr>
              <w:t>v</w:t>
            </w:r>
            <w:r w:rsidRPr="00083C4E">
              <w:rPr>
                <w:i w:val="0"/>
                <w:iCs w:val="0"/>
                <w:color w:val="000000" w:themeColor="text1"/>
              </w:rPr>
              <w:t> </w:t>
            </w:r>
            <w:r w:rsidR="00E01BBB" w:rsidRPr="00083C4E">
              <w:rPr>
                <w:i w:val="0"/>
                <w:iCs w:val="0"/>
                <w:color w:val="000000" w:themeColor="text1"/>
              </w:rPr>
              <w:t>přípravě</w:t>
            </w:r>
            <w:r w:rsidRPr="00083C4E">
              <w:rPr>
                <w:i w:val="0"/>
                <w:iCs w:val="0"/>
                <w:color w:val="000000" w:themeColor="text1"/>
              </w:rPr>
              <w:t>,</w:t>
            </w:r>
            <w:r w:rsidR="00E01BBB" w:rsidRPr="00083C4E">
              <w:rPr>
                <w:i w:val="0"/>
                <w:iCs w:val="0"/>
                <w:color w:val="000000" w:themeColor="text1"/>
              </w:rPr>
              <w:t xml:space="preserve"> posun v</w:t>
            </w:r>
            <w:r w:rsidRPr="00083C4E">
              <w:rPr>
                <w:i w:val="0"/>
                <w:iCs w:val="0"/>
                <w:color w:val="000000" w:themeColor="text1"/>
              </w:rPr>
              <w:t> </w:t>
            </w:r>
            <w:r w:rsidR="00E01BBB" w:rsidRPr="00083C4E">
              <w:rPr>
                <w:i w:val="0"/>
                <w:iCs w:val="0"/>
                <w:color w:val="000000" w:themeColor="text1"/>
              </w:rPr>
              <w:t>čase</w:t>
            </w:r>
            <w:r w:rsidRPr="00083C4E">
              <w:rPr>
                <w:i w:val="0"/>
                <w:iCs w:val="0"/>
                <w:color w:val="000000" w:themeColor="text1"/>
              </w:rPr>
              <w:t xml:space="preserve"> vlivem dlouhého schvalování</w:t>
            </w:r>
            <w:r w:rsidR="00E01BBB" w:rsidRPr="00083C4E">
              <w:rPr>
                <w:i w:val="0"/>
                <w:iCs w:val="0"/>
                <w:color w:val="000000" w:themeColor="text1"/>
              </w:rPr>
              <w:t>, možnost změny rozsahu implementace v závislosti na finálním znění legislativy, …)</w:t>
            </w:r>
          </w:p>
          <w:p w14:paraId="3C32EC0C" w14:textId="77777777" w:rsidR="00E81A7F" w:rsidRPr="00083C4E" w:rsidRDefault="00E81A7F" w:rsidP="00E81A7F">
            <w:pPr>
              <w:pStyle w:val="K-TextInfo"/>
              <w:numPr>
                <w:ilvl w:val="0"/>
                <w:numId w:val="32"/>
              </w:numPr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Časové (prodlevy při přípravě jednotlivých zadávacích dokumentací, zahlcení OHA při vydávání stanovisek a s tím související delší vydávání souhlasných stanovisek, nekvalitní architektonické návrhy, které si vyžádají opakované projednávání, problémy při zadávání veřejných zakázek, časový posun v implementaci bankovní identity, …)</w:t>
            </w:r>
          </w:p>
          <w:p w14:paraId="08965683" w14:textId="77777777" w:rsidR="00E81A7F" w:rsidRPr="00083C4E" w:rsidRDefault="00E81A7F" w:rsidP="00E81A7F">
            <w:pPr>
              <w:pStyle w:val="K-TextInfo"/>
              <w:numPr>
                <w:ilvl w:val="0"/>
                <w:numId w:val="32"/>
              </w:numPr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Finanční (nedostatek finančních prostředků státního rozpočtu na předfinancování programu a projektů, …)</w:t>
            </w:r>
          </w:p>
          <w:p w14:paraId="0A81A461" w14:textId="77777777" w:rsidR="00E81A7F" w:rsidRPr="00083C4E" w:rsidRDefault="00E81A7F" w:rsidP="00E81A7F">
            <w:pPr>
              <w:pStyle w:val="K-TextInfo"/>
              <w:numPr>
                <w:ilvl w:val="0"/>
                <w:numId w:val="32"/>
              </w:numPr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Veřejné zakázky (prodlevy v realizaci VZ, nekvalitní zakázková dokumentace generující dotazy uchazečů, odvolání uchazečů proti rozhodnutí o výběru, výběr nekvalitního dodavatele, nutnost změny dodavatele v průběhu realizace projektu, …)</w:t>
            </w:r>
          </w:p>
          <w:p w14:paraId="2A8BC6FA" w14:textId="77777777" w:rsidR="00E01BBB" w:rsidRPr="00083C4E" w:rsidRDefault="00E81A7F" w:rsidP="00E81A7F">
            <w:pPr>
              <w:pStyle w:val="K-TextInfo"/>
              <w:numPr>
                <w:ilvl w:val="0"/>
                <w:numId w:val="32"/>
              </w:numPr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Organizační (ustanovení Národního centra elektronizace zdravotnictví, odliv kvalifikovaného personálu do komerčního sektoru, …)</w:t>
            </w:r>
          </w:p>
        </w:tc>
      </w:tr>
      <w:tr w:rsidR="008748AE" w:rsidRPr="00083C4E" w14:paraId="2F98860A" w14:textId="77777777" w:rsidTr="005D2C23">
        <w:tc>
          <w:tcPr>
            <w:tcW w:w="2405" w:type="dxa"/>
          </w:tcPr>
          <w:p w14:paraId="4279C1C5" w14:textId="77777777" w:rsidR="008748AE" w:rsidRPr="00083C4E" w:rsidRDefault="008748AE" w:rsidP="005D2C23">
            <w:pPr>
              <w:pStyle w:val="K-Text"/>
              <w:jc w:val="left"/>
            </w:pPr>
            <w:r w:rsidRPr="00083C4E">
              <w:t>Cílové skupiny populace a ekonomické subjekty</w:t>
            </w:r>
          </w:p>
        </w:tc>
        <w:tc>
          <w:tcPr>
            <w:tcW w:w="7223" w:type="dxa"/>
          </w:tcPr>
          <w:p w14:paraId="540B8CD0" w14:textId="77777777" w:rsidR="00E60306" w:rsidRPr="00083C4E" w:rsidRDefault="00E60306" w:rsidP="00E60306">
            <w:pPr>
              <w:pStyle w:val="K-TextInfo"/>
              <w:numPr>
                <w:ilvl w:val="0"/>
                <w:numId w:val="32"/>
              </w:numPr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Občané ČR</w:t>
            </w:r>
          </w:p>
          <w:p w14:paraId="5A25F721" w14:textId="77777777" w:rsidR="00E60306" w:rsidRPr="00083C4E" w:rsidRDefault="00E60306" w:rsidP="00E60306">
            <w:pPr>
              <w:pStyle w:val="K-TextInfo"/>
              <w:numPr>
                <w:ilvl w:val="0"/>
                <w:numId w:val="32"/>
              </w:numPr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Občané ze zemí EU využívající zdravotnické služby v ČR</w:t>
            </w:r>
          </w:p>
          <w:p w14:paraId="7D869895" w14:textId="77777777" w:rsidR="00E60306" w:rsidRPr="00083C4E" w:rsidRDefault="00E60306" w:rsidP="00E60306">
            <w:pPr>
              <w:pStyle w:val="K-TextInfo"/>
              <w:numPr>
                <w:ilvl w:val="0"/>
                <w:numId w:val="32"/>
              </w:numPr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Poskytovatelé zdravotnických služeb</w:t>
            </w:r>
          </w:p>
        </w:tc>
      </w:tr>
      <w:tr w:rsidR="008748AE" w:rsidRPr="00083C4E" w14:paraId="71157A1E" w14:textId="77777777" w:rsidTr="005D2C23">
        <w:tc>
          <w:tcPr>
            <w:tcW w:w="2405" w:type="dxa"/>
          </w:tcPr>
          <w:p w14:paraId="095AF57E" w14:textId="77777777" w:rsidR="008748AE" w:rsidRPr="00083C4E" w:rsidRDefault="008748AE" w:rsidP="005D2C23">
            <w:pPr>
              <w:pStyle w:val="K-Text"/>
              <w:jc w:val="left"/>
            </w:pPr>
            <w:r w:rsidRPr="00083C4E">
              <w:t>Souhrnné náklady realizace financované z RRF za celé období</w:t>
            </w:r>
          </w:p>
        </w:tc>
        <w:tc>
          <w:tcPr>
            <w:tcW w:w="7223" w:type="dxa"/>
          </w:tcPr>
          <w:p w14:paraId="01889DAC" w14:textId="500EB042" w:rsidR="00E60306" w:rsidRPr="00083C4E" w:rsidRDefault="00E60306" w:rsidP="005D2C23">
            <w:pPr>
              <w:pStyle w:val="K-TextInfo"/>
            </w:pPr>
            <w:r w:rsidRPr="00083C4E">
              <w:rPr>
                <w:i w:val="0"/>
                <w:iCs w:val="0"/>
                <w:color w:val="000000" w:themeColor="text1"/>
              </w:rPr>
              <w:t xml:space="preserve">Celkové náklady reformy hrazené z RRF jsou </w:t>
            </w:r>
            <w:r w:rsidR="00B2099E">
              <w:rPr>
                <w:i w:val="0"/>
                <w:iCs w:val="0"/>
                <w:color w:val="000000" w:themeColor="text1"/>
              </w:rPr>
              <w:t>3 152</w:t>
            </w:r>
            <w:r w:rsidRPr="00083C4E">
              <w:rPr>
                <w:i w:val="0"/>
                <w:iCs w:val="0"/>
                <w:color w:val="000000" w:themeColor="text1"/>
              </w:rPr>
              <w:t xml:space="preserve"> mil Kč</w:t>
            </w:r>
          </w:p>
        </w:tc>
      </w:tr>
      <w:tr w:rsidR="008748AE" w:rsidRPr="00083C4E" w14:paraId="4F38AE90" w14:textId="77777777" w:rsidTr="005D2C23">
        <w:tc>
          <w:tcPr>
            <w:tcW w:w="2405" w:type="dxa"/>
          </w:tcPr>
          <w:p w14:paraId="5FFAB84D" w14:textId="77777777" w:rsidR="008748AE" w:rsidRPr="00083C4E" w:rsidRDefault="008748AE" w:rsidP="005D2C23">
            <w:pPr>
              <w:pStyle w:val="K-Text"/>
              <w:jc w:val="left"/>
            </w:pPr>
            <w:r w:rsidRPr="00083C4E">
              <w:t>Dodržování pravidel státní podpory</w:t>
            </w:r>
          </w:p>
        </w:tc>
        <w:tc>
          <w:tcPr>
            <w:tcW w:w="7223" w:type="dxa"/>
          </w:tcPr>
          <w:p w14:paraId="307D3A77" w14:textId="77777777" w:rsidR="00E60306" w:rsidRPr="00083C4E" w:rsidRDefault="00E60306" w:rsidP="005D2C23">
            <w:pPr>
              <w:pStyle w:val="K-TextInfo"/>
            </w:pPr>
            <w:r w:rsidRPr="00083C4E">
              <w:rPr>
                <w:i w:val="0"/>
                <w:iCs w:val="0"/>
                <w:color w:val="000000" w:themeColor="text1"/>
              </w:rPr>
              <w:t>Není relevantní</w:t>
            </w:r>
          </w:p>
        </w:tc>
      </w:tr>
      <w:tr w:rsidR="008748AE" w:rsidRPr="00083C4E" w14:paraId="0453AEDF" w14:textId="77777777" w:rsidTr="005D2C23">
        <w:tc>
          <w:tcPr>
            <w:tcW w:w="2405" w:type="dxa"/>
          </w:tcPr>
          <w:p w14:paraId="4C8DA127" w14:textId="77777777" w:rsidR="008748AE" w:rsidRPr="00083C4E" w:rsidRDefault="008748AE" w:rsidP="005D2C23">
            <w:pPr>
              <w:pStyle w:val="K-Text"/>
              <w:jc w:val="left"/>
            </w:pPr>
            <w:r w:rsidRPr="00083C4E">
              <w:t>Uveďte dobu implementace</w:t>
            </w:r>
          </w:p>
        </w:tc>
        <w:tc>
          <w:tcPr>
            <w:tcW w:w="7223" w:type="dxa"/>
          </w:tcPr>
          <w:p w14:paraId="706C4303" w14:textId="77777777" w:rsidR="00E60306" w:rsidRPr="00083C4E" w:rsidRDefault="00E60306" w:rsidP="005D2C23">
            <w:pPr>
              <w:pStyle w:val="K-TextInfo"/>
            </w:pPr>
            <w:r w:rsidRPr="00083C4E">
              <w:rPr>
                <w:i w:val="0"/>
                <w:iCs w:val="0"/>
                <w:color w:val="000000" w:themeColor="text1"/>
              </w:rPr>
              <w:t>Plánovaná doba realizace je 59 měsíců. Předpokládané dokončení je ve 4Q 2025</w:t>
            </w:r>
          </w:p>
        </w:tc>
      </w:tr>
    </w:tbl>
    <w:p w14:paraId="19686054" w14:textId="77777777" w:rsidR="008748AE" w:rsidRPr="00083C4E" w:rsidRDefault="008748AE" w:rsidP="006F1BEA">
      <w:pPr>
        <w:pStyle w:val="K-Text"/>
      </w:pPr>
    </w:p>
    <w:p w14:paraId="54443CA6" w14:textId="77777777" w:rsidR="002E19BA" w:rsidRPr="00083C4E" w:rsidRDefault="0015052B" w:rsidP="002E19BA">
      <w:pPr>
        <w:pStyle w:val="K-Nadpis3"/>
      </w:pPr>
      <w:r w:rsidRPr="00083C4E">
        <w:t>b</w:t>
      </w:r>
      <w:r w:rsidR="000C0598" w:rsidRPr="00083C4E">
        <w:t xml:space="preserve">) Popis </w:t>
      </w:r>
      <w:r w:rsidR="002E19BA" w:rsidRPr="00083C4E">
        <w:t>investic</w:t>
      </w:r>
    </w:p>
    <w:p w14:paraId="58D786BE" w14:textId="77777777" w:rsidR="00F34101" w:rsidRPr="00083C4E" w:rsidRDefault="00F34101" w:rsidP="00F34101">
      <w:pPr>
        <w:pStyle w:val="K-Tabulka"/>
      </w:pPr>
      <w:r w:rsidRPr="00083C4E">
        <w:t>1. Rozvoj otevřených dat a veřejného datového fondu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34101" w:rsidRPr="00083C4E" w14:paraId="5A1143F2" w14:textId="77777777" w:rsidTr="005D61FA">
        <w:tc>
          <w:tcPr>
            <w:tcW w:w="2405" w:type="dxa"/>
          </w:tcPr>
          <w:p w14:paraId="5F590A14" w14:textId="77777777" w:rsidR="00F34101" w:rsidRPr="00083C4E" w:rsidRDefault="00F34101" w:rsidP="005D61FA">
            <w:pPr>
              <w:pStyle w:val="K-Text"/>
              <w:jc w:val="left"/>
            </w:pPr>
            <w:r w:rsidRPr="00083C4E">
              <w:lastRenderedPageBreak/>
              <w:t>Výzva</w:t>
            </w:r>
          </w:p>
        </w:tc>
        <w:tc>
          <w:tcPr>
            <w:tcW w:w="7223" w:type="dxa"/>
          </w:tcPr>
          <w:p w14:paraId="75E4800C" w14:textId="77777777" w:rsidR="00F34101" w:rsidRPr="00083C4E" w:rsidRDefault="008611FC" w:rsidP="005D61FA">
            <w:pPr>
              <w:pStyle w:val="K-TextInfo"/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 xml:space="preserve">Česká republika je dlouhodobě hodnocena pod průměrem EU v indexu </w:t>
            </w:r>
            <w:proofErr w:type="gramStart"/>
            <w:r w:rsidRPr="00083C4E">
              <w:rPr>
                <w:rFonts w:eastAsia="Times New Roman"/>
                <w:i w:val="0"/>
                <w:color w:val="000000" w:themeColor="text1"/>
              </w:rPr>
              <w:t>DESI</w:t>
            </w:r>
            <w:proofErr w:type="gramEnd"/>
            <w:r w:rsidRPr="00083C4E">
              <w:rPr>
                <w:rFonts w:eastAsia="Times New Roman"/>
                <w:i w:val="0"/>
                <w:color w:val="000000" w:themeColor="text1"/>
              </w:rPr>
              <w:t xml:space="preserve"> a to jak celkově, tak především v rámci dimenze </w:t>
            </w:r>
            <w:proofErr w:type="spellStart"/>
            <w:r w:rsidRPr="00083C4E">
              <w:rPr>
                <w:rFonts w:eastAsia="Times New Roman"/>
                <w:i w:val="0"/>
                <w:color w:val="000000" w:themeColor="text1"/>
              </w:rPr>
              <w:t>eGovernment</w:t>
            </w:r>
            <w:proofErr w:type="spellEnd"/>
            <w:r w:rsidRPr="00083C4E">
              <w:rPr>
                <w:rFonts w:eastAsia="Times New Roman"/>
                <w:i w:val="0"/>
                <w:color w:val="000000" w:themeColor="text1"/>
              </w:rPr>
              <w:t xml:space="preserve">. V rámci Národního katalogu otevřených dat i v rámci katalogů jednotlivých veřejných úřadů a institucí je publikováno velmi omezené množství otevřených příp. veřejných datových sad. Vnímáme, že otevřená data mohou akcelerovat stávající ekonomické obory a přispět k rozvoji zcela nových. </w:t>
            </w:r>
          </w:p>
        </w:tc>
      </w:tr>
      <w:tr w:rsidR="00F34101" w:rsidRPr="00083C4E" w14:paraId="7BBC3317" w14:textId="77777777" w:rsidTr="005D61FA">
        <w:tc>
          <w:tcPr>
            <w:tcW w:w="2405" w:type="dxa"/>
          </w:tcPr>
          <w:p w14:paraId="636870DB" w14:textId="77777777" w:rsidR="00F34101" w:rsidRPr="00DC7573" w:rsidRDefault="00F34101" w:rsidP="005D61FA">
            <w:pPr>
              <w:pStyle w:val="K-Text"/>
              <w:jc w:val="left"/>
            </w:pPr>
            <w:r w:rsidRPr="00DC7573">
              <w:t>Cíl</w:t>
            </w:r>
          </w:p>
        </w:tc>
        <w:tc>
          <w:tcPr>
            <w:tcW w:w="7223" w:type="dxa"/>
          </w:tcPr>
          <w:p w14:paraId="38BE6883" w14:textId="4C5A5565" w:rsidR="00F34101" w:rsidRPr="00F60358" w:rsidRDefault="7CFA8E73" w:rsidP="00DC7573">
            <w:pPr>
              <w:pStyle w:val="K-Text"/>
            </w:pPr>
            <w:r w:rsidRPr="00DC7573">
              <w:t>N</w:t>
            </w:r>
            <w:r w:rsidR="1A7D43A6" w:rsidRPr="00DC7573">
              <w:t>avýšit</w:t>
            </w:r>
            <w:r w:rsidR="00932C40" w:rsidRPr="00DC7573">
              <w:t xml:space="preserve"> stávající počet </w:t>
            </w:r>
            <w:r w:rsidR="00F60358">
              <w:t xml:space="preserve">subjektů </w:t>
            </w:r>
            <w:r w:rsidR="00DC7573">
              <w:t>poskytujících otevřená</w:t>
            </w:r>
            <w:r w:rsidR="00F60358">
              <w:t xml:space="preserve"> dat</w:t>
            </w:r>
            <w:r w:rsidR="00DC7573">
              <w:t>a ze současných 41 na 20</w:t>
            </w:r>
            <w:r w:rsidR="00F60358">
              <w:t xml:space="preserve">0 s ohledem </w:t>
            </w:r>
            <w:r w:rsidR="00DC7573">
              <w:t xml:space="preserve">na zvýšení kvality poskytovaných datových sad včetně kvality metadatových záznamů registrovaných v Národním katalogu otevřených dat. </w:t>
            </w:r>
          </w:p>
        </w:tc>
      </w:tr>
      <w:tr w:rsidR="00F34101" w:rsidRPr="00083C4E" w14:paraId="33F416EF" w14:textId="77777777" w:rsidTr="005D61FA">
        <w:tc>
          <w:tcPr>
            <w:tcW w:w="2405" w:type="dxa"/>
          </w:tcPr>
          <w:p w14:paraId="7E0100D3" w14:textId="77777777" w:rsidR="00F34101" w:rsidRPr="00083C4E" w:rsidRDefault="00F34101" w:rsidP="005D61FA">
            <w:pPr>
              <w:pStyle w:val="K-Text"/>
              <w:jc w:val="left"/>
            </w:pPr>
            <w:r w:rsidRPr="00083C4E">
              <w:t>Implementace</w:t>
            </w:r>
          </w:p>
        </w:tc>
        <w:tc>
          <w:tcPr>
            <w:tcW w:w="7223" w:type="dxa"/>
          </w:tcPr>
          <w:p w14:paraId="07898815" w14:textId="77777777" w:rsidR="00F34101" w:rsidRPr="00083C4E" w:rsidRDefault="00F34101" w:rsidP="005D61FA">
            <w:pPr>
              <w:pStyle w:val="K-TextInfo"/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 xml:space="preserve">Reforma je složena z jednoho programu (na podporu publikování otevřených dat v rámci veřejné správy) a 6 vzájemně propojených či na sebe navazujících projektů. Jejich koordinaci bude vykonávat programová kancelář Digitální Česko ve spolupráci s Ministerstvem vnitra jako gestorem digitalizace veřejné správy. </w:t>
            </w:r>
          </w:p>
          <w:p w14:paraId="4236309F" w14:textId="77777777" w:rsidR="00F34101" w:rsidRPr="00083C4E" w:rsidRDefault="00F34101" w:rsidP="005D61FA">
            <w:pPr>
              <w:pStyle w:val="K-TextInfo"/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 xml:space="preserve">Programová kancelář bude mít ve vrcholných řídících strukturách projektu svého zástupce, který bude monitorovat vývoj projektu v čase vč. stavu naplňování jeho indikátorů a v případě problémů je bude neprodleně eskalovat na úroveň vládního zmocněnce pro IT a digitalizaci. Vedení programové kanceláře bude o běhu projektu informováno na pravidelné cca </w:t>
            </w:r>
            <w:r w:rsidR="003039C4" w:rsidRPr="00083C4E">
              <w:rPr>
                <w:rFonts w:eastAsia="Times New Roman"/>
                <w:i w:val="0"/>
                <w:color w:val="000000" w:themeColor="text1"/>
              </w:rPr>
              <w:t>měsíční</w:t>
            </w:r>
            <w:r w:rsidRPr="00083C4E">
              <w:rPr>
                <w:rFonts w:eastAsia="Times New Roman"/>
                <w:i w:val="0"/>
                <w:color w:val="000000" w:themeColor="text1"/>
              </w:rPr>
              <w:t xml:space="preserve"> bázi.</w:t>
            </w:r>
          </w:p>
        </w:tc>
      </w:tr>
      <w:tr w:rsidR="00F34101" w:rsidRPr="00083C4E" w14:paraId="6C72AB74" w14:textId="77777777" w:rsidTr="005D61FA">
        <w:trPr>
          <w:trHeight w:val="70"/>
        </w:trPr>
        <w:tc>
          <w:tcPr>
            <w:tcW w:w="2405" w:type="dxa"/>
          </w:tcPr>
          <w:p w14:paraId="36209A21" w14:textId="77777777" w:rsidR="00F34101" w:rsidRPr="00083C4E" w:rsidRDefault="00F34101" w:rsidP="005D61FA">
            <w:pPr>
              <w:pStyle w:val="K-Text"/>
              <w:jc w:val="left"/>
            </w:pPr>
            <w:r w:rsidRPr="00083C4E">
              <w:t>Spolupráce a zapojení zúčastněných stran</w:t>
            </w:r>
          </w:p>
        </w:tc>
        <w:tc>
          <w:tcPr>
            <w:tcW w:w="7223" w:type="dxa"/>
          </w:tcPr>
          <w:p w14:paraId="1BC5AC85" w14:textId="57F1BB22" w:rsidR="00F34101" w:rsidRPr="00083C4E" w:rsidRDefault="00F34101" w:rsidP="005D61FA">
            <w:pPr>
              <w:pStyle w:val="K-TextInfo"/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Hlavním nositelem programu na podporu publikace otevřených dat ve veřejné správě bude Ministerstvo vnitra. Nositeli projektů v rámci programu pak budou jednotlivá ministerstva a veřejné úřady a instituce.</w:t>
            </w:r>
          </w:p>
          <w:p w14:paraId="09783D91" w14:textId="77777777" w:rsidR="00F34101" w:rsidRPr="00083C4E" w:rsidRDefault="00F34101" w:rsidP="005D61FA">
            <w:pPr>
              <w:pStyle w:val="K-TextInfo"/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Hlavními nositeli jednotlivých projektů jsou:</w:t>
            </w:r>
          </w:p>
          <w:p w14:paraId="64DE8F95" w14:textId="77777777" w:rsidR="00F34101" w:rsidRPr="00083C4E" w:rsidRDefault="00F34101" w:rsidP="005D61FA">
            <w:pPr>
              <w:pStyle w:val="K-TextInfo"/>
              <w:numPr>
                <w:ilvl w:val="0"/>
                <w:numId w:val="25"/>
              </w:numPr>
              <w:rPr>
                <w:rFonts w:eastAsia="Times New Roman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Ministerstvo vnitra</w:t>
            </w:r>
          </w:p>
          <w:p w14:paraId="493731E7" w14:textId="77777777" w:rsidR="00F34101" w:rsidRPr="00083C4E" w:rsidRDefault="00F34101" w:rsidP="005D61FA">
            <w:pPr>
              <w:pStyle w:val="K-TextInfo"/>
              <w:numPr>
                <w:ilvl w:val="0"/>
                <w:numId w:val="25"/>
              </w:numPr>
              <w:rPr>
                <w:rFonts w:eastAsia="Times New Roman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Český statistický úřad</w:t>
            </w:r>
          </w:p>
          <w:p w14:paraId="65823E89" w14:textId="77777777" w:rsidR="00F34101" w:rsidRPr="00083C4E" w:rsidRDefault="00F34101" w:rsidP="005D61FA">
            <w:pPr>
              <w:pStyle w:val="K-TextInfo"/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Do realizace reformy budou dále zapojeni:</w:t>
            </w:r>
          </w:p>
          <w:p w14:paraId="50A602E2" w14:textId="1E52BA03" w:rsidR="00F34101" w:rsidRPr="00F60358" w:rsidRDefault="00A90AB9" w:rsidP="005D61FA">
            <w:pPr>
              <w:pStyle w:val="K-TextInfo"/>
              <w:numPr>
                <w:ilvl w:val="0"/>
                <w:numId w:val="28"/>
              </w:numPr>
              <w:rPr>
                <w:rFonts w:eastAsia="Times New Roman"/>
                <w:i w:val="0"/>
                <w:color w:val="000000" w:themeColor="text1"/>
              </w:rPr>
            </w:pPr>
            <w:r>
              <w:rPr>
                <w:rFonts w:eastAsia="Times New Roman"/>
                <w:i w:val="0"/>
                <w:color w:val="000000" w:themeColor="text1"/>
              </w:rPr>
              <w:t>Univerzity, vysoké školy, vědecká pracoviště</w:t>
            </w:r>
            <w:r w:rsidR="00F34101" w:rsidRPr="00F60358">
              <w:rPr>
                <w:rFonts w:eastAsia="Times New Roman"/>
                <w:i w:val="0"/>
                <w:color w:val="000000" w:themeColor="text1"/>
              </w:rPr>
              <w:t xml:space="preserve"> </w:t>
            </w:r>
          </w:p>
          <w:p w14:paraId="0BC96E46" w14:textId="77777777" w:rsidR="00F34101" w:rsidRPr="00083C4E" w:rsidRDefault="00F34101" w:rsidP="005D61FA">
            <w:pPr>
              <w:pStyle w:val="K-TextInfo"/>
              <w:numPr>
                <w:ilvl w:val="0"/>
                <w:numId w:val="28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Zaměstnanecká a odborná sdružení</w:t>
            </w:r>
          </w:p>
          <w:p w14:paraId="4998228F" w14:textId="77777777" w:rsidR="00F34101" w:rsidRPr="00083C4E" w:rsidRDefault="00F34101" w:rsidP="005D61FA">
            <w:pPr>
              <w:pStyle w:val="K-TextInfo"/>
              <w:numPr>
                <w:ilvl w:val="0"/>
                <w:numId w:val="28"/>
              </w:numPr>
              <w:rPr>
                <w:rFonts w:eastAsia="Times New Roman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Neziskový sektor a občanské iniciativy</w:t>
            </w:r>
          </w:p>
        </w:tc>
      </w:tr>
      <w:tr w:rsidR="00F34101" w:rsidRPr="00083C4E" w14:paraId="67D798DA" w14:textId="77777777" w:rsidTr="005D61FA">
        <w:tc>
          <w:tcPr>
            <w:tcW w:w="2405" w:type="dxa"/>
          </w:tcPr>
          <w:p w14:paraId="06286360" w14:textId="77777777" w:rsidR="00F34101" w:rsidRPr="00083C4E" w:rsidRDefault="00F34101" w:rsidP="005D61FA">
            <w:pPr>
              <w:pStyle w:val="K-Text"/>
              <w:jc w:val="left"/>
            </w:pPr>
            <w:r w:rsidRPr="00083C4E">
              <w:t>Překážky a rizika</w:t>
            </w:r>
          </w:p>
        </w:tc>
        <w:tc>
          <w:tcPr>
            <w:tcW w:w="7223" w:type="dxa"/>
          </w:tcPr>
          <w:p w14:paraId="56791272" w14:textId="77777777" w:rsidR="00E81A7F" w:rsidRPr="00083C4E" w:rsidRDefault="00E81A7F" w:rsidP="00E81A7F">
            <w:pPr>
              <w:pStyle w:val="K-TextInfo"/>
              <w:numPr>
                <w:ilvl w:val="0"/>
                <w:numId w:val="32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Legislativní (legislativa v přípravě, posun v čase vlivem dlouhého schvalování, možnost změny rozsahu implementace v závislosti na finálním znění legislativy, …)</w:t>
            </w:r>
          </w:p>
          <w:p w14:paraId="7DC57E92" w14:textId="77777777" w:rsidR="00E81A7F" w:rsidRPr="00083C4E" w:rsidRDefault="00E81A7F" w:rsidP="00E81A7F">
            <w:pPr>
              <w:pStyle w:val="K-TextInfo"/>
              <w:numPr>
                <w:ilvl w:val="0"/>
                <w:numId w:val="32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Časové (prodlevy při přípravě jednotlivých zadávacích dokumentací, zahlcení OHA při vydávání stanovisek a s tím související delší vydávání souhlasných stanovisek, nekvalitní architektonické návrhy, které si vyžádají opakované projednávání, problémy při zadávání veřejných zakázek, časový posun v implementaci bankovní identity, …)</w:t>
            </w:r>
          </w:p>
          <w:p w14:paraId="1C959B1B" w14:textId="77777777" w:rsidR="00E81A7F" w:rsidRPr="00083C4E" w:rsidRDefault="00E81A7F" w:rsidP="00E81A7F">
            <w:pPr>
              <w:pStyle w:val="K-TextInfo"/>
              <w:numPr>
                <w:ilvl w:val="0"/>
                <w:numId w:val="32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Finanční (nedostatek finančních prostředků státního rozpočtu na předfinancování programu a projektů, …)</w:t>
            </w:r>
          </w:p>
          <w:p w14:paraId="326C1C39" w14:textId="77777777" w:rsidR="00E81A7F" w:rsidRPr="00083C4E" w:rsidRDefault="00E81A7F" w:rsidP="00E81A7F">
            <w:pPr>
              <w:pStyle w:val="K-TextInfo"/>
              <w:numPr>
                <w:ilvl w:val="0"/>
                <w:numId w:val="32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t>Veřejné zakázky (prodlevy v realizaci VZ, nekvalitní zakázková dokumentace generující dotazy uchazečů, odvolání uchazečů proti rozhodnutí o výběru, výběr nekvalitního dodavatele, nutnost změny dodavatele v průběhu realizace projektu, …)</w:t>
            </w:r>
          </w:p>
          <w:p w14:paraId="78838022" w14:textId="77777777" w:rsidR="00F34101" w:rsidRPr="00083C4E" w:rsidRDefault="00E81A7F" w:rsidP="00E81A7F">
            <w:pPr>
              <w:pStyle w:val="K-TextInfo"/>
              <w:numPr>
                <w:ilvl w:val="0"/>
                <w:numId w:val="32"/>
              </w:numPr>
              <w:rPr>
                <w:rFonts w:eastAsia="Times New Roman"/>
                <w:i w:val="0"/>
                <w:color w:val="000000" w:themeColor="text1"/>
              </w:rPr>
            </w:pPr>
            <w:r w:rsidRPr="00083C4E">
              <w:rPr>
                <w:rFonts w:eastAsia="Times New Roman"/>
                <w:i w:val="0"/>
                <w:color w:val="000000" w:themeColor="text1"/>
              </w:rPr>
              <w:lastRenderedPageBreak/>
              <w:t>Organizační (neochota jednotlivých organizací publikovat část svých dat jako otevřená či veřejná data, nedostatek kvalitních kvalifikovaných pracovníků, odliv kvalifikovaného personálu do komerčního sektoru, …)</w:t>
            </w:r>
          </w:p>
        </w:tc>
      </w:tr>
      <w:tr w:rsidR="00F34101" w:rsidRPr="00083C4E" w14:paraId="3ABA5B76" w14:textId="77777777" w:rsidTr="005D61FA">
        <w:tc>
          <w:tcPr>
            <w:tcW w:w="2405" w:type="dxa"/>
          </w:tcPr>
          <w:p w14:paraId="550FD0D0" w14:textId="77777777" w:rsidR="00F34101" w:rsidRPr="00083C4E" w:rsidRDefault="00F34101" w:rsidP="005D61FA">
            <w:pPr>
              <w:pStyle w:val="K-Text"/>
              <w:jc w:val="left"/>
            </w:pPr>
            <w:r w:rsidRPr="00083C4E">
              <w:lastRenderedPageBreak/>
              <w:t>Cílové skupiny populace a ekonomické subjekty</w:t>
            </w:r>
          </w:p>
        </w:tc>
        <w:tc>
          <w:tcPr>
            <w:tcW w:w="7223" w:type="dxa"/>
          </w:tcPr>
          <w:p w14:paraId="5ACAB1CC" w14:textId="77777777" w:rsidR="00F34101" w:rsidRPr="00083C4E" w:rsidRDefault="00F34101" w:rsidP="005D61FA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Cílové skupiny:</w:t>
            </w:r>
          </w:p>
          <w:p w14:paraId="2D13D114" w14:textId="77777777" w:rsidR="00F34101" w:rsidRPr="00083C4E" w:rsidRDefault="00F34101" w:rsidP="005D61FA">
            <w:pPr>
              <w:pStyle w:val="K-TextInfo"/>
              <w:numPr>
                <w:ilvl w:val="0"/>
                <w:numId w:val="27"/>
              </w:numPr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Zájemci o další zpracování otevřených příp. veřejných dat z řad široké veřejnosti, veřejného, vědeckého a podnikatelského sektoru i ze strany neziskových institucí</w:t>
            </w:r>
          </w:p>
          <w:p w14:paraId="6C48AA4E" w14:textId="77777777" w:rsidR="00F34101" w:rsidRPr="00083C4E" w:rsidRDefault="00F34101" w:rsidP="005D61FA">
            <w:pPr>
              <w:pStyle w:val="K-TextInfo"/>
              <w:numPr>
                <w:ilvl w:val="0"/>
                <w:numId w:val="27"/>
              </w:numPr>
              <w:rPr>
                <w:i w:val="0"/>
                <w:iCs w:val="0"/>
                <w:color w:val="000000" w:themeColor="text1"/>
              </w:rPr>
            </w:pPr>
            <w:r w:rsidRPr="00083C4E">
              <w:rPr>
                <w:i w:val="0"/>
                <w:iCs w:val="0"/>
                <w:color w:val="000000" w:themeColor="text1"/>
              </w:rPr>
              <w:t>Z nových aplikací otevřených dat pak bude mít užitek především veřejnost v podobě nových služeb příp. další ekonomické subjekty</w:t>
            </w:r>
          </w:p>
        </w:tc>
      </w:tr>
      <w:tr w:rsidR="00F34101" w:rsidRPr="00083C4E" w14:paraId="7B8133BB" w14:textId="77777777" w:rsidTr="005D61FA">
        <w:tc>
          <w:tcPr>
            <w:tcW w:w="2405" w:type="dxa"/>
          </w:tcPr>
          <w:p w14:paraId="1A5391B7" w14:textId="77777777" w:rsidR="00F34101" w:rsidRPr="00083C4E" w:rsidRDefault="00F34101" w:rsidP="005D61FA">
            <w:pPr>
              <w:pStyle w:val="K-Text"/>
              <w:jc w:val="left"/>
            </w:pPr>
            <w:r w:rsidRPr="00083C4E">
              <w:t>Souhrnné náklady realizace financované z RRF za celé období</w:t>
            </w:r>
          </w:p>
        </w:tc>
        <w:tc>
          <w:tcPr>
            <w:tcW w:w="7223" w:type="dxa"/>
          </w:tcPr>
          <w:p w14:paraId="1309D6C6" w14:textId="77777777" w:rsidR="00F34101" w:rsidRPr="00083C4E" w:rsidRDefault="00F34101" w:rsidP="005D61FA">
            <w:pPr>
              <w:pStyle w:val="K-TextInfo"/>
            </w:pPr>
            <w:r w:rsidRPr="00083C4E">
              <w:rPr>
                <w:i w:val="0"/>
                <w:iCs w:val="0"/>
                <w:color w:val="000000" w:themeColor="text1"/>
              </w:rPr>
              <w:t>Celkové náklady reformy hrazené z RRF jsou 29</w:t>
            </w:r>
            <w:r w:rsidR="008D4063" w:rsidRPr="00083C4E">
              <w:rPr>
                <w:i w:val="0"/>
                <w:iCs w:val="0"/>
                <w:color w:val="000000" w:themeColor="text1"/>
              </w:rPr>
              <w:t>8</w:t>
            </w:r>
            <w:r w:rsidRPr="00083C4E">
              <w:rPr>
                <w:i w:val="0"/>
                <w:iCs w:val="0"/>
                <w:color w:val="000000" w:themeColor="text1"/>
              </w:rPr>
              <w:t xml:space="preserve"> mil Kč</w:t>
            </w:r>
          </w:p>
        </w:tc>
      </w:tr>
      <w:tr w:rsidR="00F34101" w:rsidRPr="00083C4E" w14:paraId="12396B0F" w14:textId="77777777" w:rsidTr="005D61FA">
        <w:tc>
          <w:tcPr>
            <w:tcW w:w="2405" w:type="dxa"/>
          </w:tcPr>
          <w:p w14:paraId="26AA89EA" w14:textId="77777777" w:rsidR="00F34101" w:rsidRPr="00083C4E" w:rsidRDefault="00F34101" w:rsidP="005D61FA">
            <w:pPr>
              <w:pStyle w:val="K-Text"/>
              <w:jc w:val="left"/>
            </w:pPr>
            <w:r w:rsidRPr="00083C4E">
              <w:t>Dodržování pravidel státní podpory</w:t>
            </w:r>
          </w:p>
        </w:tc>
        <w:tc>
          <w:tcPr>
            <w:tcW w:w="7223" w:type="dxa"/>
          </w:tcPr>
          <w:p w14:paraId="7779AEF2" w14:textId="77777777" w:rsidR="00F34101" w:rsidRPr="00083C4E" w:rsidRDefault="00F34101" w:rsidP="005D61FA">
            <w:pPr>
              <w:pStyle w:val="K-TextInfo"/>
            </w:pPr>
            <w:r w:rsidRPr="00083C4E">
              <w:rPr>
                <w:i w:val="0"/>
                <w:iCs w:val="0"/>
                <w:color w:val="000000" w:themeColor="text1"/>
              </w:rPr>
              <w:t>Není relevantní</w:t>
            </w:r>
          </w:p>
        </w:tc>
      </w:tr>
      <w:tr w:rsidR="00F34101" w:rsidRPr="00083C4E" w14:paraId="6D0FE935" w14:textId="77777777" w:rsidTr="005D61FA">
        <w:tc>
          <w:tcPr>
            <w:tcW w:w="2405" w:type="dxa"/>
          </w:tcPr>
          <w:p w14:paraId="3FCCDCB7" w14:textId="77777777" w:rsidR="00F34101" w:rsidRPr="00083C4E" w:rsidRDefault="00F34101" w:rsidP="005D61FA">
            <w:pPr>
              <w:pStyle w:val="K-Text"/>
              <w:jc w:val="left"/>
            </w:pPr>
            <w:r w:rsidRPr="00083C4E">
              <w:t>Uveďte dobu implementace</w:t>
            </w:r>
          </w:p>
        </w:tc>
        <w:tc>
          <w:tcPr>
            <w:tcW w:w="7223" w:type="dxa"/>
          </w:tcPr>
          <w:p w14:paraId="313C3026" w14:textId="77777777" w:rsidR="00F34101" w:rsidRPr="00083C4E" w:rsidRDefault="00F34101" w:rsidP="005D61FA">
            <w:pPr>
              <w:pStyle w:val="K-TextInfo"/>
            </w:pPr>
            <w:r w:rsidRPr="00083C4E">
              <w:rPr>
                <w:i w:val="0"/>
                <w:iCs w:val="0"/>
                <w:color w:val="000000" w:themeColor="text1"/>
              </w:rPr>
              <w:t>Plánovaná doba realizace je 49 měsíců. Předpokládané dokončení je ve 4Q 2024</w:t>
            </w:r>
          </w:p>
        </w:tc>
      </w:tr>
    </w:tbl>
    <w:p w14:paraId="16729A6E" w14:textId="77777777" w:rsidR="00F34101" w:rsidRPr="00083C4E" w:rsidRDefault="00F34101" w:rsidP="00081843">
      <w:pPr>
        <w:pStyle w:val="K-TextInfo"/>
      </w:pPr>
    </w:p>
    <w:p w14:paraId="459B3152" w14:textId="77777777" w:rsidR="002C20CF" w:rsidRPr="00083C4E" w:rsidRDefault="002C20CF" w:rsidP="00154B73">
      <w:pPr>
        <w:pStyle w:val="K-Nadpis2"/>
      </w:pPr>
      <w:r w:rsidRPr="00083C4E">
        <w:t xml:space="preserve">4. </w:t>
      </w:r>
      <w:r w:rsidR="002D2B80" w:rsidRPr="00083C4E">
        <w:t>Zelené a digitální rozměry k</w:t>
      </w:r>
      <w:r w:rsidRPr="00083C4E">
        <w:t>omponent</w:t>
      </w:r>
      <w:r w:rsidR="002D2B80" w:rsidRPr="00083C4E">
        <w:t>y</w:t>
      </w:r>
      <w:r w:rsidRPr="00083C4E">
        <w:t xml:space="preserve"> </w:t>
      </w:r>
    </w:p>
    <w:p w14:paraId="6DBFFBF1" w14:textId="77777777" w:rsidR="00CC1AF5" w:rsidRPr="00083C4E" w:rsidRDefault="00CC1AF5" w:rsidP="005119E2">
      <w:pPr>
        <w:pStyle w:val="K-TextInfo"/>
        <w:rPr>
          <w:i w:val="0"/>
          <w:iCs w:val="0"/>
          <w:color w:val="000000" w:themeColor="text1"/>
        </w:rPr>
      </w:pPr>
      <w:r w:rsidRPr="00083C4E">
        <w:rPr>
          <w:i w:val="0"/>
          <w:iCs w:val="0"/>
          <w:color w:val="000000" w:themeColor="text1"/>
        </w:rPr>
        <w:t xml:space="preserve">Veškeré reformy a investice v rámci komponenty jsou z pohledu zelené </w:t>
      </w:r>
      <w:proofErr w:type="spellStart"/>
      <w:r w:rsidR="14DEF15A" w:rsidRPr="00083C4E">
        <w:rPr>
          <w:i w:val="0"/>
          <w:iCs w:val="0"/>
          <w:color w:val="000000" w:themeColor="text1"/>
        </w:rPr>
        <w:t>tran</w:t>
      </w:r>
      <w:r w:rsidR="488ED4BE" w:rsidRPr="00083C4E">
        <w:rPr>
          <w:i w:val="0"/>
          <w:iCs w:val="0"/>
          <w:color w:val="000000" w:themeColor="text1"/>
        </w:rPr>
        <w:t>z</w:t>
      </w:r>
      <w:r w:rsidR="14DEF15A" w:rsidRPr="00083C4E">
        <w:rPr>
          <w:i w:val="0"/>
          <w:iCs w:val="0"/>
          <w:color w:val="000000" w:themeColor="text1"/>
        </w:rPr>
        <w:t>ice</w:t>
      </w:r>
      <w:proofErr w:type="spellEnd"/>
      <w:r w:rsidRPr="00083C4E">
        <w:rPr>
          <w:i w:val="0"/>
          <w:iCs w:val="0"/>
          <w:color w:val="000000" w:themeColor="text1"/>
        </w:rPr>
        <w:t xml:space="preserve"> neutrální. Nemají tedy vliv na cíle zohledňování klimatických změn. Vzhledem ke svému charakteru pak vyhovují i principu „do not </w:t>
      </w:r>
      <w:proofErr w:type="spellStart"/>
      <w:r w:rsidRPr="00083C4E">
        <w:rPr>
          <w:i w:val="0"/>
          <w:iCs w:val="0"/>
          <w:color w:val="000000" w:themeColor="text1"/>
        </w:rPr>
        <w:t>significant</w:t>
      </w:r>
      <w:proofErr w:type="spellEnd"/>
      <w:r w:rsidRPr="00083C4E">
        <w:rPr>
          <w:i w:val="0"/>
          <w:iCs w:val="0"/>
          <w:color w:val="000000" w:themeColor="text1"/>
        </w:rPr>
        <w:t xml:space="preserve"> </w:t>
      </w:r>
      <w:proofErr w:type="spellStart"/>
      <w:r w:rsidRPr="00083C4E">
        <w:rPr>
          <w:i w:val="0"/>
          <w:iCs w:val="0"/>
          <w:color w:val="000000" w:themeColor="text1"/>
        </w:rPr>
        <w:t>harm</w:t>
      </w:r>
      <w:proofErr w:type="spellEnd"/>
      <w:r w:rsidRPr="00083C4E">
        <w:rPr>
          <w:i w:val="0"/>
          <w:iCs w:val="0"/>
          <w:color w:val="000000" w:themeColor="text1"/>
        </w:rPr>
        <w:t xml:space="preserve">“. </w:t>
      </w:r>
    </w:p>
    <w:p w14:paraId="79312EA1" w14:textId="77777777" w:rsidR="00CC1AF5" w:rsidRPr="00083C4E" w:rsidRDefault="00CC1AF5" w:rsidP="005119E2">
      <w:pPr>
        <w:pStyle w:val="K-TextInfo"/>
        <w:rPr>
          <w:i w:val="0"/>
          <w:iCs w:val="0"/>
          <w:color w:val="000000" w:themeColor="text1"/>
        </w:rPr>
      </w:pPr>
      <w:r w:rsidRPr="00083C4E">
        <w:rPr>
          <w:i w:val="0"/>
          <w:iCs w:val="0"/>
          <w:color w:val="000000" w:themeColor="text1"/>
        </w:rPr>
        <w:t xml:space="preserve">Komponenta je zcela zaměřena na digitální </w:t>
      </w:r>
      <w:proofErr w:type="spellStart"/>
      <w:r w:rsidR="14DEF15A" w:rsidRPr="00083C4E">
        <w:rPr>
          <w:i w:val="0"/>
          <w:iCs w:val="0"/>
          <w:color w:val="000000" w:themeColor="text1"/>
        </w:rPr>
        <w:t>tran</w:t>
      </w:r>
      <w:r w:rsidR="6213E56F" w:rsidRPr="00083C4E">
        <w:rPr>
          <w:i w:val="0"/>
          <w:iCs w:val="0"/>
          <w:color w:val="000000" w:themeColor="text1"/>
        </w:rPr>
        <w:t>z</w:t>
      </w:r>
      <w:r w:rsidR="14DEF15A" w:rsidRPr="00083C4E">
        <w:rPr>
          <w:i w:val="0"/>
          <w:iCs w:val="0"/>
          <w:color w:val="000000" w:themeColor="text1"/>
        </w:rPr>
        <w:t>ici</w:t>
      </w:r>
      <w:proofErr w:type="spellEnd"/>
      <w:r w:rsidRPr="00083C4E">
        <w:rPr>
          <w:i w:val="0"/>
          <w:iCs w:val="0"/>
          <w:color w:val="000000" w:themeColor="text1"/>
        </w:rPr>
        <w:t xml:space="preserve"> veřejného sektoru. Cíle jednotlivých reforem a investic jsou nastaveny v souladu s DESI. </w:t>
      </w:r>
      <w:r w:rsidR="00F41996" w:rsidRPr="00083C4E">
        <w:rPr>
          <w:i w:val="0"/>
          <w:iCs w:val="0"/>
          <w:color w:val="000000" w:themeColor="text1"/>
        </w:rPr>
        <w:t>Reformy a investice zde uvedené přispívají výrazným způsobem k rozšíření možností cílové skupiny komunikovat s veřejnou správou plně elektronicky – tedy s minimálními nároky na fyzickou účast při jednání na úřadě či instituci. Tímto postupem dochází k výraznému posílení odolnosti státní a veřejné správy a celkovému zrychlení procesu odbavení úřední záležitosti. Významným uživatelským přínosem komponenty je pak řetězení jednotlivých služeb poskytovaných různými úřady a instituce</w:t>
      </w:r>
      <w:bookmarkStart w:id="0" w:name="_GoBack"/>
      <w:bookmarkEnd w:id="0"/>
      <w:r w:rsidR="00F41996" w:rsidRPr="00083C4E">
        <w:rPr>
          <w:i w:val="0"/>
          <w:iCs w:val="0"/>
          <w:color w:val="000000" w:themeColor="text1"/>
        </w:rPr>
        <w:t xml:space="preserve">mi do komplexních životních událostí. </w:t>
      </w:r>
    </w:p>
    <w:p w14:paraId="6ED6CDD9" w14:textId="77777777" w:rsidR="007C0788" w:rsidRPr="00083C4E" w:rsidRDefault="00CF3324" w:rsidP="007C0788">
      <w:pPr>
        <w:pStyle w:val="K-Text"/>
      </w:pPr>
      <w:r w:rsidRPr="00083C4E">
        <w:t>Komponenta naplňuje Digitální agendu</w:t>
      </w:r>
      <w:r w:rsidR="00F41996" w:rsidRPr="00083C4E">
        <w:t xml:space="preserve"> a výrazně rozvíjí </w:t>
      </w:r>
      <w:proofErr w:type="spellStart"/>
      <w:r w:rsidR="00F41996" w:rsidRPr="00083C4E">
        <w:t>eGovernment</w:t>
      </w:r>
      <w:proofErr w:type="spellEnd"/>
      <w:r w:rsidR="00F41996" w:rsidRPr="00083C4E">
        <w:t xml:space="preserve"> v ČR</w:t>
      </w:r>
      <w:r w:rsidRPr="00083C4E">
        <w:t>. Její obsah je zcela v souladu s Programem Digitální Česko jako základního kamene národního digitálního plánu. Jednotlivé reformy jsou tematickým souhrnem vybraných digitálních záměrů a projektů. Investice popsané v přiložené tabulce jsou pak</w:t>
      </w:r>
      <w:r w:rsidR="00CC1AF5" w:rsidRPr="00083C4E">
        <w:t>, s ohledem na parametry RRF,</w:t>
      </w:r>
      <w:r w:rsidRPr="00083C4E">
        <w:t xml:space="preserve"> </w:t>
      </w:r>
      <w:r w:rsidR="00CC1AF5" w:rsidRPr="00083C4E">
        <w:t xml:space="preserve">vybranými </w:t>
      </w:r>
      <w:r w:rsidRPr="00083C4E">
        <w:t>záměry a projekty Programu Digitální Česko.</w:t>
      </w:r>
    </w:p>
    <w:sectPr w:rsidR="007C0788" w:rsidRPr="00083C4E" w:rsidSect="00CC5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31733" w14:textId="77777777" w:rsidR="00FC1425" w:rsidRDefault="00FC1425" w:rsidP="00677FE0">
      <w:pPr>
        <w:spacing w:after="0" w:line="240" w:lineRule="auto"/>
      </w:pPr>
      <w:r>
        <w:separator/>
      </w:r>
    </w:p>
  </w:endnote>
  <w:endnote w:type="continuationSeparator" w:id="0">
    <w:p w14:paraId="6D3C5F89" w14:textId="77777777" w:rsidR="00FC1425" w:rsidRDefault="00FC1425" w:rsidP="00677FE0">
      <w:pPr>
        <w:spacing w:after="0" w:line="240" w:lineRule="auto"/>
      </w:pPr>
      <w:r>
        <w:continuationSeparator/>
      </w:r>
    </w:p>
  </w:endnote>
  <w:endnote w:type="continuationNotice" w:id="1">
    <w:p w14:paraId="239B562E" w14:textId="77777777" w:rsidR="00FC1425" w:rsidRDefault="00FC14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CC4E5" w14:textId="77777777" w:rsidR="00FC1425" w:rsidRDefault="00FC1425" w:rsidP="00677FE0">
      <w:pPr>
        <w:spacing w:after="0" w:line="240" w:lineRule="auto"/>
      </w:pPr>
      <w:r>
        <w:separator/>
      </w:r>
    </w:p>
  </w:footnote>
  <w:footnote w:type="continuationSeparator" w:id="0">
    <w:p w14:paraId="6007F081" w14:textId="77777777" w:rsidR="00FC1425" w:rsidRDefault="00FC1425" w:rsidP="00677FE0">
      <w:pPr>
        <w:spacing w:after="0" w:line="240" w:lineRule="auto"/>
      </w:pPr>
      <w:r>
        <w:continuationSeparator/>
      </w:r>
    </w:p>
  </w:footnote>
  <w:footnote w:type="continuationNotice" w:id="1">
    <w:p w14:paraId="11DDF11F" w14:textId="77777777" w:rsidR="00FC1425" w:rsidRDefault="00FC1425">
      <w:pPr>
        <w:spacing w:after="0" w:line="240" w:lineRule="auto"/>
      </w:pPr>
    </w:p>
  </w:footnote>
  <w:footnote w:id="2">
    <w:p w14:paraId="11662466" w14:textId="77777777" w:rsidR="005D61FA" w:rsidRPr="00A87B13" w:rsidRDefault="005D61FA">
      <w:pPr>
        <w:pStyle w:val="Textpoznpodarou"/>
        <w:rPr>
          <w:rStyle w:val="K-TextPoznChar"/>
        </w:rPr>
      </w:pPr>
      <w:r w:rsidRPr="00A87B13">
        <w:rPr>
          <w:rStyle w:val="Znakapoznpodarou"/>
          <w:rFonts w:ascii="Times New Roman" w:hAnsi="Times New Roman" w:cs="Times New Roman"/>
        </w:rPr>
        <w:footnoteRef/>
      </w:r>
      <w:r w:rsidRPr="00A87B13">
        <w:rPr>
          <w:rFonts w:ascii="Times New Roman" w:hAnsi="Times New Roman" w:cs="Times New Roman"/>
        </w:rPr>
        <w:t xml:space="preserve"> </w:t>
      </w:r>
      <w:r w:rsidRPr="00A87B13">
        <w:rPr>
          <w:rStyle w:val="K-TextPoznChar"/>
        </w:rPr>
        <w:t>Včetně klasifikace COFOG (výdaje vládního sektoru podle funkce).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B9C0D49"/>
    <w:multiLevelType w:val="hybridMultilevel"/>
    <w:tmpl w:val="AE7A3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hybridMultilevel"/>
    <w:tmpl w:val="3320A8B2"/>
    <w:numStyleLink w:val="VariantaB-odrky"/>
  </w:abstractNum>
  <w:abstractNum w:abstractNumId="3" w15:restartNumberingAfterBreak="0">
    <w:nsid w:val="13501B3A"/>
    <w:multiLevelType w:val="hybridMultilevel"/>
    <w:tmpl w:val="709A2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19E35ABB"/>
    <w:multiLevelType w:val="hybridMultilevel"/>
    <w:tmpl w:val="F5B6F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F5E1B"/>
    <w:multiLevelType w:val="hybridMultilevel"/>
    <w:tmpl w:val="E7C28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C7AE1"/>
    <w:multiLevelType w:val="hybridMultilevel"/>
    <w:tmpl w:val="68BA1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A4367"/>
    <w:multiLevelType w:val="hybridMultilevel"/>
    <w:tmpl w:val="42ECE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A5EA2"/>
    <w:multiLevelType w:val="hybridMultilevel"/>
    <w:tmpl w:val="E8BAE50A"/>
    <w:numStyleLink w:val="VariantaA-odrky"/>
  </w:abstractNum>
  <w:abstractNum w:abstractNumId="11" w15:restartNumberingAfterBreak="0">
    <w:nsid w:val="2DA4284A"/>
    <w:multiLevelType w:val="hybridMultilevel"/>
    <w:tmpl w:val="BAA6E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C2FCA"/>
    <w:multiLevelType w:val="hybridMultilevel"/>
    <w:tmpl w:val="4120D2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E7DE4"/>
    <w:multiLevelType w:val="hybridMultilevel"/>
    <w:tmpl w:val="D6C04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14069"/>
    <w:multiLevelType w:val="hybridMultilevel"/>
    <w:tmpl w:val="698A4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F37DE"/>
    <w:multiLevelType w:val="hybridMultilevel"/>
    <w:tmpl w:val="0FF69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B67B0"/>
    <w:multiLevelType w:val="hybridMultilevel"/>
    <w:tmpl w:val="4404A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C4A24"/>
    <w:multiLevelType w:val="hybridMultilevel"/>
    <w:tmpl w:val="2AAC85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32F0A"/>
    <w:multiLevelType w:val="hybridMultilevel"/>
    <w:tmpl w:val="98381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C11B3"/>
    <w:multiLevelType w:val="hybridMultilevel"/>
    <w:tmpl w:val="5038D4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89775E"/>
    <w:multiLevelType w:val="hybridMultilevel"/>
    <w:tmpl w:val="0D8ABE32"/>
    <w:styleLink w:val="VariantaB-sla"/>
    <w:lvl w:ilvl="0" w:tplc="E8048E58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 w:tplc="60AE69D6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 w:tplc="968CFFD6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 w:tplc="7EF0388E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 w:tplc="EF982522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 w:tplc="F392D3F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155CB13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FB56C2D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4BFA24C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2763FA1"/>
    <w:multiLevelType w:val="hybridMultilevel"/>
    <w:tmpl w:val="5018F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1536A"/>
    <w:multiLevelType w:val="hybridMultilevel"/>
    <w:tmpl w:val="9B9AF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001B2"/>
    <w:multiLevelType w:val="hybridMultilevel"/>
    <w:tmpl w:val="59385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74753"/>
    <w:multiLevelType w:val="hybridMultilevel"/>
    <w:tmpl w:val="1C1C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26625"/>
    <w:multiLevelType w:val="hybridMultilevel"/>
    <w:tmpl w:val="C56C3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F34E6"/>
    <w:multiLevelType w:val="hybridMultilevel"/>
    <w:tmpl w:val="C680A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321E4"/>
    <w:multiLevelType w:val="hybridMultilevel"/>
    <w:tmpl w:val="E8BAE50A"/>
    <w:styleLink w:val="VariantaA-odrky"/>
    <w:lvl w:ilvl="0" w:tplc="B4D62B6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 w:tplc="7A5ED59E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 w:tplc="A32C46A0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 w:tplc="D04ECBB4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 w:tplc="701EACA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 w:tplc="C52CA1A8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 w:tplc="1794DE4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 w:tplc="C45A69E0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 w:tplc="2674B77E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8" w15:restartNumberingAfterBreak="0">
    <w:nsid w:val="5AF35F43"/>
    <w:multiLevelType w:val="hybridMultilevel"/>
    <w:tmpl w:val="0D8ABE32"/>
    <w:numStyleLink w:val="VariantaB-sla"/>
  </w:abstractNum>
  <w:abstractNum w:abstractNumId="29" w15:restartNumberingAfterBreak="0">
    <w:nsid w:val="6423642A"/>
    <w:multiLevelType w:val="hybridMultilevel"/>
    <w:tmpl w:val="B8366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3513C"/>
    <w:multiLevelType w:val="hybridMultilevel"/>
    <w:tmpl w:val="41B8B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048FE"/>
    <w:multiLevelType w:val="hybridMultilevel"/>
    <w:tmpl w:val="FB78B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6478F"/>
    <w:multiLevelType w:val="hybridMultilevel"/>
    <w:tmpl w:val="E4262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E2EC1"/>
    <w:multiLevelType w:val="hybridMultilevel"/>
    <w:tmpl w:val="C5061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21A06"/>
    <w:multiLevelType w:val="hybridMultilevel"/>
    <w:tmpl w:val="1F8C9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0"/>
  </w:num>
  <w:num w:numId="4">
    <w:abstractNumId w:val="0"/>
  </w:num>
  <w:num w:numId="5">
    <w:abstractNumId w:val="28"/>
  </w:num>
  <w:num w:numId="6">
    <w:abstractNumId w:val="10"/>
  </w:num>
  <w:num w:numId="7">
    <w:abstractNumId w:val="5"/>
  </w:num>
  <w:num w:numId="8">
    <w:abstractNumId w:val="2"/>
  </w:num>
  <w:num w:numId="9">
    <w:abstractNumId w:val="22"/>
  </w:num>
  <w:num w:numId="10">
    <w:abstractNumId w:val="16"/>
  </w:num>
  <w:num w:numId="11">
    <w:abstractNumId w:val="7"/>
  </w:num>
  <w:num w:numId="12">
    <w:abstractNumId w:val="29"/>
  </w:num>
  <w:num w:numId="13">
    <w:abstractNumId w:val="25"/>
  </w:num>
  <w:num w:numId="14">
    <w:abstractNumId w:val="31"/>
  </w:num>
  <w:num w:numId="15">
    <w:abstractNumId w:val="34"/>
  </w:num>
  <w:num w:numId="16">
    <w:abstractNumId w:val="23"/>
  </w:num>
  <w:num w:numId="17">
    <w:abstractNumId w:val="1"/>
  </w:num>
  <w:num w:numId="18">
    <w:abstractNumId w:val="6"/>
  </w:num>
  <w:num w:numId="19">
    <w:abstractNumId w:val="12"/>
  </w:num>
  <w:num w:numId="20">
    <w:abstractNumId w:val="26"/>
  </w:num>
  <w:num w:numId="21">
    <w:abstractNumId w:val="9"/>
  </w:num>
  <w:num w:numId="22">
    <w:abstractNumId w:val="14"/>
  </w:num>
  <w:num w:numId="23">
    <w:abstractNumId w:val="17"/>
  </w:num>
  <w:num w:numId="24">
    <w:abstractNumId w:val="19"/>
  </w:num>
  <w:num w:numId="25">
    <w:abstractNumId w:val="24"/>
  </w:num>
  <w:num w:numId="26">
    <w:abstractNumId w:val="21"/>
  </w:num>
  <w:num w:numId="27">
    <w:abstractNumId w:val="13"/>
  </w:num>
  <w:num w:numId="28">
    <w:abstractNumId w:val="15"/>
  </w:num>
  <w:num w:numId="29">
    <w:abstractNumId w:val="18"/>
  </w:num>
  <w:num w:numId="30">
    <w:abstractNumId w:val="3"/>
  </w:num>
  <w:num w:numId="31">
    <w:abstractNumId w:val="30"/>
  </w:num>
  <w:num w:numId="32">
    <w:abstractNumId w:val="8"/>
  </w:num>
  <w:num w:numId="33">
    <w:abstractNumId w:val="11"/>
  </w:num>
  <w:num w:numId="34">
    <w:abstractNumId w:val="32"/>
  </w:num>
  <w:num w:numId="35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0CF"/>
    <w:rsid w:val="00005D48"/>
    <w:rsid w:val="00015306"/>
    <w:rsid w:val="00015452"/>
    <w:rsid w:val="00016BE1"/>
    <w:rsid w:val="00023727"/>
    <w:rsid w:val="0002674B"/>
    <w:rsid w:val="00030685"/>
    <w:rsid w:val="00033734"/>
    <w:rsid w:val="00034B10"/>
    <w:rsid w:val="00037221"/>
    <w:rsid w:val="00037FE8"/>
    <w:rsid w:val="0004162E"/>
    <w:rsid w:val="0004786B"/>
    <w:rsid w:val="00061EBA"/>
    <w:rsid w:val="00063405"/>
    <w:rsid w:val="00070134"/>
    <w:rsid w:val="0007157F"/>
    <w:rsid w:val="00073277"/>
    <w:rsid w:val="000809B9"/>
    <w:rsid w:val="00081843"/>
    <w:rsid w:val="00083C4E"/>
    <w:rsid w:val="00083DF4"/>
    <w:rsid w:val="00087251"/>
    <w:rsid w:val="000875C4"/>
    <w:rsid w:val="00090B40"/>
    <w:rsid w:val="00095A0A"/>
    <w:rsid w:val="00095EBD"/>
    <w:rsid w:val="0009E45C"/>
    <w:rsid w:val="000A4A50"/>
    <w:rsid w:val="000B1B3D"/>
    <w:rsid w:val="000B4D99"/>
    <w:rsid w:val="000C0598"/>
    <w:rsid w:val="000C4CAF"/>
    <w:rsid w:val="000D1DBC"/>
    <w:rsid w:val="000D27A6"/>
    <w:rsid w:val="000D652B"/>
    <w:rsid w:val="000E2207"/>
    <w:rsid w:val="000F6E8A"/>
    <w:rsid w:val="001055B8"/>
    <w:rsid w:val="00121485"/>
    <w:rsid w:val="00121D2A"/>
    <w:rsid w:val="001268B0"/>
    <w:rsid w:val="00130F7A"/>
    <w:rsid w:val="00143651"/>
    <w:rsid w:val="001440CE"/>
    <w:rsid w:val="00144B8C"/>
    <w:rsid w:val="0015052B"/>
    <w:rsid w:val="00152790"/>
    <w:rsid w:val="00154B73"/>
    <w:rsid w:val="00154FEB"/>
    <w:rsid w:val="00157AD6"/>
    <w:rsid w:val="001745AA"/>
    <w:rsid w:val="0017669E"/>
    <w:rsid w:val="0018051B"/>
    <w:rsid w:val="00186987"/>
    <w:rsid w:val="001974CF"/>
    <w:rsid w:val="001B1E4A"/>
    <w:rsid w:val="001B58AA"/>
    <w:rsid w:val="001C0C3E"/>
    <w:rsid w:val="001C1B88"/>
    <w:rsid w:val="001C4DFD"/>
    <w:rsid w:val="001C65A3"/>
    <w:rsid w:val="001D27C0"/>
    <w:rsid w:val="001E0C5E"/>
    <w:rsid w:val="001E0F52"/>
    <w:rsid w:val="001E74C3"/>
    <w:rsid w:val="001F3E4C"/>
    <w:rsid w:val="001F6937"/>
    <w:rsid w:val="00205A8E"/>
    <w:rsid w:val="00207FC3"/>
    <w:rsid w:val="0021793A"/>
    <w:rsid w:val="00217DB0"/>
    <w:rsid w:val="00220DE3"/>
    <w:rsid w:val="0022219E"/>
    <w:rsid w:val="002225A9"/>
    <w:rsid w:val="002243E3"/>
    <w:rsid w:val="00227A78"/>
    <w:rsid w:val="00235164"/>
    <w:rsid w:val="002424D3"/>
    <w:rsid w:val="00246F3F"/>
    <w:rsid w:val="0025290D"/>
    <w:rsid w:val="00252EC6"/>
    <w:rsid w:val="00255410"/>
    <w:rsid w:val="002557E9"/>
    <w:rsid w:val="00260372"/>
    <w:rsid w:val="00261246"/>
    <w:rsid w:val="00262DAF"/>
    <w:rsid w:val="002744E8"/>
    <w:rsid w:val="00285AED"/>
    <w:rsid w:val="00287CF0"/>
    <w:rsid w:val="002B1B44"/>
    <w:rsid w:val="002B38A4"/>
    <w:rsid w:val="002B6347"/>
    <w:rsid w:val="002C20CF"/>
    <w:rsid w:val="002C3AF1"/>
    <w:rsid w:val="002C4FCC"/>
    <w:rsid w:val="002D2B80"/>
    <w:rsid w:val="002D3AC6"/>
    <w:rsid w:val="002D5B53"/>
    <w:rsid w:val="002E19BA"/>
    <w:rsid w:val="002E2442"/>
    <w:rsid w:val="002E4792"/>
    <w:rsid w:val="002F0E8C"/>
    <w:rsid w:val="003012A2"/>
    <w:rsid w:val="003039C4"/>
    <w:rsid w:val="00304970"/>
    <w:rsid w:val="00310FA0"/>
    <w:rsid w:val="00311347"/>
    <w:rsid w:val="00314F04"/>
    <w:rsid w:val="00320481"/>
    <w:rsid w:val="00323887"/>
    <w:rsid w:val="00324AFA"/>
    <w:rsid w:val="003250CB"/>
    <w:rsid w:val="00333A9E"/>
    <w:rsid w:val="00346E23"/>
    <w:rsid w:val="00351CAF"/>
    <w:rsid w:val="00355F00"/>
    <w:rsid w:val="00363201"/>
    <w:rsid w:val="003858BC"/>
    <w:rsid w:val="0039063C"/>
    <w:rsid w:val="003A46A8"/>
    <w:rsid w:val="003A51AA"/>
    <w:rsid w:val="003B0775"/>
    <w:rsid w:val="003B0E92"/>
    <w:rsid w:val="003B565A"/>
    <w:rsid w:val="003D00A1"/>
    <w:rsid w:val="003D3067"/>
    <w:rsid w:val="003D5458"/>
    <w:rsid w:val="003D79AE"/>
    <w:rsid w:val="003F5248"/>
    <w:rsid w:val="003F614C"/>
    <w:rsid w:val="00401289"/>
    <w:rsid w:val="00404791"/>
    <w:rsid w:val="0040509B"/>
    <w:rsid w:val="0040686A"/>
    <w:rsid w:val="004073CC"/>
    <w:rsid w:val="0041195C"/>
    <w:rsid w:val="0041427F"/>
    <w:rsid w:val="00440455"/>
    <w:rsid w:val="0045097C"/>
    <w:rsid w:val="004509E5"/>
    <w:rsid w:val="004525FF"/>
    <w:rsid w:val="00463642"/>
    <w:rsid w:val="00480C03"/>
    <w:rsid w:val="004866B5"/>
    <w:rsid w:val="00486FB9"/>
    <w:rsid w:val="00490510"/>
    <w:rsid w:val="00491722"/>
    <w:rsid w:val="00493245"/>
    <w:rsid w:val="004A04A0"/>
    <w:rsid w:val="004A7EF6"/>
    <w:rsid w:val="004C212A"/>
    <w:rsid w:val="004C22EB"/>
    <w:rsid w:val="004C4534"/>
    <w:rsid w:val="004E0D55"/>
    <w:rsid w:val="004E37F6"/>
    <w:rsid w:val="004E6019"/>
    <w:rsid w:val="004F09B6"/>
    <w:rsid w:val="004F2DF7"/>
    <w:rsid w:val="004F5A1F"/>
    <w:rsid w:val="00500232"/>
    <w:rsid w:val="005015C4"/>
    <w:rsid w:val="00504668"/>
    <w:rsid w:val="00504DF6"/>
    <w:rsid w:val="0051093D"/>
    <w:rsid w:val="005119E2"/>
    <w:rsid w:val="00512DD1"/>
    <w:rsid w:val="00512ECD"/>
    <w:rsid w:val="00513947"/>
    <w:rsid w:val="0052092A"/>
    <w:rsid w:val="0052541A"/>
    <w:rsid w:val="00531E58"/>
    <w:rsid w:val="0053578E"/>
    <w:rsid w:val="00536992"/>
    <w:rsid w:val="005455E1"/>
    <w:rsid w:val="005502BD"/>
    <w:rsid w:val="005509FB"/>
    <w:rsid w:val="005510CA"/>
    <w:rsid w:val="00556787"/>
    <w:rsid w:val="00567D41"/>
    <w:rsid w:val="00570FBA"/>
    <w:rsid w:val="00581A1D"/>
    <w:rsid w:val="00582276"/>
    <w:rsid w:val="00586036"/>
    <w:rsid w:val="00586DD1"/>
    <w:rsid w:val="005A074F"/>
    <w:rsid w:val="005A16E7"/>
    <w:rsid w:val="005B0632"/>
    <w:rsid w:val="005B3F5C"/>
    <w:rsid w:val="005C0B7F"/>
    <w:rsid w:val="005C2560"/>
    <w:rsid w:val="005C4AD7"/>
    <w:rsid w:val="005D1A33"/>
    <w:rsid w:val="005D20C3"/>
    <w:rsid w:val="005D2C23"/>
    <w:rsid w:val="005D61FA"/>
    <w:rsid w:val="005F7585"/>
    <w:rsid w:val="00603DA9"/>
    <w:rsid w:val="00605759"/>
    <w:rsid w:val="00615CA7"/>
    <w:rsid w:val="00617E26"/>
    <w:rsid w:val="00634E0F"/>
    <w:rsid w:val="006401EF"/>
    <w:rsid w:val="00644C50"/>
    <w:rsid w:val="00650C6C"/>
    <w:rsid w:val="00652FE6"/>
    <w:rsid w:val="00660826"/>
    <w:rsid w:val="006635E3"/>
    <w:rsid w:val="00667898"/>
    <w:rsid w:val="00673B29"/>
    <w:rsid w:val="00677FE0"/>
    <w:rsid w:val="006953C3"/>
    <w:rsid w:val="006B2C52"/>
    <w:rsid w:val="006B6764"/>
    <w:rsid w:val="006B77A8"/>
    <w:rsid w:val="006C3039"/>
    <w:rsid w:val="006C30EB"/>
    <w:rsid w:val="006C675B"/>
    <w:rsid w:val="006D04EF"/>
    <w:rsid w:val="006D21BA"/>
    <w:rsid w:val="006D443B"/>
    <w:rsid w:val="006E0EF7"/>
    <w:rsid w:val="006E2FB0"/>
    <w:rsid w:val="006E6347"/>
    <w:rsid w:val="006F1BEA"/>
    <w:rsid w:val="006F52FC"/>
    <w:rsid w:val="007035E4"/>
    <w:rsid w:val="007102D2"/>
    <w:rsid w:val="00712D72"/>
    <w:rsid w:val="007131D9"/>
    <w:rsid w:val="00713948"/>
    <w:rsid w:val="007208FC"/>
    <w:rsid w:val="00721A60"/>
    <w:rsid w:val="0072734C"/>
    <w:rsid w:val="00727FEE"/>
    <w:rsid w:val="00731608"/>
    <w:rsid w:val="007369A6"/>
    <w:rsid w:val="00737B76"/>
    <w:rsid w:val="00737FAF"/>
    <w:rsid w:val="007417B1"/>
    <w:rsid w:val="00741CFD"/>
    <w:rsid w:val="0074658B"/>
    <w:rsid w:val="00753A27"/>
    <w:rsid w:val="0075462E"/>
    <w:rsid w:val="00782BE3"/>
    <w:rsid w:val="00791C26"/>
    <w:rsid w:val="0079342A"/>
    <w:rsid w:val="007A2737"/>
    <w:rsid w:val="007B4949"/>
    <w:rsid w:val="007C0788"/>
    <w:rsid w:val="007C49FD"/>
    <w:rsid w:val="007C6A25"/>
    <w:rsid w:val="007E102B"/>
    <w:rsid w:val="007E55C0"/>
    <w:rsid w:val="007F0BC6"/>
    <w:rsid w:val="007F29C5"/>
    <w:rsid w:val="00822C94"/>
    <w:rsid w:val="00831374"/>
    <w:rsid w:val="00832EC4"/>
    <w:rsid w:val="008353C7"/>
    <w:rsid w:val="00835548"/>
    <w:rsid w:val="00836057"/>
    <w:rsid w:val="00841FD9"/>
    <w:rsid w:val="00852465"/>
    <w:rsid w:val="00857580"/>
    <w:rsid w:val="008611FC"/>
    <w:rsid w:val="00865238"/>
    <w:rsid w:val="00866685"/>
    <w:rsid w:val="008667BF"/>
    <w:rsid w:val="008701FC"/>
    <w:rsid w:val="008748AE"/>
    <w:rsid w:val="0087677C"/>
    <w:rsid w:val="0089208D"/>
    <w:rsid w:val="00895645"/>
    <w:rsid w:val="008A56C7"/>
    <w:rsid w:val="008A7851"/>
    <w:rsid w:val="008C20C0"/>
    <w:rsid w:val="008C3782"/>
    <w:rsid w:val="008D4063"/>
    <w:rsid w:val="008D4A32"/>
    <w:rsid w:val="008D593A"/>
    <w:rsid w:val="008E7028"/>
    <w:rsid w:val="008E7760"/>
    <w:rsid w:val="008F7D4C"/>
    <w:rsid w:val="00902A9E"/>
    <w:rsid w:val="00910D72"/>
    <w:rsid w:val="00914CBC"/>
    <w:rsid w:val="0091766D"/>
    <w:rsid w:val="00922001"/>
    <w:rsid w:val="00922C17"/>
    <w:rsid w:val="009325EA"/>
    <w:rsid w:val="00932C40"/>
    <w:rsid w:val="009405B3"/>
    <w:rsid w:val="00942DDD"/>
    <w:rsid w:val="009463B4"/>
    <w:rsid w:val="009516A8"/>
    <w:rsid w:val="00951C94"/>
    <w:rsid w:val="0095236A"/>
    <w:rsid w:val="00956A12"/>
    <w:rsid w:val="00966FF1"/>
    <w:rsid w:val="00970D3D"/>
    <w:rsid w:val="0097705C"/>
    <w:rsid w:val="009778FE"/>
    <w:rsid w:val="00985BED"/>
    <w:rsid w:val="00996601"/>
    <w:rsid w:val="00996DF6"/>
    <w:rsid w:val="009A0DCA"/>
    <w:rsid w:val="009B3693"/>
    <w:rsid w:val="009B503A"/>
    <w:rsid w:val="009B6382"/>
    <w:rsid w:val="009C04D3"/>
    <w:rsid w:val="009C226B"/>
    <w:rsid w:val="009C7BBB"/>
    <w:rsid w:val="009D06CC"/>
    <w:rsid w:val="009D09F2"/>
    <w:rsid w:val="009E1963"/>
    <w:rsid w:val="009F124B"/>
    <w:rsid w:val="009F393D"/>
    <w:rsid w:val="009F4E42"/>
    <w:rsid w:val="009F61AD"/>
    <w:rsid w:val="009F7F46"/>
    <w:rsid w:val="00A000BF"/>
    <w:rsid w:val="00A0587E"/>
    <w:rsid w:val="00A13051"/>
    <w:rsid w:val="00A17AD4"/>
    <w:rsid w:val="00A22224"/>
    <w:rsid w:val="00A24C1F"/>
    <w:rsid w:val="00A254C8"/>
    <w:rsid w:val="00A275BC"/>
    <w:rsid w:val="00A30230"/>
    <w:rsid w:val="00A33BBF"/>
    <w:rsid w:val="00A3479C"/>
    <w:rsid w:val="00A356B5"/>
    <w:rsid w:val="00A4557A"/>
    <w:rsid w:val="00A464B4"/>
    <w:rsid w:val="00A46BDE"/>
    <w:rsid w:val="00A55F10"/>
    <w:rsid w:val="00A63D6B"/>
    <w:rsid w:val="00A70DDE"/>
    <w:rsid w:val="00A848E1"/>
    <w:rsid w:val="00A84B52"/>
    <w:rsid w:val="00A8660F"/>
    <w:rsid w:val="00A87B13"/>
    <w:rsid w:val="00A90AB9"/>
    <w:rsid w:val="00A95C48"/>
    <w:rsid w:val="00AA7056"/>
    <w:rsid w:val="00AB31C6"/>
    <w:rsid w:val="00AB523B"/>
    <w:rsid w:val="00AD481D"/>
    <w:rsid w:val="00AD4F96"/>
    <w:rsid w:val="00AD757D"/>
    <w:rsid w:val="00AD76DB"/>
    <w:rsid w:val="00AD7E40"/>
    <w:rsid w:val="00AF08BC"/>
    <w:rsid w:val="00AF2980"/>
    <w:rsid w:val="00AF3BAB"/>
    <w:rsid w:val="00B0620D"/>
    <w:rsid w:val="00B06CF0"/>
    <w:rsid w:val="00B1114A"/>
    <w:rsid w:val="00B1477A"/>
    <w:rsid w:val="00B1703E"/>
    <w:rsid w:val="00B1729A"/>
    <w:rsid w:val="00B20993"/>
    <w:rsid w:val="00B2099E"/>
    <w:rsid w:val="00B2439C"/>
    <w:rsid w:val="00B31350"/>
    <w:rsid w:val="00B33584"/>
    <w:rsid w:val="00B33950"/>
    <w:rsid w:val="00B42E96"/>
    <w:rsid w:val="00B50EE6"/>
    <w:rsid w:val="00B52185"/>
    <w:rsid w:val="00B75099"/>
    <w:rsid w:val="00B821AD"/>
    <w:rsid w:val="00B94A2A"/>
    <w:rsid w:val="00B9753A"/>
    <w:rsid w:val="00B979F4"/>
    <w:rsid w:val="00BB479C"/>
    <w:rsid w:val="00BC4720"/>
    <w:rsid w:val="00BC650D"/>
    <w:rsid w:val="00BC69B9"/>
    <w:rsid w:val="00BD0B80"/>
    <w:rsid w:val="00BD1D3F"/>
    <w:rsid w:val="00BD75A2"/>
    <w:rsid w:val="00BE782C"/>
    <w:rsid w:val="00BF26B4"/>
    <w:rsid w:val="00C035AE"/>
    <w:rsid w:val="00C04B62"/>
    <w:rsid w:val="00C10F4A"/>
    <w:rsid w:val="00C11704"/>
    <w:rsid w:val="00C13B7B"/>
    <w:rsid w:val="00C15919"/>
    <w:rsid w:val="00C16EBD"/>
    <w:rsid w:val="00C2017A"/>
    <w:rsid w:val="00C2026B"/>
    <w:rsid w:val="00C20470"/>
    <w:rsid w:val="00C23F1A"/>
    <w:rsid w:val="00C305FF"/>
    <w:rsid w:val="00C326A1"/>
    <w:rsid w:val="00C32CBE"/>
    <w:rsid w:val="00C34B2F"/>
    <w:rsid w:val="00C4641B"/>
    <w:rsid w:val="00C5700D"/>
    <w:rsid w:val="00C64600"/>
    <w:rsid w:val="00C652E4"/>
    <w:rsid w:val="00C6590D"/>
    <w:rsid w:val="00C6690E"/>
    <w:rsid w:val="00C671A6"/>
    <w:rsid w:val="00C703C5"/>
    <w:rsid w:val="00C805F2"/>
    <w:rsid w:val="00C925FB"/>
    <w:rsid w:val="00C92872"/>
    <w:rsid w:val="00C96099"/>
    <w:rsid w:val="00C96EFE"/>
    <w:rsid w:val="00CC1AF5"/>
    <w:rsid w:val="00CC3D09"/>
    <w:rsid w:val="00CC5E40"/>
    <w:rsid w:val="00CD0DB4"/>
    <w:rsid w:val="00CE0581"/>
    <w:rsid w:val="00CE728D"/>
    <w:rsid w:val="00CE7EF1"/>
    <w:rsid w:val="00CF104D"/>
    <w:rsid w:val="00CF21D8"/>
    <w:rsid w:val="00CF3324"/>
    <w:rsid w:val="00D1569F"/>
    <w:rsid w:val="00D2069F"/>
    <w:rsid w:val="00D20B1E"/>
    <w:rsid w:val="00D22462"/>
    <w:rsid w:val="00D230AC"/>
    <w:rsid w:val="00D23997"/>
    <w:rsid w:val="00D32489"/>
    <w:rsid w:val="00D3349E"/>
    <w:rsid w:val="00D34A78"/>
    <w:rsid w:val="00D55CA1"/>
    <w:rsid w:val="00D57D8D"/>
    <w:rsid w:val="00D71EF7"/>
    <w:rsid w:val="00D72A4A"/>
    <w:rsid w:val="00D73CB8"/>
    <w:rsid w:val="00D76F54"/>
    <w:rsid w:val="00D92CC9"/>
    <w:rsid w:val="00DA7591"/>
    <w:rsid w:val="00DB6F34"/>
    <w:rsid w:val="00DC646D"/>
    <w:rsid w:val="00DC7573"/>
    <w:rsid w:val="00DD7B74"/>
    <w:rsid w:val="00DE0ED4"/>
    <w:rsid w:val="00DE7B94"/>
    <w:rsid w:val="00DF02AA"/>
    <w:rsid w:val="00DF68C8"/>
    <w:rsid w:val="00E01BBB"/>
    <w:rsid w:val="00E0459A"/>
    <w:rsid w:val="00E17D67"/>
    <w:rsid w:val="00E237E4"/>
    <w:rsid w:val="00E32798"/>
    <w:rsid w:val="00E33B16"/>
    <w:rsid w:val="00E33CC8"/>
    <w:rsid w:val="00E34DEC"/>
    <w:rsid w:val="00E42655"/>
    <w:rsid w:val="00E42D5D"/>
    <w:rsid w:val="00E51C91"/>
    <w:rsid w:val="00E56414"/>
    <w:rsid w:val="00E56F24"/>
    <w:rsid w:val="00E60306"/>
    <w:rsid w:val="00E667C1"/>
    <w:rsid w:val="00E67EEC"/>
    <w:rsid w:val="00E7071C"/>
    <w:rsid w:val="00E736D1"/>
    <w:rsid w:val="00E81A7F"/>
    <w:rsid w:val="00E8270F"/>
    <w:rsid w:val="00E939EC"/>
    <w:rsid w:val="00EB0E85"/>
    <w:rsid w:val="00EC39E4"/>
    <w:rsid w:val="00EC3F88"/>
    <w:rsid w:val="00ED2830"/>
    <w:rsid w:val="00ED337B"/>
    <w:rsid w:val="00ED36D8"/>
    <w:rsid w:val="00ED53FF"/>
    <w:rsid w:val="00ED612A"/>
    <w:rsid w:val="00EE0EF5"/>
    <w:rsid w:val="00EE6BD7"/>
    <w:rsid w:val="00EF374D"/>
    <w:rsid w:val="00F00910"/>
    <w:rsid w:val="00F00D3E"/>
    <w:rsid w:val="00F017DD"/>
    <w:rsid w:val="00F0240F"/>
    <w:rsid w:val="00F042F0"/>
    <w:rsid w:val="00F0689D"/>
    <w:rsid w:val="00F13DFF"/>
    <w:rsid w:val="00F14D43"/>
    <w:rsid w:val="00F17EB5"/>
    <w:rsid w:val="00F2013E"/>
    <w:rsid w:val="00F2748F"/>
    <w:rsid w:val="00F3375F"/>
    <w:rsid w:val="00F34101"/>
    <w:rsid w:val="00F3526D"/>
    <w:rsid w:val="00F36A11"/>
    <w:rsid w:val="00F41423"/>
    <w:rsid w:val="00F41996"/>
    <w:rsid w:val="00F46ED2"/>
    <w:rsid w:val="00F5013A"/>
    <w:rsid w:val="00F549E4"/>
    <w:rsid w:val="00F56AD9"/>
    <w:rsid w:val="00F60358"/>
    <w:rsid w:val="00F61F94"/>
    <w:rsid w:val="00F6243E"/>
    <w:rsid w:val="00F6651F"/>
    <w:rsid w:val="00F67DB2"/>
    <w:rsid w:val="00F8491A"/>
    <w:rsid w:val="00F84B99"/>
    <w:rsid w:val="00F85B61"/>
    <w:rsid w:val="00FB01B5"/>
    <w:rsid w:val="00FB2FFA"/>
    <w:rsid w:val="00FC1425"/>
    <w:rsid w:val="00FC39F6"/>
    <w:rsid w:val="00FD3F57"/>
    <w:rsid w:val="00FE20AB"/>
    <w:rsid w:val="00FF33FA"/>
    <w:rsid w:val="00FF65E8"/>
    <w:rsid w:val="020DD4F6"/>
    <w:rsid w:val="024F0C95"/>
    <w:rsid w:val="04BA968A"/>
    <w:rsid w:val="06488A30"/>
    <w:rsid w:val="06C39F65"/>
    <w:rsid w:val="089E846C"/>
    <w:rsid w:val="08CE5BA4"/>
    <w:rsid w:val="08E38A73"/>
    <w:rsid w:val="094C46CC"/>
    <w:rsid w:val="0A4A4173"/>
    <w:rsid w:val="0AE12E4F"/>
    <w:rsid w:val="0CD3B557"/>
    <w:rsid w:val="10AAE645"/>
    <w:rsid w:val="1304C932"/>
    <w:rsid w:val="13501526"/>
    <w:rsid w:val="14DEF15A"/>
    <w:rsid w:val="14EBE587"/>
    <w:rsid w:val="15705D2D"/>
    <w:rsid w:val="1717A3E9"/>
    <w:rsid w:val="17E1B783"/>
    <w:rsid w:val="1860891A"/>
    <w:rsid w:val="197D87E4"/>
    <w:rsid w:val="199DBFB8"/>
    <w:rsid w:val="1A7D43A6"/>
    <w:rsid w:val="1B681C83"/>
    <w:rsid w:val="1BB539A6"/>
    <w:rsid w:val="1CB528A6"/>
    <w:rsid w:val="1D664B09"/>
    <w:rsid w:val="1DD44378"/>
    <w:rsid w:val="1E771861"/>
    <w:rsid w:val="1FA2083F"/>
    <w:rsid w:val="20488E58"/>
    <w:rsid w:val="23409272"/>
    <w:rsid w:val="23603EE1"/>
    <w:rsid w:val="253CDB59"/>
    <w:rsid w:val="266CC117"/>
    <w:rsid w:val="269AA6A0"/>
    <w:rsid w:val="2898A395"/>
    <w:rsid w:val="2942A323"/>
    <w:rsid w:val="2D7C27E7"/>
    <w:rsid w:val="2E46775A"/>
    <w:rsid w:val="3112FC11"/>
    <w:rsid w:val="32D5682C"/>
    <w:rsid w:val="35DF13F8"/>
    <w:rsid w:val="37C075C5"/>
    <w:rsid w:val="38295755"/>
    <w:rsid w:val="391C6E61"/>
    <w:rsid w:val="3A44493B"/>
    <w:rsid w:val="3A6A5168"/>
    <w:rsid w:val="3AB4B770"/>
    <w:rsid w:val="3AD287FC"/>
    <w:rsid w:val="3D6B8F03"/>
    <w:rsid w:val="3D7BE9FD"/>
    <w:rsid w:val="3E682411"/>
    <w:rsid w:val="3EDBE848"/>
    <w:rsid w:val="406A4FD7"/>
    <w:rsid w:val="419A5ECF"/>
    <w:rsid w:val="42765396"/>
    <w:rsid w:val="455C5D54"/>
    <w:rsid w:val="483D87AC"/>
    <w:rsid w:val="488ED4BE"/>
    <w:rsid w:val="492D1683"/>
    <w:rsid w:val="4B4EFDA7"/>
    <w:rsid w:val="4ECFE0CB"/>
    <w:rsid w:val="50ECA3D3"/>
    <w:rsid w:val="54303547"/>
    <w:rsid w:val="5534FBEC"/>
    <w:rsid w:val="55CA6286"/>
    <w:rsid w:val="568323B2"/>
    <w:rsid w:val="56960E4E"/>
    <w:rsid w:val="56D982A3"/>
    <w:rsid w:val="58004139"/>
    <w:rsid w:val="594CFA04"/>
    <w:rsid w:val="59AF5B04"/>
    <w:rsid w:val="5D08CA38"/>
    <w:rsid w:val="5EE8585D"/>
    <w:rsid w:val="60896DBC"/>
    <w:rsid w:val="60D63A34"/>
    <w:rsid w:val="62052412"/>
    <w:rsid w:val="6213E56F"/>
    <w:rsid w:val="62D43809"/>
    <w:rsid w:val="6585FB3F"/>
    <w:rsid w:val="66DA971A"/>
    <w:rsid w:val="67624A3B"/>
    <w:rsid w:val="67E78854"/>
    <w:rsid w:val="68AEF044"/>
    <w:rsid w:val="692C9DC1"/>
    <w:rsid w:val="693F3FD2"/>
    <w:rsid w:val="69A95254"/>
    <w:rsid w:val="6CF7372F"/>
    <w:rsid w:val="6DC6CE5F"/>
    <w:rsid w:val="6F573064"/>
    <w:rsid w:val="6F68CCB9"/>
    <w:rsid w:val="7002DC97"/>
    <w:rsid w:val="7067A622"/>
    <w:rsid w:val="72BAC713"/>
    <w:rsid w:val="72CB9403"/>
    <w:rsid w:val="72CC904E"/>
    <w:rsid w:val="74DCD12B"/>
    <w:rsid w:val="74F45D03"/>
    <w:rsid w:val="74F6F69E"/>
    <w:rsid w:val="75A25EBE"/>
    <w:rsid w:val="77B756F2"/>
    <w:rsid w:val="77F7E703"/>
    <w:rsid w:val="7801A4A8"/>
    <w:rsid w:val="782E9760"/>
    <w:rsid w:val="7BAFABBD"/>
    <w:rsid w:val="7C17E588"/>
    <w:rsid w:val="7CE8E026"/>
    <w:rsid w:val="7CFA8E73"/>
    <w:rsid w:val="7F67DB80"/>
    <w:rsid w:val="7FDCE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92B9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qFormat="1"/>
    <w:lsdException w:name="Bibliography" w:semiHidden="1" w:uiPriority="38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rsid w:val="00A87B13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link w:val="DefaultChar"/>
    <w:rsid w:val="002C2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E05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E0581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0581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25EA"/>
    <w:rPr>
      <w:color w:val="605E5C"/>
      <w:shd w:val="clear" w:color="auto" w:fill="E1DFDD"/>
    </w:rPr>
  </w:style>
  <w:style w:type="paragraph" w:customStyle="1" w:styleId="K-Nadpis1">
    <w:name w:val="K-Nadpis1"/>
    <w:basedOn w:val="Nadpis1"/>
    <w:link w:val="K-Nadpis1Char"/>
    <w:qFormat/>
    <w:rsid w:val="00154B73"/>
    <w:rPr>
      <w:rFonts w:ascii="Times New Roman" w:hAnsi="Times New Roman" w:cs="Times New Roman"/>
      <w:sz w:val="32"/>
    </w:rPr>
  </w:style>
  <w:style w:type="paragraph" w:customStyle="1" w:styleId="K-Nadpis2">
    <w:name w:val="K-Nadpis2"/>
    <w:basedOn w:val="Nadpis2"/>
    <w:link w:val="K-Nadpis2Char"/>
    <w:qFormat/>
    <w:rsid w:val="00154B73"/>
    <w:rPr>
      <w:rFonts w:ascii="Times New Roman" w:hAnsi="Times New Roman" w:cs="Times New Roman"/>
      <w:sz w:val="28"/>
      <w:szCs w:val="28"/>
    </w:rPr>
  </w:style>
  <w:style w:type="character" w:customStyle="1" w:styleId="K-Nadpis1Char">
    <w:name w:val="K-Nadpis1 Char"/>
    <w:basedOn w:val="Nadpis1Char"/>
    <w:link w:val="K-Nadpis1"/>
    <w:rsid w:val="00154B73"/>
    <w:rPr>
      <w:rFonts w:ascii="Times New Roman" w:eastAsiaTheme="majorEastAsia" w:hAnsi="Times New Roman" w:cs="Times New Roman"/>
      <w:b/>
      <w:color w:val="000000" w:themeColor="text1"/>
      <w:sz w:val="32"/>
      <w:szCs w:val="32"/>
    </w:rPr>
  </w:style>
  <w:style w:type="paragraph" w:customStyle="1" w:styleId="K-Nadpis3">
    <w:name w:val="K-Nadpis3"/>
    <w:basedOn w:val="Default"/>
    <w:link w:val="K-Nadpis3Char"/>
    <w:qFormat/>
    <w:rsid w:val="00154B73"/>
    <w:pPr>
      <w:spacing w:after="120"/>
      <w:jc w:val="both"/>
    </w:pPr>
    <w:rPr>
      <w:b/>
      <w:szCs w:val="23"/>
    </w:rPr>
  </w:style>
  <w:style w:type="character" w:customStyle="1" w:styleId="K-Nadpis2Char">
    <w:name w:val="K-Nadpis2 Char"/>
    <w:basedOn w:val="Nadpis2Char"/>
    <w:link w:val="K-Nadpis2"/>
    <w:rsid w:val="00154B73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customStyle="1" w:styleId="K-Text">
    <w:name w:val="K-Text"/>
    <w:basedOn w:val="Normln"/>
    <w:link w:val="K-TextChar"/>
    <w:qFormat/>
    <w:rsid w:val="006F1BEA"/>
    <w:pPr>
      <w:spacing w:after="120"/>
      <w:jc w:val="both"/>
    </w:pPr>
    <w:rPr>
      <w:rFonts w:ascii="Times New Roman" w:hAnsi="Times New Roman" w:cs="Times New Roman"/>
      <w:iCs/>
      <w:color w:val="auto"/>
      <w:sz w:val="23"/>
      <w:szCs w:val="23"/>
    </w:rPr>
  </w:style>
  <w:style w:type="character" w:customStyle="1" w:styleId="DefaultChar">
    <w:name w:val="Default Char"/>
    <w:basedOn w:val="Standardnpsmoodstavce"/>
    <w:link w:val="Default"/>
    <w:rsid w:val="00154B73"/>
    <w:rPr>
      <w:rFonts w:ascii="Times New Roman" w:hAnsi="Times New Roman" w:cs="Times New Roman"/>
      <w:color w:val="000000"/>
      <w:sz w:val="24"/>
      <w:szCs w:val="24"/>
    </w:rPr>
  </w:style>
  <w:style w:type="character" w:customStyle="1" w:styleId="K-Nadpis3Char">
    <w:name w:val="K-Nadpis3 Char"/>
    <w:basedOn w:val="DefaultChar"/>
    <w:link w:val="K-Nadpis3"/>
    <w:rsid w:val="00154B73"/>
    <w:rPr>
      <w:rFonts w:ascii="Times New Roman" w:hAnsi="Times New Roman" w:cs="Times New Roman"/>
      <w:b/>
      <w:color w:val="000000"/>
      <w:sz w:val="24"/>
      <w:szCs w:val="23"/>
    </w:rPr>
  </w:style>
  <w:style w:type="paragraph" w:customStyle="1" w:styleId="K-TextInfo">
    <w:name w:val="K-Text_Info"/>
    <w:basedOn w:val="Default"/>
    <w:link w:val="K-TextInfoChar"/>
    <w:qFormat/>
    <w:rsid w:val="00ED337B"/>
    <w:pPr>
      <w:spacing w:after="120"/>
      <w:jc w:val="both"/>
    </w:pPr>
    <w:rPr>
      <w:i/>
      <w:iCs/>
      <w:color w:val="2196FF" w:themeColor="text2" w:themeTint="99"/>
      <w:sz w:val="23"/>
      <w:szCs w:val="23"/>
    </w:rPr>
  </w:style>
  <w:style w:type="character" w:customStyle="1" w:styleId="K-TextChar">
    <w:name w:val="K-Text Char"/>
    <w:basedOn w:val="Standardnpsmoodstavce"/>
    <w:link w:val="K-Text"/>
    <w:rsid w:val="006F1BEA"/>
    <w:rPr>
      <w:rFonts w:ascii="Times New Roman" w:hAnsi="Times New Roman" w:cs="Times New Roman"/>
      <w:iCs/>
      <w:sz w:val="23"/>
      <w:szCs w:val="23"/>
    </w:rPr>
  </w:style>
  <w:style w:type="paragraph" w:customStyle="1" w:styleId="K-Tabulka">
    <w:name w:val="K-Tabulka"/>
    <w:basedOn w:val="Default"/>
    <w:link w:val="K-TabulkaChar"/>
    <w:qFormat/>
    <w:rsid w:val="00ED337B"/>
    <w:pPr>
      <w:spacing w:after="120"/>
      <w:jc w:val="both"/>
    </w:pPr>
    <w:rPr>
      <w:b/>
      <w:bCs/>
      <w:color w:val="auto"/>
      <w:sz w:val="23"/>
      <w:szCs w:val="23"/>
    </w:rPr>
  </w:style>
  <w:style w:type="character" w:customStyle="1" w:styleId="K-TextInfoChar">
    <w:name w:val="K-Text_Info Char"/>
    <w:basedOn w:val="DefaultChar"/>
    <w:link w:val="K-TextInfo"/>
    <w:rsid w:val="00ED337B"/>
    <w:rPr>
      <w:rFonts w:ascii="Times New Roman" w:hAnsi="Times New Roman" w:cs="Times New Roman"/>
      <w:i/>
      <w:iCs/>
      <w:color w:val="2196FF" w:themeColor="text2" w:themeTint="99"/>
      <w:sz w:val="23"/>
      <w:szCs w:val="23"/>
    </w:rPr>
  </w:style>
  <w:style w:type="paragraph" w:customStyle="1" w:styleId="K-TextPozn">
    <w:name w:val="K-Text_Pozn"/>
    <w:basedOn w:val="Textpoznpodarou"/>
    <w:link w:val="K-TextPoznChar"/>
    <w:qFormat/>
    <w:rsid w:val="00A87B13"/>
    <w:rPr>
      <w:rFonts w:ascii="Times New Roman" w:hAnsi="Times New Roman" w:cs="Times New Roman"/>
    </w:rPr>
  </w:style>
  <w:style w:type="character" w:customStyle="1" w:styleId="K-TabulkaChar">
    <w:name w:val="K-Tabulka Char"/>
    <w:basedOn w:val="DefaultChar"/>
    <w:link w:val="K-Tabulka"/>
    <w:rsid w:val="00ED337B"/>
    <w:rPr>
      <w:rFonts w:ascii="Times New Roman" w:hAnsi="Times New Roman" w:cs="Times New Roman"/>
      <w:b/>
      <w:bCs/>
      <w:color w:val="000000"/>
      <w:sz w:val="23"/>
      <w:szCs w:val="23"/>
    </w:rPr>
  </w:style>
  <w:style w:type="character" w:customStyle="1" w:styleId="K-TextPoznChar">
    <w:name w:val="K-Text_Pozn Char"/>
    <w:basedOn w:val="TextpoznpodarouChar"/>
    <w:link w:val="K-TextPozn"/>
    <w:rsid w:val="00A87B13"/>
    <w:rPr>
      <w:rFonts w:ascii="Times New Roman" w:hAnsi="Times New Roman" w:cs="Times New Roman"/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111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1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14A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1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14A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14A"/>
    <w:rPr>
      <w:rFonts w:ascii="Segoe UI" w:hAnsi="Segoe UI" w:cs="Segoe UI"/>
      <w:color w:val="000000" w:themeColor="text1"/>
      <w:sz w:val="18"/>
      <w:szCs w:val="18"/>
    </w:rPr>
  </w:style>
  <w:style w:type="table" w:styleId="Mkatabulky">
    <w:name w:val="Table Grid"/>
    <w:basedOn w:val="Normlntabulka"/>
    <w:uiPriority w:val="39"/>
    <w:rsid w:val="0085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12ECD"/>
    <w:pPr>
      <w:spacing w:after="0" w:line="240" w:lineRule="auto"/>
    </w:pPr>
    <w:rPr>
      <w:color w:val="000000" w:themeColor="text1"/>
    </w:rPr>
  </w:style>
  <w:style w:type="character" w:customStyle="1" w:styleId="apple-converted-space">
    <w:name w:val="apple-converted-space"/>
    <w:basedOn w:val="Standardnpsmoodstavce"/>
    <w:rsid w:val="002557E9"/>
  </w:style>
  <w:style w:type="character" w:customStyle="1" w:styleId="normaltextrun">
    <w:name w:val="normaltextrun"/>
    <w:basedOn w:val="Standardnpsmoodstavce"/>
    <w:rsid w:val="00071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-fair.org/fair-principl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dyznudy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668E3FACC0A4D909754AED2896FA5" ma:contentTypeVersion="4" ma:contentTypeDescription="Vytvoří nový dokument" ma:contentTypeScope="" ma:versionID="fcbcc0d7da2afc7dfd1f8eb0d8167e9f">
  <xsd:schema xmlns:xsd="http://www.w3.org/2001/XMLSchema" xmlns:xs="http://www.w3.org/2001/XMLSchema" xmlns:p="http://schemas.microsoft.com/office/2006/metadata/properties" xmlns:ns2="c901dcab-5c60-4e8e-adc9-0c7b361f0e15" targetNamespace="http://schemas.microsoft.com/office/2006/metadata/properties" ma:root="true" ma:fieldsID="389c65f3a199d6c2ceef1705ce39bdd1" ns2:_="">
    <xsd:import namespace="c901dcab-5c60-4e8e-adc9-0c7b361f0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dcab-5c60-4e8e-adc9-0c7b361f0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8C370-B4C4-4077-A8D7-1D49DA33B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dcab-5c60-4e8e-adc9-0c7b361f0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B1758E-458E-400C-A4E9-7E535E591B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F5E84-47A9-4C74-9832-7DADC55C9F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2F6CD-9EA6-4379-9630-211A0534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4F852087.dotm</Template>
  <TotalTime>93</TotalTime>
  <Pages>11</Pages>
  <Words>4295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Adam</dc:creator>
  <cp:keywords/>
  <dc:description/>
  <cp:lastModifiedBy>Hronza Martin</cp:lastModifiedBy>
  <cp:revision>20</cp:revision>
  <dcterms:created xsi:type="dcterms:W3CDTF">2021-01-14T15:02:00Z</dcterms:created>
  <dcterms:modified xsi:type="dcterms:W3CDTF">2021-01-28T12:06:00Z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0x0101008E0668E3FACC0A4D909754AED2896FA5</vt:lpwstr>
  </property>
</Properties>
</file>