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4.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Název"/>
        <w:tag w:val=""/>
        <w:id w:val="-1276706491"/>
        <w:placeholder>
          <w:docPart w:val="746BFEBE88FE4650AB1740137BEDDD8A"/>
        </w:placeholder>
        <w:dataBinding w:prefixMappings="xmlns:ns0='http://purl.org/dc/elements/1.1/' xmlns:ns1='http://schemas.openxmlformats.org/package/2006/metadata/core-properties' " w:xpath="/ns1:coreProperties[1]/ns0:title[1]" w:storeItemID="{6C3C8BC8-F283-45AE-878A-BAB7291924A1}"/>
        <w:text/>
      </w:sdtPr>
      <w:sdtContent>
        <w:p w14:paraId="3301E876" w14:textId="11FD29A2" w:rsidR="00407CDF" w:rsidRPr="007A0BA3" w:rsidRDefault="00776D92" w:rsidP="00776D92">
          <w:pPr>
            <w:pStyle w:val="Covertitle"/>
          </w:pPr>
          <w:r>
            <w:t>Metodika rozvoje sítí elektronických komunikací na území Středočeského kraje</w:t>
          </w:r>
        </w:p>
      </w:sdtContent>
    </w:sdt>
    <w:p w14:paraId="6B3FC7B6" w14:textId="150DC1D2" w:rsidR="00A12C2C" w:rsidRPr="007A0BA3" w:rsidRDefault="00765195" w:rsidP="00A12C2C">
      <w:pPr>
        <w:pStyle w:val="Coversubheading"/>
      </w:pPr>
      <w:r w:rsidRPr="007A0BA3">
        <w:t>Připraveno p</w:t>
      </w:r>
      <w:r w:rsidR="00AA6F1D" w:rsidRPr="007A0BA3">
        <w:t>ro</w:t>
      </w:r>
      <w:r w:rsidR="00776D92">
        <w:t xml:space="preserve"> Středočeský kra</w:t>
      </w:r>
      <w:r w:rsidR="00FB45DB">
        <w:t>j</w:t>
      </w:r>
    </w:p>
    <w:p w14:paraId="08DD90F3" w14:textId="62651AF0" w:rsidR="009613DE" w:rsidRPr="007A0BA3" w:rsidRDefault="00765195" w:rsidP="00D82F23">
      <w:pPr>
        <w:pStyle w:val="Graphictextsmall2"/>
        <w:rPr>
          <w:lang w:val="cs-CZ"/>
        </w:rPr>
        <w:sectPr w:rsidR="009613DE" w:rsidRPr="007A0BA3" w:rsidSect="00BF6149">
          <w:footerReference w:type="default" r:id="rId9"/>
          <w:headerReference w:type="first" r:id="rId10"/>
          <w:footerReference w:type="first" r:id="rId11"/>
          <w:pgSz w:w="11906" w:h="16838" w:code="9"/>
          <w:pgMar w:top="3289" w:right="907" w:bottom="0" w:left="907" w:header="284" w:footer="284" w:gutter="0"/>
          <w:cols w:space="709"/>
          <w:titlePg/>
          <w:docGrid w:linePitch="360"/>
        </w:sectPr>
      </w:pPr>
      <w:r w:rsidRPr="007A0BA3">
        <w:rPr>
          <w:noProof/>
          <w:lang w:val="cs-CZ"/>
        </w:rPr>
        <w:drawing>
          <wp:anchor distT="0" distB="0" distL="114300" distR="114300" simplePos="0" relativeHeight="251658241" behindDoc="0" locked="0" layoutInCell="1" allowOverlap="1" wp14:anchorId="4F35A1DF" wp14:editId="578FB928">
            <wp:simplePos x="0" y="0"/>
            <wp:positionH relativeFrom="margin">
              <wp:posOffset>2258918</wp:posOffset>
            </wp:positionH>
            <wp:positionV relativeFrom="paragraph">
              <wp:posOffset>2636520</wp:posOffset>
            </wp:positionV>
            <wp:extent cx="4716557" cy="4763670"/>
            <wp:effectExtent l="0" t="0" r="0" b="0"/>
            <wp:wrapNone/>
            <wp:docPr id="4" name="Obrázek 4" descr="C:\Users\marketa.justova\AppData\Local\Microsoft\Windows\INetCache\Content.Word\global_business3_rgb_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a.justova\AppData\Local\Microsoft\Windows\INetCache\Content.Word\global_business3_rgb_te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8805" cy="476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A8F" w:rsidRPr="007A0BA3">
        <w:rPr>
          <w:lang w:val="cs-CZ"/>
        </w:rPr>
        <w:t>[</w:t>
      </w:r>
      <w:r w:rsidR="001D7A66">
        <w:rPr>
          <w:lang w:val="cs-CZ"/>
        </w:rPr>
        <w:t>20</w:t>
      </w:r>
      <w:r w:rsidR="00B558EF">
        <w:rPr>
          <w:lang w:val="cs-CZ"/>
        </w:rPr>
        <w:t>.06</w:t>
      </w:r>
      <w:r w:rsidR="00776D92">
        <w:rPr>
          <w:lang w:val="cs-CZ"/>
        </w:rPr>
        <w:t>.2022</w:t>
      </w:r>
      <w:r w:rsidR="00393A8F" w:rsidRPr="007A0BA3">
        <w:rPr>
          <w:lang w:val="cs-CZ"/>
        </w:rPr>
        <w:t>]</w:t>
      </w:r>
      <w:r w:rsidR="00976DC2" w:rsidRPr="007A0BA3">
        <w:rPr>
          <w:noProof/>
          <w:lang w:val="cs-CZ"/>
        </w:rPr>
        <w:t xml:space="preserve"> </w:t>
      </w:r>
    </w:p>
    <w:p w14:paraId="370E6942" w14:textId="77777777" w:rsidR="008866C6" w:rsidRPr="007A0BA3" w:rsidRDefault="00B718E5" w:rsidP="00B718E5">
      <w:pPr>
        <w:pStyle w:val="Obsah"/>
      </w:pPr>
      <w:r w:rsidRPr="007A0BA3">
        <w:t>Historie změn</w:t>
      </w:r>
    </w:p>
    <w:tbl>
      <w:tblPr>
        <w:tblStyle w:val="GTITableStyle1"/>
        <w:tblW w:w="0" w:type="auto"/>
        <w:tblLook w:val="04A0" w:firstRow="1" w:lastRow="0" w:firstColumn="1" w:lastColumn="0" w:noHBand="0" w:noVBand="1"/>
      </w:tblPr>
      <w:tblGrid>
        <w:gridCol w:w="1134"/>
        <w:gridCol w:w="4962"/>
        <w:gridCol w:w="2126"/>
        <w:gridCol w:w="1184"/>
        <w:gridCol w:w="686"/>
      </w:tblGrid>
      <w:tr w:rsidR="00A50CD2" w:rsidRPr="007A0BA3" w14:paraId="10879E5F" w14:textId="77777777" w:rsidTr="00A50CD2">
        <w:trPr>
          <w:cnfStyle w:val="100000000000" w:firstRow="1" w:lastRow="0" w:firstColumn="0" w:lastColumn="0" w:oddVBand="0" w:evenVBand="0" w:oddHBand="0" w:evenHBand="0" w:firstRowFirstColumn="0" w:firstRowLastColumn="0" w:lastRowFirstColumn="0" w:lastRowLastColumn="0"/>
        </w:trPr>
        <w:tc>
          <w:tcPr>
            <w:tcW w:w="1134" w:type="dxa"/>
          </w:tcPr>
          <w:p w14:paraId="3EE8DE8C" w14:textId="77777777" w:rsidR="00B718E5" w:rsidRPr="007A0BA3" w:rsidRDefault="00B718E5" w:rsidP="00B718E5">
            <w:pPr>
              <w:spacing w:before="0" w:line="240" w:lineRule="atLeast"/>
              <w:rPr>
                <w:rFonts w:ascii="Arial" w:hAnsi="Arial" w:cs="Arial"/>
                <w:b/>
                <w:color w:val="4F2D7F"/>
                <w:sz w:val="18"/>
                <w:szCs w:val="20"/>
              </w:rPr>
            </w:pPr>
            <w:r w:rsidRPr="007A0BA3">
              <w:rPr>
                <w:rFonts w:ascii="Arial" w:hAnsi="Arial" w:cs="Arial"/>
                <w:b/>
                <w:color w:val="4F2D7F"/>
                <w:sz w:val="18"/>
                <w:szCs w:val="20"/>
              </w:rPr>
              <w:t>Verze</w:t>
            </w:r>
          </w:p>
        </w:tc>
        <w:tc>
          <w:tcPr>
            <w:tcW w:w="4962" w:type="dxa"/>
          </w:tcPr>
          <w:p w14:paraId="06AE64F9" w14:textId="77777777" w:rsidR="00B718E5" w:rsidRPr="007A0BA3" w:rsidRDefault="00A50CD2" w:rsidP="00B718E5">
            <w:pPr>
              <w:spacing w:before="0" w:line="240" w:lineRule="atLeast"/>
              <w:rPr>
                <w:rFonts w:ascii="Arial" w:hAnsi="Arial" w:cs="Arial"/>
                <w:b/>
                <w:color w:val="4F2D7F"/>
                <w:sz w:val="18"/>
                <w:szCs w:val="20"/>
              </w:rPr>
            </w:pPr>
            <w:r w:rsidRPr="007A0BA3">
              <w:rPr>
                <w:rFonts w:ascii="Arial" w:hAnsi="Arial" w:cs="Arial"/>
                <w:b/>
                <w:color w:val="4F2D7F"/>
                <w:sz w:val="18"/>
                <w:szCs w:val="20"/>
              </w:rPr>
              <w:t>Změna</w:t>
            </w:r>
          </w:p>
        </w:tc>
        <w:tc>
          <w:tcPr>
            <w:tcW w:w="2126" w:type="dxa"/>
          </w:tcPr>
          <w:p w14:paraId="6B645C34" w14:textId="77777777" w:rsidR="00B718E5" w:rsidRPr="007A0BA3" w:rsidRDefault="00A50CD2" w:rsidP="00B718E5">
            <w:pPr>
              <w:spacing w:before="0" w:line="240" w:lineRule="atLeast"/>
              <w:rPr>
                <w:rFonts w:ascii="Arial" w:hAnsi="Arial" w:cs="Arial"/>
                <w:b/>
                <w:color w:val="4F2D7F"/>
                <w:sz w:val="18"/>
                <w:szCs w:val="20"/>
              </w:rPr>
            </w:pPr>
            <w:r w:rsidRPr="007A0BA3">
              <w:rPr>
                <w:rFonts w:ascii="Arial" w:hAnsi="Arial" w:cs="Arial"/>
                <w:b/>
                <w:color w:val="4F2D7F"/>
                <w:sz w:val="18"/>
                <w:szCs w:val="20"/>
              </w:rPr>
              <w:t>Autor</w:t>
            </w:r>
          </w:p>
        </w:tc>
        <w:tc>
          <w:tcPr>
            <w:tcW w:w="1870" w:type="dxa"/>
            <w:gridSpan w:val="2"/>
          </w:tcPr>
          <w:p w14:paraId="04321621" w14:textId="77777777" w:rsidR="00B718E5" w:rsidRPr="007A0BA3" w:rsidRDefault="00A50CD2" w:rsidP="00B718E5">
            <w:pPr>
              <w:spacing w:before="0" w:line="240" w:lineRule="atLeast"/>
              <w:rPr>
                <w:rFonts w:ascii="Arial" w:hAnsi="Arial" w:cs="Arial"/>
                <w:b/>
                <w:color w:val="4F2D7F"/>
                <w:sz w:val="18"/>
                <w:szCs w:val="20"/>
              </w:rPr>
            </w:pPr>
            <w:r w:rsidRPr="007A0BA3">
              <w:rPr>
                <w:rFonts w:ascii="Arial" w:hAnsi="Arial" w:cs="Arial"/>
                <w:b/>
                <w:color w:val="4F2D7F"/>
                <w:sz w:val="18"/>
                <w:szCs w:val="20"/>
              </w:rPr>
              <w:t>Datum</w:t>
            </w:r>
          </w:p>
        </w:tc>
      </w:tr>
      <w:tr w:rsidR="00A50CD2" w:rsidRPr="007A0BA3" w14:paraId="5DB1E888" w14:textId="77777777" w:rsidTr="00A50CD2">
        <w:tc>
          <w:tcPr>
            <w:tcW w:w="1134" w:type="dxa"/>
            <w:vAlign w:val="center"/>
          </w:tcPr>
          <w:p w14:paraId="3DD366B2" w14:textId="77777777" w:rsidR="00B718E5" w:rsidRPr="007A0BA3" w:rsidRDefault="00A50CD2" w:rsidP="00A50CD2">
            <w:pPr>
              <w:spacing w:before="0" w:line="240" w:lineRule="atLeast"/>
              <w:rPr>
                <w:rFonts w:ascii="Arial" w:hAnsi="Arial" w:cs="Arial"/>
                <w:color w:val="auto"/>
                <w:sz w:val="18"/>
                <w:szCs w:val="20"/>
              </w:rPr>
            </w:pPr>
            <w:r w:rsidRPr="007A0BA3">
              <w:rPr>
                <w:rFonts w:ascii="Arial" w:hAnsi="Arial" w:cs="Arial"/>
                <w:color w:val="auto"/>
                <w:sz w:val="18"/>
                <w:szCs w:val="20"/>
              </w:rPr>
              <w:t>1.0</w:t>
            </w:r>
          </w:p>
        </w:tc>
        <w:tc>
          <w:tcPr>
            <w:tcW w:w="4962" w:type="dxa"/>
            <w:vAlign w:val="center"/>
          </w:tcPr>
          <w:p w14:paraId="72179FBD" w14:textId="77777777" w:rsidR="00B718E5" w:rsidRPr="007A0BA3" w:rsidRDefault="00A50CD2" w:rsidP="00A50CD2">
            <w:pPr>
              <w:spacing w:before="0" w:line="240" w:lineRule="atLeast"/>
              <w:rPr>
                <w:rFonts w:ascii="Arial" w:hAnsi="Arial" w:cs="Arial"/>
                <w:color w:val="auto"/>
                <w:sz w:val="18"/>
                <w:szCs w:val="20"/>
              </w:rPr>
            </w:pPr>
            <w:r w:rsidRPr="007A0BA3">
              <w:rPr>
                <w:rFonts w:ascii="Arial" w:hAnsi="Arial" w:cs="Arial"/>
                <w:color w:val="auto"/>
                <w:sz w:val="18"/>
                <w:szCs w:val="20"/>
              </w:rPr>
              <w:t>Vytvoření dokumentu</w:t>
            </w:r>
          </w:p>
        </w:tc>
        <w:tc>
          <w:tcPr>
            <w:tcW w:w="2126" w:type="dxa"/>
            <w:vAlign w:val="center"/>
          </w:tcPr>
          <w:p w14:paraId="0F581724" w14:textId="77777777" w:rsidR="00B718E5" w:rsidRPr="007A0BA3" w:rsidRDefault="00A50CD2" w:rsidP="00A50CD2">
            <w:pPr>
              <w:spacing w:before="0" w:line="240" w:lineRule="atLeast"/>
              <w:rPr>
                <w:rFonts w:ascii="Arial" w:hAnsi="Arial" w:cs="Arial"/>
                <w:color w:val="auto"/>
                <w:sz w:val="18"/>
                <w:szCs w:val="20"/>
              </w:rPr>
            </w:pPr>
            <w:r w:rsidRPr="007A0BA3">
              <w:rPr>
                <w:rFonts w:ascii="Arial" w:hAnsi="Arial" w:cs="Arial"/>
                <w:color w:val="auto"/>
                <w:sz w:val="18"/>
                <w:szCs w:val="20"/>
              </w:rPr>
              <w:t>GTA</w:t>
            </w:r>
          </w:p>
        </w:tc>
        <w:tc>
          <w:tcPr>
            <w:tcW w:w="1870" w:type="dxa"/>
            <w:gridSpan w:val="2"/>
            <w:vAlign w:val="center"/>
          </w:tcPr>
          <w:p w14:paraId="417C6EC2" w14:textId="3AEB0627" w:rsidR="00B718E5" w:rsidRPr="007A0BA3" w:rsidRDefault="00776D92" w:rsidP="00A50CD2">
            <w:pPr>
              <w:spacing w:before="0" w:line="240" w:lineRule="atLeast"/>
              <w:rPr>
                <w:rFonts w:ascii="Arial" w:hAnsi="Arial" w:cs="Arial"/>
                <w:color w:val="auto"/>
                <w:sz w:val="18"/>
                <w:szCs w:val="20"/>
              </w:rPr>
            </w:pPr>
            <w:r>
              <w:rPr>
                <w:rFonts w:ascii="Arial" w:hAnsi="Arial" w:cs="Arial"/>
                <w:color w:val="auto"/>
                <w:sz w:val="18"/>
                <w:szCs w:val="20"/>
              </w:rPr>
              <w:t>17</w:t>
            </w:r>
            <w:r w:rsidR="00A50CD2" w:rsidRPr="007A0BA3">
              <w:rPr>
                <w:rFonts w:ascii="Arial" w:hAnsi="Arial" w:cs="Arial"/>
                <w:color w:val="auto"/>
                <w:sz w:val="18"/>
                <w:szCs w:val="20"/>
              </w:rPr>
              <w:t>.</w:t>
            </w:r>
            <w:r>
              <w:rPr>
                <w:rFonts w:ascii="Arial" w:hAnsi="Arial" w:cs="Arial"/>
                <w:color w:val="auto"/>
                <w:sz w:val="18"/>
                <w:szCs w:val="20"/>
              </w:rPr>
              <w:t>05</w:t>
            </w:r>
            <w:r w:rsidR="00A50CD2" w:rsidRPr="007A0BA3">
              <w:rPr>
                <w:rFonts w:ascii="Arial" w:hAnsi="Arial" w:cs="Arial"/>
                <w:color w:val="auto"/>
                <w:sz w:val="18"/>
                <w:szCs w:val="20"/>
              </w:rPr>
              <w:t>.</w:t>
            </w:r>
            <w:r>
              <w:rPr>
                <w:rFonts w:ascii="Arial" w:hAnsi="Arial" w:cs="Arial"/>
                <w:color w:val="auto"/>
                <w:sz w:val="18"/>
                <w:szCs w:val="20"/>
              </w:rPr>
              <w:t>2022</w:t>
            </w:r>
          </w:p>
        </w:tc>
      </w:tr>
      <w:tr w:rsidR="00E962C4" w:rsidRPr="007A0BA3" w14:paraId="6BF32450" w14:textId="77777777" w:rsidTr="00E962C4">
        <w:trPr>
          <w:gridAfter w:val="1"/>
          <w:wAfter w:w="686" w:type="dxa"/>
        </w:trPr>
        <w:tc>
          <w:tcPr>
            <w:tcW w:w="1134" w:type="dxa"/>
            <w:vAlign w:val="center"/>
          </w:tcPr>
          <w:p w14:paraId="7E83CDEA" w14:textId="26607591" w:rsidR="00E962C4" w:rsidRPr="007A0BA3" w:rsidRDefault="00E962C4" w:rsidP="00990647">
            <w:pPr>
              <w:spacing w:before="0" w:line="240" w:lineRule="atLeast"/>
              <w:rPr>
                <w:rFonts w:ascii="Arial" w:hAnsi="Arial" w:cs="Arial"/>
                <w:color w:val="auto"/>
                <w:sz w:val="18"/>
                <w:szCs w:val="20"/>
              </w:rPr>
            </w:pPr>
            <w:r w:rsidRPr="007A0BA3">
              <w:rPr>
                <w:rFonts w:ascii="Arial" w:hAnsi="Arial" w:cs="Arial"/>
                <w:color w:val="auto"/>
                <w:sz w:val="18"/>
                <w:szCs w:val="20"/>
              </w:rPr>
              <w:t>1.</w:t>
            </w:r>
            <w:r>
              <w:rPr>
                <w:rFonts w:ascii="Arial" w:hAnsi="Arial" w:cs="Arial"/>
                <w:color w:val="auto"/>
                <w:sz w:val="18"/>
                <w:szCs w:val="20"/>
              </w:rPr>
              <w:t>1</w:t>
            </w:r>
          </w:p>
        </w:tc>
        <w:tc>
          <w:tcPr>
            <w:tcW w:w="4962" w:type="dxa"/>
            <w:vAlign w:val="center"/>
          </w:tcPr>
          <w:p w14:paraId="217F8664" w14:textId="0B250D8A" w:rsidR="00E962C4" w:rsidRPr="007A0BA3" w:rsidRDefault="00E962C4" w:rsidP="00990647">
            <w:pPr>
              <w:spacing w:before="0" w:line="240" w:lineRule="atLeast"/>
              <w:rPr>
                <w:rFonts w:ascii="Arial" w:hAnsi="Arial" w:cs="Arial"/>
                <w:color w:val="auto"/>
                <w:sz w:val="18"/>
                <w:szCs w:val="20"/>
              </w:rPr>
            </w:pPr>
            <w:r>
              <w:rPr>
                <w:rFonts w:ascii="Arial" w:hAnsi="Arial" w:cs="Arial"/>
                <w:color w:val="auto"/>
                <w:sz w:val="18"/>
                <w:szCs w:val="20"/>
              </w:rPr>
              <w:t>Zapracování komentářů zadavatele a finalizace</w:t>
            </w:r>
          </w:p>
        </w:tc>
        <w:tc>
          <w:tcPr>
            <w:tcW w:w="2126" w:type="dxa"/>
            <w:vAlign w:val="center"/>
          </w:tcPr>
          <w:p w14:paraId="345371E3" w14:textId="77777777" w:rsidR="00E962C4" w:rsidRPr="007A0BA3" w:rsidRDefault="00E962C4" w:rsidP="00990647">
            <w:pPr>
              <w:spacing w:before="0" w:line="240" w:lineRule="atLeast"/>
              <w:rPr>
                <w:rFonts w:ascii="Arial" w:hAnsi="Arial" w:cs="Arial"/>
                <w:color w:val="auto"/>
                <w:sz w:val="18"/>
                <w:szCs w:val="20"/>
              </w:rPr>
            </w:pPr>
            <w:r w:rsidRPr="007A0BA3">
              <w:rPr>
                <w:rFonts w:ascii="Arial" w:hAnsi="Arial" w:cs="Arial"/>
                <w:color w:val="auto"/>
                <w:sz w:val="18"/>
                <w:szCs w:val="20"/>
              </w:rPr>
              <w:t>GTA</w:t>
            </w:r>
          </w:p>
        </w:tc>
        <w:tc>
          <w:tcPr>
            <w:tcW w:w="1184" w:type="dxa"/>
            <w:vAlign w:val="center"/>
          </w:tcPr>
          <w:p w14:paraId="0044D6DA" w14:textId="7E466FC0" w:rsidR="00E962C4" w:rsidRPr="007A0BA3" w:rsidRDefault="001D7A66" w:rsidP="00990647">
            <w:pPr>
              <w:spacing w:before="0" w:line="240" w:lineRule="atLeast"/>
              <w:rPr>
                <w:rFonts w:ascii="Arial" w:hAnsi="Arial" w:cs="Arial"/>
                <w:color w:val="auto"/>
                <w:sz w:val="18"/>
                <w:szCs w:val="20"/>
              </w:rPr>
            </w:pPr>
            <w:r>
              <w:rPr>
                <w:rFonts w:ascii="Arial" w:hAnsi="Arial" w:cs="Arial"/>
                <w:color w:val="auto"/>
                <w:sz w:val="18"/>
                <w:szCs w:val="20"/>
              </w:rPr>
              <w:t>20</w:t>
            </w:r>
            <w:r w:rsidR="00E962C4" w:rsidRPr="007A0BA3">
              <w:rPr>
                <w:rFonts w:ascii="Arial" w:hAnsi="Arial" w:cs="Arial"/>
                <w:color w:val="auto"/>
                <w:sz w:val="18"/>
                <w:szCs w:val="20"/>
              </w:rPr>
              <w:t>.</w:t>
            </w:r>
            <w:r>
              <w:rPr>
                <w:rFonts w:ascii="Arial" w:hAnsi="Arial" w:cs="Arial"/>
                <w:color w:val="auto"/>
                <w:sz w:val="18"/>
                <w:szCs w:val="20"/>
              </w:rPr>
              <w:t>06</w:t>
            </w:r>
            <w:r w:rsidR="00E962C4" w:rsidRPr="007A0BA3">
              <w:rPr>
                <w:rFonts w:ascii="Arial" w:hAnsi="Arial" w:cs="Arial"/>
                <w:color w:val="auto"/>
                <w:sz w:val="18"/>
                <w:szCs w:val="20"/>
              </w:rPr>
              <w:t>.</w:t>
            </w:r>
            <w:r w:rsidR="00E962C4">
              <w:rPr>
                <w:rFonts w:ascii="Arial" w:hAnsi="Arial" w:cs="Arial"/>
                <w:color w:val="auto"/>
                <w:sz w:val="18"/>
                <w:szCs w:val="20"/>
              </w:rPr>
              <w:t>2022</w:t>
            </w:r>
          </w:p>
        </w:tc>
      </w:tr>
      <w:tr w:rsidR="00A50CD2" w:rsidRPr="007A0BA3" w14:paraId="1A76871A" w14:textId="77777777" w:rsidTr="00A50CD2">
        <w:tc>
          <w:tcPr>
            <w:tcW w:w="1134" w:type="dxa"/>
            <w:vAlign w:val="center"/>
          </w:tcPr>
          <w:p w14:paraId="0D32A45E" w14:textId="77777777" w:rsidR="00B718E5" w:rsidRPr="007A0BA3" w:rsidRDefault="00B718E5" w:rsidP="00A50CD2">
            <w:pPr>
              <w:spacing w:before="0" w:line="240" w:lineRule="atLeast"/>
              <w:rPr>
                <w:rFonts w:ascii="Arial" w:hAnsi="Arial" w:cs="Arial"/>
                <w:color w:val="auto"/>
                <w:sz w:val="18"/>
                <w:szCs w:val="20"/>
              </w:rPr>
            </w:pPr>
          </w:p>
        </w:tc>
        <w:tc>
          <w:tcPr>
            <w:tcW w:w="4962" w:type="dxa"/>
            <w:vAlign w:val="center"/>
          </w:tcPr>
          <w:p w14:paraId="6AD86065" w14:textId="77777777" w:rsidR="00B718E5" w:rsidRPr="007A0BA3" w:rsidRDefault="00B718E5" w:rsidP="00A50CD2">
            <w:pPr>
              <w:spacing w:before="0" w:line="240" w:lineRule="atLeast"/>
              <w:rPr>
                <w:rFonts w:ascii="Arial" w:hAnsi="Arial" w:cs="Arial"/>
                <w:color w:val="auto"/>
                <w:sz w:val="18"/>
                <w:szCs w:val="20"/>
              </w:rPr>
            </w:pPr>
          </w:p>
        </w:tc>
        <w:tc>
          <w:tcPr>
            <w:tcW w:w="2126" w:type="dxa"/>
            <w:vAlign w:val="center"/>
          </w:tcPr>
          <w:p w14:paraId="09F6F004" w14:textId="77777777" w:rsidR="00B718E5" w:rsidRPr="007A0BA3" w:rsidRDefault="00B718E5" w:rsidP="00A50CD2">
            <w:pPr>
              <w:spacing w:before="0" w:line="240" w:lineRule="atLeast"/>
              <w:rPr>
                <w:rFonts w:ascii="Arial" w:hAnsi="Arial" w:cs="Arial"/>
                <w:color w:val="auto"/>
                <w:sz w:val="18"/>
                <w:szCs w:val="20"/>
              </w:rPr>
            </w:pPr>
          </w:p>
        </w:tc>
        <w:tc>
          <w:tcPr>
            <w:tcW w:w="1870" w:type="dxa"/>
            <w:gridSpan w:val="2"/>
            <w:vAlign w:val="center"/>
          </w:tcPr>
          <w:p w14:paraId="61627D87" w14:textId="77777777" w:rsidR="00B718E5" w:rsidRPr="007A0BA3" w:rsidRDefault="00B718E5" w:rsidP="00A50CD2">
            <w:pPr>
              <w:spacing w:before="0" w:line="240" w:lineRule="atLeast"/>
              <w:rPr>
                <w:rFonts w:ascii="Arial" w:hAnsi="Arial" w:cs="Arial"/>
                <w:color w:val="auto"/>
                <w:sz w:val="18"/>
                <w:szCs w:val="20"/>
              </w:rPr>
            </w:pPr>
          </w:p>
        </w:tc>
      </w:tr>
    </w:tbl>
    <w:p w14:paraId="3013BFF2" w14:textId="77777777" w:rsidR="00B718E5" w:rsidRPr="007A0BA3" w:rsidRDefault="00B718E5" w:rsidP="00B718E5"/>
    <w:p w14:paraId="00B77F8F" w14:textId="77777777" w:rsidR="00B718E5" w:rsidRPr="007A0BA3" w:rsidRDefault="00B718E5" w:rsidP="00B718E5">
      <w:pPr>
        <w:pStyle w:val="Obsah"/>
        <w:sectPr w:rsidR="00B718E5" w:rsidRPr="007A0BA3" w:rsidSect="00BF6149">
          <w:headerReference w:type="default" r:id="rId13"/>
          <w:footerReference w:type="default" r:id="rId14"/>
          <w:headerReference w:type="first" r:id="rId15"/>
          <w:footerReference w:type="first" r:id="rId16"/>
          <w:pgSz w:w="11906" w:h="16838" w:code="9"/>
          <w:pgMar w:top="2977" w:right="907" w:bottom="1134" w:left="907" w:header="284" w:footer="284" w:gutter="0"/>
          <w:cols w:space="709"/>
          <w:titlePg/>
          <w:docGrid w:linePitch="360"/>
        </w:sectPr>
      </w:pPr>
    </w:p>
    <w:p w14:paraId="508F8329" w14:textId="77777777" w:rsidR="004F68E6" w:rsidRPr="007A0BA3" w:rsidRDefault="004F68E6" w:rsidP="00B45677">
      <w:pPr>
        <w:pStyle w:val="Obsah"/>
      </w:pPr>
      <w:r w:rsidRPr="007A0BA3">
        <w:t>Obsah</w:t>
      </w:r>
    </w:p>
    <w:p w14:paraId="01E17A30" w14:textId="0799E979" w:rsidR="00191908" w:rsidRDefault="000F5B3F">
      <w:pPr>
        <w:pStyle w:val="TOC1"/>
        <w:tabs>
          <w:tab w:val="left" w:pos="660"/>
        </w:tabs>
        <w:rPr>
          <w:rFonts w:eastAsiaTheme="minorEastAsia" w:cstheme="minorBidi"/>
          <w:b w:val="0"/>
          <w:color w:val="auto"/>
          <w:sz w:val="22"/>
          <w:szCs w:val="22"/>
          <w:lang w:eastAsia="cs-CZ"/>
        </w:rPr>
      </w:pPr>
      <w:r w:rsidRPr="007A0BA3">
        <w:fldChar w:fldCharType="begin"/>
      </w:r>
      <w:r w:rsidRPr="007A0BA3">
        <w:instrText xml:space="preserve"> TOC \o "1-3" \h \z \u </w:instrText>
      </w:r>
      <w:r w:rsidRPr="007A0BA3">
        <w:fldChar w:fldCharType="separate"/>
      </w:r>
      <w:hyperlink w:anchor="_Toc106622203" w:history="1">
        <w:r w:rsidR="00191908" w:rsidRPr="0071546B">
          <w:rPr>
            <w:rStyle w:val="Hyperlink"/>
            <w:noProof/>
            <w14:scene3d>
              <w14:camera w14:prst="orthographicFront"/>
              <w14:lightRig w14:rig="threePt" w14:dir="t">
                <w14:rot w14:lat="0" w14:lon="0" w14:rev="0"/>
              </w14:lightRig>
            </w14:scene3d>
          </w:rPr>
          <w:t>1</w:t>
        </w:r>
        <w:r w:rsidR="00191908">
          <w:rPr>
            <w:rFonts w:eastAsiaTheme="minorEastAsia" w:cstheme="minorBidi"/>
            <w:b w:val="0"/>
            <w:color w:val="auto"/>
            <w:sz w:val="22"/>
            <w:szCs w:val="22"/>
            <w:lang w:eastAsia="cs-CZ"/>
          </w:rPr>
          <w:tab/>
        </w:r>
        <w:r w:rsidR="00191908" w:rsidRPr="0071546B">
          <w:rPr>
            <w:rStyle w:val="Hyperlink"/>
            <w:noProof/>
          </w:rPr>
          <w:t>Úvod</w:t>
        </w:r>
        <w:r w:rsidR="00191908">
          <w:rPr>
            <w:webHidden/>
          </w:rPr>
          <w:tab/>
        </w:r>
        <w:r w:rsidR="00191908">
          <w:rPr>
            <w:webHidden/>
          </w:rPr>
          <w:fldChar w:fldCharType="begin"/>
        </w:r>
        <w:r w:rsidR="00191908">
          <w:rPr>
            <w:webHidden/>
          </w:rPr>
          <w:instrText xml:space="preserve"> PAGEREF _Toc106622203 \h </w:instrText>
        </w:r>
        <w:r w:rsidR="00191908">
          <w:rPr>
            <w:webHidden/>
          </w:rPr>
        </w:r>
        <w:r w:rsidR="00191908">
          <w:rPr>
            <w:webHidden/>
          </w:rPr>
          <w:fldChar w:fldCharType="separate"/>
        </w:r>
        <w:r w:rsidR="00191908">
          <w:rPr>
            <w:webHidden/>
          </w:rPr>
          <w:t>4</w:t>
        </w:r>
        <w:r w:rsidR="00191908">
          <w:rPr>
            <w:webHidden/>
          </w:rPr>
          <w:fldChar w:fldCharType="end"/>
        </w:r>
      </w:hyperlink>
    </w:p>
    <w:p w14:paraId="42192F1F" w14:textId="555DBCC1" w:rsidR="00191908" w:rsidRDefault="00191908">
      <w:pPr>
        <w:pStyle w:val="TOC1"/>
        <w:tabs>
          <w:tab w:val="left" w:pos="660"/>
        </w:tabs>
        <w:rPr>
          <w:rFonts w:eastAsiaTheme="minorEastAsia" w:cstheme="minorBidi"/>
          <w:b w:val="0"/>
          <w:color w:val="auto"/>
          <w:sz w:val="22"/>
          <w:szCs w:val="22"/>
          <w:lang w:eastAsia="cs-CZ"/>
        </w:rPr>
      </w:pPr>
      <w:hyperlink w:anchor="_Toc106622204" w:history="1">
        <w:r w:rsidRPr="0071546B">
          <w:rPr>
            <w:rStyle w:val="Hyperlink"/>
            <w:noProof/>
            <w14:scene3d>
              <w14:camera w14:prst="orthographicFront"/>
              <w14:lightRig w14:rig="threePt" w14:dir="t">
                <w14:rot w14:lat="0" w14:lon="0" w14:rev="0"/>
              </w14:lightRig>
            </w14:scene3d>
          </w:rPr>
          <w:t>2</w:t>
        </w:r>
        <w:r>
          <w:rPr>
            <w:rFonts w:eastAsiaTheme="minorEastAsia" w:cstheme="minorBidi"/>
            <w:b w:val="0"/>
            <w:color w:val="auto"/>
            <w:sz w:val="22"/>
            <w:szCs w:val="22"/>
            <w:lang w:eastAsia="cs-CZ"/>
          </w:rPr>
          <w:tab/>
        </w:r>
        <w:r w:rsidRPr="0071546B">
          <w:rPr>
            <w:rStyle w:val="Hyperlink"/>
            <w:noProof/>
          </w:rPr>
          <w:t>Metodika přístupu ke služebnosti – Úvodní analýza</w:t>
        </w:r>
        <w:r>
          <w:rPr>
            <w:webHidden/>
          </w:rPr>
          <w:tab/>
        </w:r>
        <w:r>
          <w:rPr>
            <w:webHidden/>
          </w:rPr>
          <w:fldChar w:fldCharType="begin"/>
        </w:r>
        <w:r>
          <w:rPr>
            <w:webHidden/>
          </w:rPr>
          <w:instrText xml:space="preserve"> PAGEREF _Toc106622204 \h </w:instrText>
        </w:r>
        <w:r>
          <w:rPr>
            <w:webHidden/>
          </w:rPr>
        </w:r>
        <w:r>
          <w:rPr>
            <w:webHidden/>
          </w:rPr>
          <w:fldChar w:fldCharType="separate"/>
        </w:r>
        <w:r>
          <w:rPr>
            <w:webHidden/>
          </w:rPr>
          <w:t>5</w:t>
        </w:r>
        <w:r>
          <w:rPr>
            <w:webHidden/>
          </w:rPr>
          <w:fldChar w:fldCharType="end"/>
        </w:r>
      </w:hyperlink>
    </w:p>
    <w:p w14:paraId="5B318E21" w14:textId="0965C6E9" w:rsidR="00191908" w:rsidRDefault="00191908">
      <w:pPr>
        <w:pStyle w:val="TOC2"/>
        <w:tabs>
          <w:tab w:val="left" w:pos="660"/>
          <w:tab w:val="right" w:leader="dot" w:pos="10082"/>
        </w:tabs>
        <w:rPr>
          <w:rFonts w:eastAsiaTheme="minorEastAsia" w:cstheme="minorBidi"/>
          <w:sz w:val="22"/>
          <w:szCs w:val="22"/>
          <w:lang w:eastAsia="cs-CZ"/>
        </w:rPr>
      </w:pPr>
      <w:hyperlink w:anchor="_Toc106622205" w:history="1">
        <w:r w:rsidRPr="0071546B">
          <w:rPr>
            <w:rStyle w:val="Hyperlink"/>
            <w:noProof/>
          </w:rPr>
          <w:t>2.1</w:t>
        </w:r>
        <w:r>
          <w:rPr>
            <w:rFonts w:eastAsiaTheme="minorEastAsia" w:cstheme="minorBidi"/>
            <w:sz w:val="22"/>
            <w:szCs w:val="22"/>
            <w:lang w:eastAsia="cs-CZ"/>
          </w:rPr>
          <w:tab/>
        </w:r>
        <w:r w:rsidRPr="0071546B">
          <w:rPr>
            <w:rStyle w:val="Hyperlink"/>
            <w:noProof/>
          </w:rPr>
          <w:t>Určení výše náhrady</w:t>
        </w:r>
        <w:r>
          <w:rPr>
            <w:webHidden/>
          </w:rPr>
          <w:tab/>
        </w:r>
        <w:r>
          <w:rPr>
            <w:webHidden/>
          </w:rPr>
          <w:fldChar w:fldCharType="begin"/>
        </w:r>
        <w:r>
          <w:rPr>
            <w:webHidden/>
          </w:rPr>
          <w:instrText xml:space="preserve"> PAGEREF _Toc106622205 \h </w:instrText>
        </w:r>
        <w:r>
          <w:rPr>
            <w:webHidden/>
          </w:rPr>
        </w:r>
        <w:r>
          <w:rPr>
            <w:webHidden/>
          </w:rPr>
          <w:fldChar w:fldCharType="separate"/>
        </w:r>
        <w:r>
          <w:rPr>
            <w:webHidden/>
          </w:rPr>
          <w:t>5</w:t>
        </w:r>
        <w:r>
          <w:rPr>
            <w:webHidden/>
          </w:rPr>
          <w:fldChar w:fldCharType="end"/>
        </w:r>
      </w:hyperlink>
    </w:p>
    <w:p w14:paraId="17267EFA" w14:textId="0B8BB2A0" w:rsidR="00191908" w:rsidRDefault="00191908">
      <w:pPr>
        <w:pStyle w:val="TOC2"/>
        <w:tabs>
          <w:tab w:val="left" w:pos="660"/>
          <w:tab w:val="right" w:leader="dot" w:pos="10082"/>
        </w:tabs>
        <w:rPr>
          <w:rFonts w:eastAsiaTheme="minorEastAsia" w:cstheme="minorBidi"/>
          <w:sz w:val="22"/>
          <w:szCs w:val="22"/>
          <w:lang w:eastAsia="cs-CZ"/>
        </w:rPr>
      </w:pPr>
      <w:hyperlink w:anchor="_Toc106622206" w:history="1">
        <w:r w:rsidRPr="0071546B">
          <w:rPr>
            <w:rStyle w:val="Hyperlink"/>
            <w:noProof/>
          </w:rPr>
          <w:t>2.2</w:t>
        </w:r>
        <w:r>
          <w:rPr>
            <w:rFonts w:eastAsiaTheme="minorEastAsia" w:cstheme="minorBidi"/>
            <w:sz w:val="22"/>
            <w:szCs w:val="22"/>
            <w:lang w:eastAsia="cs-CZ"/>
          </w:rPr>
          <w:tab/>
        </w:r>
        <w:r w:rsidRPr="0071546B">
          <w:rPr>
            <w:rStyle w:val="Hyperlink"/>
            <w:noProof/>
          </w:rPr>
          <w:t>Práva a povinnosti</w:t>
        </w:r>
        <w:r>
          <w:rPr>
            <w:webHidden/>
          </w:rPr>
          <w:tab/>
        </w:r>
        <w:r>
          <w:rPr>
            <w:webHidden/>
          </w:rPr>
          <w:fldChar w:fldCharType="begin"/>
        </w:r>
        <w:r>
          <w:rPr>
            <w:webHidden/>
          </w:rPr>
          <w:instrText xml:space="preserve"> PAGEREF _Toc106622206 \h </w:instrText>
        </w:r>
        <w:r>
          <w:rPr>
            <w:webHidden/>
          </w:rPr>
        </w:r>
        <w:r>
          <w:rPr>
            <w:webHidden/>
          </w:rPr>
          <w:fldChar w:fldCharType="separate"/>
        </w:r>
        <w:r>
          <w:rPr>
            <w:webHidden/>
          </w:rPr>
          <w:t>6</w:t>
        </w:r>
        <w:r>
          <w:rPr>
            <w:webHidden/>
          </w:rPr>
          <w:fldChar w:fldCharType="end"/>
        </w:r>
      </w:hyperlink>
    </w:p>
    <w:p w14:paraId="3AE20161" w14:textId="4EEAE956" w:rsidR="00191908" w:rsidRDefault="00191908">
      <w:pPr>
        <w:pStyle w:val="TOC1"/>
        <w:tabs>
          <w:tab w:val="left" w:pos="660"/>
        </w:tabs>
        <w:rPr>
          <w:rFonts w:eastAsiaTheme="minorEastAsia" w:cstheme="minorBidi"/>
          <w:b w:val="0"/>
          <w:color w:val="auto"/>
          <w:sz w:val="22"/>
          <w:szCs w:val="22"/>
          <w:lang w:eastAsia="cs-CZ"/>
        </w:rPr>
      </w:pPr>
      <w:hyperlink w:anchor="_Toc106622207" w:history="1">
        <w:r w:rsidRPr="0071546B">
          <w:rPr>
            <w:rStyle w:val="Hyperlink"/>
            <w:noProof/>
            <w14:scene3d>
              <w14:camera w14:prst="orthographicFront"/>
              <w14:lightRig w14:rig="threePt" w14:dir="t">
                <w14:rot w14:lat="0" w14:lon="0" w14:rev="0"/>
              </w14:lightRig>
            </w14:scene3d>
          </w:rPr>
          <w:t>3</w:t>
        </w:r>
        <w:r>
          <w:rPr>
            <w:rFonts w:eastAsiaTheme="minorEastAsia" w:cstheme="minorBidi"/>
            <w:b w:val="0"/>
            <w:color w:val="auto"/>
            <w:sz w:val="22"/>
            <w:szCs w:val="22"/>
            <w:lang w:eastAsia="cs-CZ"/>
          </w:rPr>
          <w:tab/>
        </w:r>
        <w:r w:rsidRPr="0071546B">
          <w:rPr>
            <w:rStyle w:val="Hyperlink"/>
            <w:noProof/>
          </w:rPr>
          <w:t>Metodika přístupu ke služebnosti – Návrh doporučení</w:t>
        </w:r>
        <w:r>
          <w:rPr>
            <w:webHidden/>
          </w:rPr>
          <w:tab/>
        </w:r>
        <w:r>
          <w:rPr>
            <w:webHidden/>
          </w:rPr>
          <w:fldChar w:fldCharType="begin"/>
        </w:r>
        <w:r>
          <w:rPr>
            <w:webHidden/>
          </w:rPr>
          <w:instrText xml:space="preserve"> PAGEREF _Toc106622207 \h </w:instrText>
        </w:r>
        <w:r>
          <w:rPr>
            <w:webHidden/>
          </w:rPr>
        </w:r>
        <w:r>
          <w:rPr>
            <w:webHidden/>
          </w:rPr>
          <w:fldChar w:fldCharType="separate"/>
        </w:r>
        <w:r>
          <w:rPr>
            <w:webHidden/>
          </w:rPr>
          <w:t>8</w:t>
        </w:r>
        <w:r>
          <w:rPr>
            <w:webHidden/>
          </w:rPr>
          <w:fldChar w:fldCharType="end"/>
        </w:r>
      </w:hyperlink>
    </w:p>
    <w:p w14:paraId="0B5BC7CC" w14:textId="64F9399C" w:rsidR="00191908" w:rsidRDefault="00191908">
      <w:pPr>
        <w:pStyle w:val="TOC2"/>
        <w:tabs>
          <w:tab w:val="left" w:pos="660"/>
          <w:tab w:val="right" w:leader="dot" w:pos="10082"/>
        </w:tabs>
        <w:rPr>
          <w:rFonts w:eastAsiaTheme="minorEastAsia" w:cstheme="minorBidi"/>
          <w:sz w:val="22"/>
          <w:szCs w:val="22"/>
          <w:lang w:eastAsia="cs-CZ"/>
        </w:rPr>
      </w:pPr>
      <w:hyperlink w:anchor="_Toc106622208" w:history="1">
        <w:r w:rsidRPr="0071546B">
          <w:rPr>
            <w:rStyle w:val="Hyperlink"/>
            <w:noProof/>
          </w:rPr>
          <w:t>3.1</w:t>
        </w:r>
        <w:r>
          <w:rPr>
            <w:rFonts w:eastAsiaTheme="minorEastAsia" w:cstheme="minorBidi"/>
            <w:sz w:val="22"/>
            <w:szCs w:val="22"/>
            <w:lang w:eastAsia="cs-CZ"/>
          </w:rPr>
          <w:tab/>
        </w:r>
        <w:r w:rsidRPr="0071546B">
          <w:rPr>
            <w:rStyle w:val="Hyperlink"/>
            <w:noProof/>
          </w:rPr>
          <w:t>Legislativní východiska pro infrastrukturu elektronických komunikací</w:t>
        </w:r>
        <w:r>
          <w:rPr>
            <w:webHidden/>
          </w:rPr>
          <w:tab/>
        </w:r>
        <w:r>
          <w:rPr>
            <w:webHidden/>
          </w:rPr>
          <w:fldChar w:fldCharType="begin"/>
        </w:r>
        <w:r>
          <w:rPr>
            <w:webHidden/>
          </w:rPr>
          <w:instrText xml:space="preserve"> PAGEREF _Toc106622208 \h </w:instrText>
        </w:r>
        <w:r>
          <w:rPr>
            <w:webHidden/>
          </w:rPr>
        </w:r>
        <w:r>
          <w:rPr>
            <w:webHidden/>
          </w:rPr>
          <w:fldChar w:fldCharType="separate"/>
        </w:r>
        <w:r>
          <w:rPr>
            <w:webHidden/>
          </w:rPr>
          <w:t>8</w:t>
        </w:r>
        <w:r>
          <w:rPr>
            <w:webHidden/>
          </w:rPr>
          <w:fldChar w:fldCharType="end"/>
        </w:r>
      </w:hyperlink>
    </w:p>
    <w:p w14:paraId="5B0CA39E" w14:textId="5A892530" w:rsidR="00191908" w:rsidRDefault="00191908">
      <w:pPr>
        <w:pStyle w:val="TOC2"/>
        <w:tabs>
          <w:tab w:val="left" w:pos="660"/>
          <w:tab w:val="right" w:leader="dot" w:pos="10082"/>
        </w:tabs>
        <w:rPr>
          <w:rFonts w:eastAsiaTheme="minorEastAsia" w:cstheme="minorBidi"/>
          <w:sz w:val="22"/>
          <w:szCs w:val="22"/>
          <w:lang w:eastAsia="cs-CZ"/>
        </w:rPr>
      </w:pPr>
      <w:hyperlink w:anchor="_Toc106622209" w:history="1">
        <w:r w:rsidRPr="0071546B">
          <w:rPr>
            <w:rStyle w:val="Hyperlink"/>
            <w:noProof/>
          </w:rPr>
          <w:t>3.2</w:t>
        </w:r>
        <w:r>
          <w:rPr>
            <w:rFonts w:eastAsiaTheme="minorEastAsia" w:cstheme="minorBidi"/>
            <w:sz w:val="22"/>
            <w:szCs w:val="22"/>
            <w:lang w:eastAsia="cs-CZ"/>
          </w:rPr>
          <w:tab/>
        </w:r>
        <w:r w:rsidRPr="0071546B">
          <w:rPr>
            <w:rStyle w:val="Hyperlink"/>
            <w:noProof/>
          </w:rPr>
          <w:t>Stanovení výše ceny služebnosti</w:t>
        </w:r>
        <w:r>
          <w:rPr>
            <w:webHidden/>
          </w:rPr>
          <w:tab/>
        </w:r>
        <w:r>
          <w:rPr>
            <w:webHidden/>
          </w:rPr>
          <w:fldChar w:fldCharType="begin"/>
        </w:r>
        <w:r>
          <w:rPr>
            <w:webHidden/>
          </w:rPr>
          <w:instrText xml:space="preserve"> PAGEREF _Toc106622209 \h </w:instrText>
        </w:r>
        <w:r>
          <w:rPr>
            <w:webHidden/>
          </w:rPr>
        </w:r>
        <w:r>
          <w:rPr>
            <w:webHidden/>
          </w:rPr>
          <w:fldChar w:fldCharType="separate"/>
        </w:r>
        <w:r>
          <w:rPr>
            <w:webHidden/>
          </w:rPr>
          <w:t>9</w:t>
        </w:r>
        <w:r>
          <w:rPr>
            <w:webHidden/>
          </w:rPr>
          <w:fldChar w:fldCharType="end"/>
        </w:r>
      </w:hyperlink>
    </w:p>
    <w:p w14:paraId="0EEDBB52" w14:textId="0E9FACA5" w:rsidR="00191908" w:rsidRDefault="00191908">
      <w:pPr>
        <w:pStyle w:val="TOC3"/>
        <w:tabs>
          <w:tab w:val="left" w:pos="660"/>
        </w:tabs>
        <w:rPr>
          <w:rFonts w:eastAsiaTheme="minorEastAsia" w:cstheme="minorBidi"/>
          <w:i w:val="0"/>
          <w:color w:val="auto"/>
          <w:sz w:val="22"/>
          <w:szCs w:val="22"/>
          <w:lang w:eastAsia="cs-CZ"/>
        </w:rPr>
      </w:pPr>
      <w:hyperlink w:anchor="_Toc106622210" w:history="1">
        <w:r w:rsidRPr="0071546B">
          <w:rPr>
            <w:rStyle w:val="Hyperlink"/>
            <w:noProof/>
          </w:rPr>
          <w:t>3.2.1</w:t>
        </w:r>
        <w:r>
          <w:rPr>
            <w:rFonts w:eastAsiaTheme="minorEastAsia" w:cstheme="minorBidi"/>
            <w:i w:val="0"/>
            <w:color w:val="auto"/>
            <w:sz w:val="22"/>
            <w:szCs w:val="22"/>
            <w:lang w:eastAsia="cs-CZ"/>
          </w:rPr>
          <w:tab/>
        </w:r>
        <w:r w:rsidRPr="0071546B">
          <w:rPr>
            <w:rStyle w:val="Hyperlink"/>
            <w:noProof/>
          </w:rPr>
          <w:t>Běžná praxe</w:t>
        </w:r>
        <w:r>
          <w:rPr>
            <w:webHidden/>
          </w:rPr>
          <w:tab/>
        </w:r>
        <w:r>
          <w:rPr>
            <w:webHidden/>
          </w:rPr>
          <w:fldChar w:fldCharType="begin"/>
        </w:r>
        <w:r>
          <w:rPr>
            <w:webHidden/>
          </w:rPr>
          <w:instrText xml:space="preserve"> PAGEREF _Toc106622210 \h </w:instrText>
        </w:r>
        <w:r>
          <w:rPr>
            <w:webHidden/>
          </w:rPr>
        </w:r>
        <w:r>
          <w:rPr>
            <w:webHidden/>
          </w:rPr>
          <w:fldChar w:fldCharType="separate"/>
        </w:r>
        <w:r>
          <w:rPr>
            <w:webHidden/>
          </w:rPr>
          <w:t>9</w:t>
        </w:r>
        <w:r>
          <w:rPr>
            <w:webHidden/>
          </w:rPr>
          <w:fldChar w:fldCharType="end"/>
        </w:r>
      </w:hyperlink>
    </w:p>
    <w:p w14:paraId="5137E0E0" w14:textId="2AE1A318" w:rsidR="00191908" w:rsidRDefault="00191908">
      <w:pPr>
        <w:pStyle w:val="TOC3"/>
        <w:tabs>
          <w:tab w:val="left" w:pos="660"/>
        </w:tabs>
        <w:rPr>
          <w:rFonts w:eastAsiaTheme="minorEastAsia" w:cstheme="minorBidi"/>
          <w:i w:val="0"/>
          <w:color w:val="auto"/>
          <w:sz w:val="22"/>
          <w:szCs w:val="22"/>
          <w:lang w:eastAsia="cs-CZ"/>
        </w:rPr>
      </w:pPr>
      <w:hyperlink w:anchor="_Toc106622211" w:history="1">
        <w:r w:rsidRPr="0071546B">
          <w:rPr>
            <w:rStyle w:val="Hyperlink"/>
            <w:noProof/>
          </w:rPr>
          <w:t>3.2.2</w:t>
        </w:r>
        <w:r>
          <w:rPr>
            <w:rFonts w:eastAsiaTheme="minorEastAsia" w:cstheme="minorBidi"/>
            <w:i w:val="0"/>
            <w:color w:val="auto"/>
            <w:sz w:val="22"/>
            <w:szCs w:val="22"/>
            <w:lang w:eastAsia="cs-CZ"/>
          </w:rPr>
          <w:tab/>
        </w:r>
        <w:r w:rsidRPr="0071546B">
          <w:rPr>
            <w:rStyle w:val="Hyperlink"/>
            <w:noProof/>
          </w:rPr>
          <w:t>Návrh doporučení</w:t>
        </w:r>
        <w:r>
          <w:rPr>
            <w:webHidden/>
          </w:rPr>
          <w:tab/>
        </w:r>
        <w:r>
          <w:rPr>
            <w:webHidden/>
          </w:rPr>
          <w:fldChar w:fldCharType="begin"/>
        </w:r>
        <w:r>
          <w:rPr>
            <w:webHidden/>
          </w:rPr>
          <w:instrText xml:space="preserve"> PAGEREF _Toc106622211 \h </w:instrText>
        </w:r>
        <w:r>
          <w:rPr>
            <w:webHidden/>
          </w:rPr>
        </w:r>
        <w:r>
          <w:rPr>
            <w:webHidden/>
          </w:rPr>
          <w:fldChar w:fldCharType="separate"/>
        </w:r>
        <w:r>
          <w:rPr>
            <w:webHidden/>
          </w:rPr>
          <w:t>10</w:t>
        </w:r>
        <w:r>
          <w:rPr>
            <w:webHidden/>
          </w:rPr>
          <w:fldChar w:fldCharType="end"/>
        </w:r>
      </w:hyperlink>
    </w:p>
    <w:p w14:paraId="67BAD208" w14:textId="7F8BA9A9" w:rsidR="00191908" w:rsidRDefault="00191908">
      <w:pPr>
        <w:pStyle w:val="TOC2"/>
        <w:tabs>
          <w:tab w:val="left" w:pos="660"/>
          <w:tab w:val="right" w:leader="dot" w:pos="10082"/>
        </w:tabs>
        <w:rPr>
          <w:rFonts w:eastAsiaTheme="minorEastAsia" w:cstheme="minorBidi"/>
          <w:sz w:val="22"/>
          <w:szCs w:val="22"/>
          <w:lang w:eastAsia="cs-CZ"/>
        </w:rPr>
      </w:pPr>
      <w:hyperlink w:anchor="_Toc106622212" w:history="1">
        <w:r w:rsidRPr="0071546B">
          <w:rPr>
            <w:rStyle w:val="Hyperlink"/>
            <w:noProof/>
          </w:rPr>
          <w:t>3.3</w:t>
        </w:r>
        <w:r>
          <w:rPr>
            <w:rFonts w:eastAsiaTheme="minorEastAsia" w:cstheme="minorBidi"/>
            <w:sz w:val="22"/>
            <w:szCs w:val="22"/>
            <w:lang w:eastAsia="cs-CZ"/>
          </w:rPr>
          <w:tab/>
        </w:r>
        <w:r w:rsidRPr="0071546B">
          <w:rPr>
            <w:rStyle w:val="Hyperlink"/>
            <w:noProof/>
          </w:rPr>
          <w:t>Nastavení pravidel a povinností pro nájemce či vlastníky datových sítí</w:t>
        </w:r>
        <w:r>
          <w:rPr>
            <w:webHidden/>
          </w:rPr>
          <w:tab/>
        </w:r>
        <w:r>
          <w:rPr>
            <w:webHidden/>
          </w:rPr>
          <w:fldChar w:fldCharType="begin"/>
        </w:r>
        <w:r>
          <w:rPr>
            <w:webHidden/>
          </w:rPr>
          <w:instrText xml:space="preserve"> PAGEREF _Toc106622212 \h </w:instrText>
        </w:r>
        <w:r>
          <w:rPr>
            <w:webHidden/>
          </w:rPr>
        </w:r>
        <w:r>
          <w:rPr>
            <w:webHidden/>
          </w:rPr>
          <w:fldChar w:fldCharType="separate"/>
        </w:r>
        <w:r>
          <w:rPr>
            <w:webHidden/>
          </w:rPr>
          <w:t>11</w:t>
        </w:r>
        <w:r>
          <w:rPr>
            <w:webHidden/>
          </w:rPr>
          <w:fldChar w:fldCharType="end"/>
        </w:r>
      </w:hyperlink>
    </w:p>
    <w:p w14:paraId="051862E3" w14:textId="75B38234" w:rsidR="00191908" w:rsidRDefault="00191908">
      <w:pPr>
        <w:pStyle w:val="TOC3"/>
        <w:tabs>
          <w:tab w:val="left" w:pos="660"/>
        </w:tabs>
        <w:rPr>
          <w:rFonts w:eastAsiaTheme="minorEastAsia" w:cstheme="minorBidi"/>
          <w:i w:val="0"/>
          <w:color w:val="auto"/>
          <w:sz w:val="22"/>
          <w:szCs w:val="22"/>
          <w:lang w:eastAsia="cs-CZ"/>
        </w:rPr>
      </w:pPr>
      <w:hyperlink w:anchor="_Toc106622213" w:history="1">
        <w:r w:rsidRPr="0071546B">
          <w:rPr>
            <w:rStyle w:val="Hyperlink"/>
            <w:noProof/>
          </w:rPr>
          <w:t>3.3.1</w:t>
        </w:r>
        <w:r>
          <w:rPr>
            <w:rFonts w:eastAsiaTheme="minorEastAsia" w:cstheme="minorBidi"/>
            <w:i w:val="0"/>
            <w:color w:val="auto"/>
            <w:sz w:val="22"/>
            <w:szCs w:val="22"/>
            <w:lang w:eastAsia="cs-CZ"/>
          </w:rPr>
          <w:tab/>
        </w:r>
        <w:r w:rsidRPr="0071546B">
          <w:rPr>
            <w:rStyle w:val="Hyperlink"/>
            <w:noProof/>
          </w:rPr>
          <w:t>Běžná praxe</w:t>
        </w:r>
        <w:r>
          <w:rPr>
            <w:webHidden/>
          </w:rPr>
          <w:tab/>
        </w:r>
        <w:r>
          <w:rPr>
            <w:webHidden/>
          </w:rPr>
          <w:fldChar w:fldCharType="begin"/>
        </w:r>
        <w:r>
          <w:rPr>
            <w:webHidden/>
          </w:rPr>
          <w:instrText xml:space="preserve"> PAGEREF _Toc106622213 \h </w:instrText>
        </w:r>
        <w:r>
          <w:rPr>
            <w:webHidden/>
          </w:rPr>
        </w:r>
        <w:r>
          <w:rPr>
            <w:webHidden/>
          </w:rPr>
          <w:fldChar w:fldCharType="separate"/>
        </w:r>
        <w:r>
          <w:rPr>
            <w:webHidden/>
          </w:rPr>
          <w:t>11</w:t>
        </w:r>
        <w:r>
          <w:rPr>
            <w:webHidden/>
          </w:rPr>
          <w:fldChar w:fldCharType="end"/>
        </w:r>
      </w:hyperlink>
    </w:p>
    <w:p w14:paraId="13965A1C" w14:textId="38F9A20D" w:rsidR="00191908" w:rsidRDefault="00191908">
      <w:pPr>
        <w:pStyle w:val="TOC3"/>
        <w:tabs>
          <w:tab w:val="left" w:pos="660"/>
        </w:tabs>
        <w:rPr>
          <w:rFonts w:eastAsiaTheme="minorEastAsia" w:cstheme="minorBidi"/>
          <w:i w:val="0"/>
          <w:color w:val="auto"/>
          <w:sz w:val="22"/>
          <w:szCs w:val="22"/>
          <w:lang w:eastAsia="cs-CZ"/>
        </w:rPr>
      </w:pPr>
      <w:hyperlink w:anchor="_Toc106622214" w:history="1">
        <w:r w:rsidRPr="0071546B">
          <w:rPr>
            <w:rStyle w:val="Hyperlink"/>
            <w:noProof/>
          </w:rPr>
          <w:t>3.3.2</w:t>
        </w:r>
        <w:r>
          <w:rPr>
            <w:rFonts w:eastAsiaTheme="minorEastAsia" w:cstheme="minorBidi"/>
            <w:i w:val="0"/>
            <w:color w:val="auto"/>
            <w:sz w:val="22"/>
            <w:szCs w:val="22"/>
            <w:lang w:eastAsia="cs-CZ"/>
          </w:rPr>
          <w:tab/>
        </w:r>
        <w:r w:rsidRPr="0071546B">
          <w:rPr>
            <w:rStyle w:val="Hyperlink"/>
            <w:noProof/>
          </w:rPr>
          <w:t>Návrh doporučení</w:t>
        </w:r>
        <w:r>
          <w:rPr>
            <w:webHidden/>
          </w:rPr>
          <w:tab/>
        </w:r>
        <w:r>
          <w:rPr>
            <w:webHidden/>
          </w:rPr>
          <w:fldChar w:fldCharType="begin"/>
        </w:r>
        <w:r>
          <w:rPr>
            <w:webHidden/>
          </w:rPr>
          <w:instrText xml:space="preserve"> PAGEREF _Toc106622214 \h </w:instrText>
        </w:r>
        <w:r>
          <w:rPr>
            <w:webHidden/>
          </w:rPr>
        </w:r>
        <w:r>
          <w:rPr>
            <w:webHidden/>
          </w:rPr>
          <w:fldChar w:fldCharType="separate"/>
        </w:r>
        <w:r>
          <w:rPr>
            <w:webHidden/>
          </w:rPr>
          <w:t>11</w:t>
        </w:r>
        <w:r>
          <w:rPr>
            <w:webHidden/>
          </w:rPr>
          <w:fldChar w:fldCharType="end"/>
        </w:r>
      </w:hyperlink>
    </w:p>
    <w:p w14:paraId="0A0BAE21" w14:textId="31964141" w:rsidR="00191908" w:rsidRDefault="00191908">
      <w:pPr>
        <w:pStyle w:val="TOC2"/>
        <w:tabs>
          <w:tab w:val="left" w:pos="660"/>
          <w:tab w:val="right" w:leader="dot" w:pos="10082"/>
        </w:tabs>
        <w:rPr>
          <w:rFonts w:eastAsiaTheme="minorEastAsia" w:cstheme="minorBidi"/>
          <w:sz w:val="22"/>
          <w:szCs w:val="22"/>
          <w:lang w:eastAsia="cs-CZ"/>
        </w:rPr>
      </w:pPr>
      <w:hyperlink w:anchor="_Toc106622215" w:history="1">
        <w:r w:rsidRPr="0071546B">
          <w:rPr>
            <w:rStyle w:val="Hyperlink"/>
            <w:noProof/>
          </w:rPr>
          <w:t>3.4</w:t>
        </w:r>
        <w:r>
          <w:rPr>
            <w:rFonts w:eastAsiaTheme="minorEastAsia" w:cstheme="minorBidi"/>
            <w:sz w:val="22"/>
            <w:szCs w:val="22"/>
            <w:lang w:eastAsia="cs-CZ"/>
          </w:rPr>
          <w:tab/>
        </w:r>
        <w:r w:rsidRPr="0071546B">
          <w:rPr>
            <w:rStyle w:val="Hyperlink"/>
            <w:noProof/>
          </w:rPr>
          <w:t>Maximální výše ceny za zřízení služebnosti</w:t>
        </w:r>
        <w:r>
          <w:rPr>
            <w:webHidden/>
          </w:rPr>
          <w:tab/>
        </w:r>
        <w:r>
          <w:rPr>
            <w:webHidden/>
          </w:rPr>
          <w:fldChar w:fldCharType="begin"/>
        </w:r>
        <w:r>
          <w:rPr>
            <w:webHidden/>
          </w:rPr>
          <w:instrText xml:space="preserve"> PAGEREF _Toc106622215 \h </w:instrText>
        </w:r>
        <w:r>
          <w:rPr>
            <w:webHidden/>
          </w:rPr>
        </w:r>
        <w:r>
          <w:rPr>
            <w:webHidden/>
          </w:rPr>
          <w:fldChar w:fldCharType="separate"/>
        </w:r>
        <w:r>
          <w:rPr>
            <w:webHidden/>
          </w:rPr>
          <w:t>11</w:t>
        </w:r>
        <w:r>
          <w:rPr>
            <w:webHidden/>
          </w:rPr>
          <w:fldChar w:fldCharType="end"/>
        </w:r>
      </w:hyperlink>
    </w:p>
    <w:p w14:paraId="7D23E62D" w14:textId="466FF103" w:rsidR="00191908" w:rsidRDefault="00191908">
      <w:pPr>
        <w:pStyle w:val="TOC3"/>
        <w:tabs>
          <w:tab w:val="left" w:pos="660"/>
        </w:tabs>
        <w:rPr>
          <w:rFonts w:eastAsiaTheme="minorEastAsia" w:cstheme="minorBidi"/>
          <w:i w:val="0"/>
          <w:color w:val="auto"/>
          <w:sz w:val="22"/>
          <w:szCs w:val="22"/>
          <w:lang w:eastAsia="cs-CZ"/>
        </w:rPr>
      </w:pPr>
      <w:hyperlink w:anchor="_Toc106622216" w:history="1">
        <w:r w:rsidRPr="0071546B">
          <w:rPr>
            <w:rStyle w:val="Hyperlink"/>
            <w:noProof/>
          </w:rPr>
          <w:t>3.4.1</w:t>
        </w:r>
        <w:r>
          <w:rPr>
            <w:rFonts w:eastAsiaTheme="minorEastAsia" w:cstheme="minorBidi"/>
            <w:i w:val="0"/>
            <w:color w:val="auto"/>
            <w:sz w:val="22"/>
            <w:szCs w:val="22"/>
            <w:lang w:eastAsia="cs-CZ"/>
          </w:rPr>
          <w:tab/>
        </w:r>
        <w:r w:rsidRPr="0071546B">
          <w:rPr>
            <w:rStyle w:val="Hyperlink"/>
            <w:noProof/>
          </w:rPr>
          <w:t>Běžná praxe</w:t>
        </w:r>
        <w:r>
          <w:rPr>
            <w:webHidden/>
          </w:rPr>
          <w:tab/>
        </w:r>
        <w:r>
          <w:rPr>
            <w:webHidden/>
          </w:rPr>
          <w:fldChar w:fldCharType="begin"/>
        </w:r>
        <w:r>
          <w:rPr>
            <w:webHidden/>
          </w:rPr>
          <w:instrText xml:space="preserve"> PAGEREF _Toc106622216 \h </w:instrText>
        </w:r>
        <w:r>
          <w:rPr>
            <w:webHidden/>
          </w:rPr>
        </w:r>
        <w:r>
          <w:rPr>
            <w:webHidden/>
          </w:rPr>
          <w:fldChar w:fldCharType="separate"/>
        </w:r>
        <w:r>
          <w:rPr>
            <w:webHidden/>
          </w:rPr>
          <w:t>11</w:t>
        </w:r>
        <w:r>
          <w:rPr>
            <w:webHidden/>
          </w:rPr>
          <w:fldChar w:fldCharType="end"/>
        </w:r>
      </w:hyperlink>
    </w:p>
    <w:p w14:paraId="65424368" w14:textId="17DC484B" w:rsidR="00191908" w:rsidRDefault="00191908">
      <w:pPr>
        <w:pStyle w:val="TOC3"/>
        <w:tabs>
          <w:tab w:val="left" w:pos="660"/>
        </w:tabs>
        <w:rPr>
          <w:rFonts w:eastAsiaTheme="minorEastAsia" w:cstheme="minorBidi"/>
          <w:i w:val="0"/>
          <w:color w:val="auto"/>
          <w:sz w:val="22"/>
          <w:szCs w:val="22"/>
          <w:lang w:eastAsia="cs-CZ"/>
        </w:rPr>
      </w:pPr>
      <w:hyperlink w:anchor="_Toc106622217" w:history="1">
        <w:r w:rsidRPr="0071546B">
          <w:rPr>
            <w:rStyle w:val="Hyperlink"/>
            <w:noProof/>
          </w:rPr>
          <w:t>3.4.2</w:t>
        </w:r>
        <w:r>
          <w:rPr>
            <w:rFonts w:eastAsiaTheme="minorEastAsia" w:cstheme="minorBidi"/>
            <w:i w:val="0"/>
            <w:color w:val="auto"/>
            <w:sz w:val="22"/>
            <w:szCs w:val="22"/>
            <w:lang w:eastAsia="cs-CZ"/>
          </w:rPr>
          <w:tab/>
        </w:r>
        <w:r w:rsidRPr="0071546B">
          <w:rPr>
            <w:rStyle w:val="Hyperlink"/>
            <w:noProof/>
          </w:rPr>
          <w:t>Návrh doporučení</w:t>
        </w:r>
        <w:r>
          <w:rPr>
            <w:webHidden/>
          </w:rPr>
          <w:tab/>
        </w:r>
        <w:r>
          <w:rPr>
            <w:webHidden/>
          </w:rPr>
          <w:fldChar w:fldCharType="begin"/>
        </w:r>
        <w:r>
          <w:rPr>
            <w:webHidden/>
          </w:rPr>
          <w:instrText xml:space="preserve"> PAGEREF _Toc106622217 \h </w:instrText>
        </w:r>
        <w:r>
          <w:rPr>
            <w:webHidden/>
          </w:rPr>
        </w:r>
        <w:r>
          <w:rPr>
            <w:webHidden/>
          </w:rPr>
          <w:fldChar w:fldCharType="separate"/>
        </w:r>
        <w:r>
          <w:rPr>
            <w:webHidden/>
          </w:rPr>
          <w:t>12</w:t>
        </w:r>
        <w:r>
          <w:rPr>
            <w:webHidden/>
          </w:rPr>
          <w:fldChar w:fldCharType="end"/>
        </w:r>
      </w:hyperlink>
    </w:p>
    <w:p w14:paraId="3A20DEBF" w14:textId="77792DF2" w:rsidR="00191908" w:rsidRDefault="00191908">
      <w:pPr>
        <w:pStyle w:val="TOC2"/>
        <w:tabs>
          <w:tab w:val="left" w:pos="660"/>
          <w:tab w:val="right" w:leader="dot" w:pos="10082"/>
        </w:tabs>
        <w:rPr>
          <w:rFonts w:eastAsiaTheme="minorEastAsia" w:cstheme="minorBidi"/>
          <w:sz w:val="22"/>
          <w:szCs w:val="22"/>
          <w:lang w:eastAsia="cs-CZ"/>
        </w:rPr>
      </w:pPr>
      <w:hyperlink w:anchor="_Toc106622218" w:history="1">
        <w:r w:rsidRPr="0071546B">
          <w:rPr>
            <w:rStyle w:val="Hyperlink"/>
            <w:noProof/>
          </w:rPr>
          <w:t>3.5</w:t>
        </w:r>
        <w:r>
          <w:rPr>
            <w:rFonts w:eastAsiaTheme="minorEastAsia" w:cstheme="minorBidi"/>
            <w:sz w:val="22"/>
            <w:szCs w:val="22"/>
            <w:lang w:eastAsia="cs-CZ"/>
          </w:rPr>
          <w:tab/>
        </w:r>
        <w:r w:rsidRPr="0071546B">
          <w:rPr>
            <w:rStyle w:val="Hyperlink"/>
            <w:noProof/>
          </w:rPr>
          <w:t>Dvojí zpoplatnění</w:t>
        </w:r>
        <w:r>
          <w:rPr>
            <w:webHidden/>
          </w:rPr>
          <w:tab/>
        </w:r>
        <w:r>
          <w:rPr>
            <w:webHidden/>
          </w:rPr>
          <w:fldChar w:fldCharType="begin"/>
        </w:r>
        <w:r>
          <w:rPr>
            <w:webHidden/>
          </w:rPr>
          <w:instrText xml:space="preserve"> PAGEREF _Toc106622218 \h </w:instrText>
        </w:r>
        <w:r>
          <w:rPr>
            <w:webHidden/>
          </w:rPr>
        </w:r>
        <w:r>
          <w:rPr>
            <w:webHidden/>
          </w:rPr>
          <w:fldChar w:fldCharType="separate"/>
        </w:r>
        <w:r>
          <w:rPr>
            <w:webHidden/>
          </w:rPr>
          <w:t>12</w:t>
        </w:r>
        <w:r>
          <w:rPr>
            <w:webHidden/>
          </w:rPr>
          <w:fldChar w:fldCharType="end"/>
        </w:r>
      </w:hyperlink>
    </w:p>
    <w:p w14:paraId="1A0E29CB" w14:textId="43B58084" w:rsidR="00191908" w:rsidRDefault="00191908">
      <w:pPr>
        <w:pStyle w:val="TOC3"/>
        <w:tabs>
          <w:tab w:val="left" w:pos="660"/>
        </w:tabs>
        <w:rPr>
          <w:rFonts w:eastAsiaTheme="minorEastAsia" w:cstheme="minorBidi"/>
          <w:i w:val="0"/>
          <w:color w:val="auto"/>
          <w:sz w:val="22"/>
          <w:szCs w:val="22"/>
          <w:lang w:eastAsia="cs-CZ"/>
        </w:rPr>
      </w:pPr>
      <w:hyperlink w:anchor="_Toc106622219" w:history="1">
        <w:r w:rsidRPr="0071546B">
          <w:rPr>
            <w:rStyle w:val="Hyperlink"/>
            <w:noProof/>
          </w:rPr>
          <w:t>3.5.1</w:t>
        </w:r>
        <w:r>
          <w:rPr>
            <w:rFonts w:eastAsiaTheme="minorEastAsia" w:cstheme="minorBidi"/>
            <w:i w:val="0"/>
            <w:color w:val="auto"/>
            <w:sz w:val="22"/>
            <w:szCs w:val="22"/>
            <w:lang w:eastAsia="cs-CZ"/>
          </w:rPr>
          <w:tab/>
        </w:r>
        <w:r w:rsidRPr="0071546B">
          <w:rPr>
            <w:rStyle w:val="Hyperlink"/>
            <w:noProof/>
          </w:rPr>
          <w:t>Běžná praxe</w:t>
        </w:r>
        <w:r>
          <w:rPr>
            <w:webHidden/>
          </w:rPr>
          <w:tab/>
        </w:r>
        <w:r>
          <w:rPr>
            <w:webHidden/>
          </w:rPr>
          <w:fldChar w:fldCharType="begin"/>
        </w:r>
        <w:r>
          <w:rPr>
            <w:webHidden/>
          </w:rPr>
          <w:instrText xml:space="preserve"> PAGEREF _Toc106622219 \h </w:instrText>
        </w:r>
        <w:r>
          <w:rPr>
            <w:webHidden/>
          </w:rPr>
        </w:r>
        <w:r>
          <w:rPr>
            <w:webHidden/>
          </w:rPr>
          <w:fldChar w:fldCharType="separate"/>
        </w:r>
        <w:r>
          <w:rPr>
            <w:webHidden/>
          </w:rPr>
          <w:t>12</w:t>
        </w:r>
        <w:r>
          <w:rPr>
            <w:webHidden/>
          </w:rPr>
          <w:fldChar w:fldCharType="end"/>
        </w:r>
      </w:hyperlink>
    </w:p>
    <w:p w14:paraId="2C661382" w14:textId="656951EC" w:rsidR="00191908" w:rsidRDefault="00191908">
      <w:pPr>
        <w:pStyle w:val="TOC3"/>
        <w:tabs>
          <w:tab w:val="left" w:pos="660"/>
        </w:tabs>
        <w:rPr>
          <w:rFonts w:eastAsiaTheme="minorEastAsia" w:cstheme="minorBidi"/>
          <w:i w:val="0"/>
          <w:color w:val="auto"/>
          <w:sz w:val="22"/>
          <w:szCs w:val="22"/>
          <w:lang w:eastAsia="cs-CZ"/>
        </w:rPr>
      </w:pPr>
      <w:hyperlink w:anchor="_Toc106622220" w:history="1">
        <w:r w:rsidRPr="0071546B">
          <w:rPr>
            <w:rStyle w:val="Hyperlink"/>
            <w:noProof/>
          </w:rPr>
          <w:t>3.5.2</w:t>
        </w:r>
        <w:r>
          <w:rPr>
            <w:rFonts w:eastAsiaTheme="minorEastAsia" w:cstheme="minorBidi"/>
            <w:i w:val="0"/>
            <w:color w:val="auto"/>
            <w:sz w:val="22"/>
            <w:szCs w:val="22"/>
            <w:lang w:eastAsia="cs-CZ"/>
          </w:rPr>
          <w:tab/>
        </w:r>
        <w:r w:rsidRPr="0071546B">
          <w:rPr>
            <w:rStyle w:val="Hyperlink"/>
            <w:noProof/>
          </w:rPr>
          <w:t>Návrh doporučení</w:t>
        </w:r>
        <w:r>
          <w:rPr>
            <w:webHidden/>
          </w:rPr>
          <w:tab/>
        </w:r>
        <w:r>
          <w:rPr>
            <w:webHidden/>
          </w:rPr>
          <w:fldChar w:fldCharType="begin"/>
        </w:r>
        <w:r>
          <w:rPr>
            <w:webHidden/>
          </w:rPr>
          <w:instrText xml:space="preserve"> PAGEREF _Toc106622220 \h </w:instrText>
        </w:r>
        <w:r>
          <w:rPr>
            <w:webHidden/>
          </w:rPr>
        </w:r>
        <w:r>
          <w:rPr>
            <w:webHidden/>
          </w:rPr>
          <w:fldChar w:fldCharType="separate"/>
        </w:r>
        <w:r>
          <w:rPr>
            <w:webHidden/>
          </w:rPr>
          <w:t>12</w:t>
        </w:r>
        <w:r>
          <w:rPr>
            <w:webHidden/>
          </w:rPr>
          <w:fldChar w:fldCharType="end"/>
        </w:r>
      </w:hyperlink>
    </w:p>
    <w:p w14:paraId="630735FF" w14:textId="7D1D6B06" w:rsidR="00191908" w:rsidRDefault="00191908">
      <w:pPr>
        <w:pStyle w:val="TOC1"/>
        <w:tabs>
          <w:tab w:val="left" w:pos="660"/>
        </w:tabs>
        <w:rPr>
          <w:rFonts w:eastAsiaTheme="minorEastAsia" w:cstheme="minorBidi"/>
          <w:b w:val="0"/>
          <w:color w:val="auto"/>
          <w:sz w:val="22"/>
          <w:szCs w:val="22"/>
          <w:lang w:eastAsia="cs-CZ"/>
        </w:rPr>
      </w:pPr>
      <w:hyperlink w:anchor="_Toc106622221" w:history="1">
        <w:r w:rsidRPr="0071546B">
          <w:rPr>
            <w:rStyle w:val="Hyperlink"/>
            <w:noProof/>
            <w14:scene3d>
              <w14:camera w14:prst="orthographicFront"/>
              <w14:lightRig w14:rig="threePt" w14:dir="t">
                <w14:rot w14:lat="0" w14:lon="0" w14:rev="0"/>
              </w14:lightRig>
            </w14:scene3d>
          </w:rPr>
          <w:t>4</w:t>
        </w:r>
        <w:r>
          <w:rPr>
            <w:rFonts w:eastAsiaTheme="minorEastAsia" w:cstheme="minorBidi"/>
            <w:b w:val="0"/>
            <w:color w:val="auto"/>
            <w:sz w:val="22"/>
            <w:szCs w:val="22"/>
            <w:lang w:eastAsia="cs-CZ"/>
          </w:rPr>
          <w:tab/>
        </w:r>
        <w:r w:rsidRPr="0071546B">
          <w:rPr>
            <w:rStyle w:val="Hyperlink"/>
            <w:noProof/>
          </w:rPr>
          <w:t>Závěr, včetně indikace konkrétních změn</w:t>
        </w:r>
        <w:r>
          <w:rPr>
            <w:webHidden/>
          </w:rPr>
          <w:tab/>
        </w:r>
        <w:r>
          <w:rPr>
            <w:webHidden/>
          </w:rPr>
          <w:fldChar w:fldCharType="begin"/>
        </w:r>
        <w:r>
          <w:rPr>
            <w:webHidden/>
          </w:rPr>
          <w:instrText xml:space="preserve"> PAGEREF _Toc106622221 \h </w:instrText>
        </w:r>
        <w:r>
          <w:rPr>
            <w:webHidden/>
          </w:rPr>
        </w:r>
        <w:r>
          <w:rPr>
            <w:webHidden/>
          </w:rPr>
          <w:fldChar w:fldCharType="separate"/>
        </w:r>
        <w:r>
          <w:rPr>
            <w:webHidden/>
          </w:rPr>
          <w:t>13</w:t>
        </w:r>
        <w:r>
          <w:rPr>
            <w:webHidden/>
          </w:rPr>
          <w:fldChar w:fldCharType="end"/>
        </w:r>
      </w:hyperlink>
    </w:p>
    <w:p w14:paraId="7C42AF69" w14:textId="26AF5453" w:rsidR="004F68E6" w:rsidRPr="007A0BA3" w:rsidRDefault="000F5B3F" w:rsidP="004F68E6">
      <w:r w:rsidRPr="007A0BA3">
        <w:rPr>
          <w:rFonts w:cstheme="minorHAnsi"/>
          <w:noProof/>
        </w:rPr>
        <w:fldChar w:fldCharType="end"/>
      </w:r>
    </w:p>
    <w:p w14:paraId="25505A5D" w14:textId="77777777" w:rsidR="004F68E6" w:rsidRPr="007A0BA3" w:rsidRDefault="004F68E6" w:rsidP="004F68E6"/>
    <w:p w14:paraId="16A76825" w14:textId="77777777" w:rsidR="004F68E6" w:rsidRPr="007A0BA3" w:rsidRDefault="004F68E6" w:rsidP="004F68E6"/>
    <w:p w14:paraId="2F531C6C" w14:textId="77777777" w:rsidR="00765195" w:rsidRPr="007A0BA3" w:rsidRDefault="00765195">
      <w:r w:rsidRPr="007A0BA3">
        <w:rPr>
          <w:b/>
        </w:rPr>
        <w:br w:type="page"/>
      </w:r>
    </w:p>
    <w:p w14:paraId="227631EE" w14:textId="2B985096" w:rsidR="00765195" w:rsidRDefault="0003313D" w:rsidP="003E55E4">
      <w:pPr>
        <w:pStyle w:val="Heading1"/>
        <w:framePr w:wrap="around"/>
        <w:ind w:left="709" w:hanging="709"/>
      </w:pPr>
      <w:bookmarkStart w:id="0" w:name="_Toc106622203"/>
      <w:r>
        <w:t>Úvod</w:t>
      </w:r>
      <w:bookmarkEnd w:id="0"/>
    </w:p>
    <w:p w14:paraId="4097AFAC" w14:textId="77777777" w:rsidR="00B72A78" w:rsidRDefault="00B72A78" w:rsidP="0003313D"/>
    <w:p w14:paraId="2ABBC087" w14:textId="0F8F7FDE" w:rsidR="00465688" w:rsidRDefault="00E65B9D" w:rsidP="0057475C">
      <w:pPr>
        <w:jc w:val="both"/>
      </w:pPr>
      <w:r w:rsidRPr="00C2169C">
        <w:t xml:space="preserve">Cílem projektu </w:t>
      </w:r>
      <w:r w:rsidR="00CA3D3A">
        <w:t>je</w:t>
      </w:r>
      <w:r w:rsidR="00C2169C" w:rsidRPr="00C2169C">
        <w:t xml:space="preserve"> vytvoření metodiky, která by definovala a nastavovala postup pro přístup ke služebnosti ze strany Středočeského kraje</w:t>
      </w:r>
      <w:r w:rsidR="009C1BB2">
        <w:t>,</w:t>
      </w:r>
      <w:r w:rsidR="00F54E8B">
        <w:t xml:space="preserve"> a tím naplnění </w:t>
      </w:r>
      <w:r w:rsidR="006B1BAB">
        <w:t xml:space="preserve">úkolu č. 1.1.1 </w:t>
      </w:r>
      <w:r w:rsidR="00C2169C" w:rsidRPr="00C2169C">
        <w:t>tak</w:t>
      </w:r>
      <w:r w:rsidR="009C1BB2">
        <w:t>,</w:t>
      </w:r>
      <w:r w:rsidR="00C2169C" w:rsidRPr="00C2169C">
        <w:t xml:space="preserve"> jak</w:t>
      </w:r>
      <w:r w:rsidR="006B1BAB">
        <w:t xml:space="preserve"> ho</w:t>
      </w:r>
      <w:r w:rsidR="00C2169C" w:rsidRPr="00C2169C">
        <w:t xml:space="preserve"> popisuje dokument Akční plán rozvoje sítí elektronických komunikací na území Středočeského kraje</w:t>
      </w:r>
      <w:r w:rsidR="009C3569">
        <w:t xml:space="preserve">. </w:t>
      </w:r>
      <w:r w:rsidR="004E0356">
        <w:t>Mezi zásadní dílčí oblasti</w:t>
      </w:r>
      <w:r w:rsidR="00397931">
        <w:t xml:space="preserve"> návazné na relevantní </w:t>
      </w:r>
      <w:r w:rsidR="00EF2B59">
        <w:t xml:space="preserve">oblasti k revizi a rozpracování </w:t>
      </w:r>
      <w:r w:rsidR="009C1BB2">
        <w:t xml:space="preserve">ve světle sektoru elektronických komunikací </w:t>
      </w:r>
      <w:r w:rsidR="004E0356">
        <w:t>patří:</w:t>
      </w:r>
    </w:p>
    <w:p w14:paraId="79B8960B" w14:textId="0B55F455" w:rsidR="004E0356" w:rsidRDefault="009A1D9D" w:rsidP="00EA2655">
      <w:pPr>
        <w:pStyle w:val="ListParagraph"/>
        <w:numPr>
          <w:ilvl w:val="0"/>
          <w:numId w:val="18"/>
        </w:numPr>
      </w:pPr>
      <w:r>
        <w:t>Výpočet ceny služebnosti</w:t>
      </w:r>
      <w:r w:rsidR="003377E3">
        <w:t>,</w:t>
      </w:r>
    </w:p>
    <w:p w14:paraId="4DBBE73A" w14:textId="0789FE2C" w:rsidR="004025CD" w:rsidRDefault="004025CD" w:rsidP="00EA2655">
      <w:pPr>
        <w:pStyle w:val="ListParagraph"/>
        <w:numPr>
          <w:ilvl w:val="0"/>
          <w:numId w:val="18"/>
        </w:numPr>
      </w:pPr>
      <w:r>
        <w:t>N</w:t>
      </w:r>
      <w:r w:rsidRPr="004025CD">
        <w:t>astavení pravidel a povinností pro nájemce či vlastníky datových sítí</w:t>
      </w:r>
      <w:r w:rsidR="003377E3">
        <w:t>,</w:t>
      </w:r>
    </w:p>
    <w:p w14:paraId="3F0B1B69" w14:textId="36E66D23" w:rsidR="00EF3293" w:rsidRDefault="00EF3293" w:rsidP="00EA2655">
      <w:pPr>
        <w:pStyle w:val="ListParagraph"/>
        <w:numPr>
          <w:ilvl w:val="0"/>
          <w:numId w:val="18"/>
        </w:numPr>
      </w:pPr>
      <w:r w:rsidRPr="00B40E5C">
        <w:t>Definice maximální výše ceny za zřízení služebnosti</w:t>
      </w:r>
      <w:r w:rsidR="003377E3">
        <w:t>.</w:t>
      </w:r>
    </w:p>
    <w:p w14:paraId="519897FD" w14:textId="0A74FB79" w:rsidR="002F3477" w:rsidRDefault="002F3477" w:rsidP="0057475C">
      <w:pPr>
        <w:jc w:val="both"/>
      </w:pPr>
      <w:r>
        <w:t xml:space="preserve">Dílčím postupem je analýza současného stavu zpoplatnění služebností a věcných břemen, </w:t>
      </w:r>
      <w:r w:rsidR="00167D8C">
        <w:t>analýza relevantní praxe a metodických pokynů (legislativních východisek) a vytvoření doporučení pro revizi či doplnění současné metodiky/ceníku zpoplatnění věcných břemen.</w:t>
      </w:r>
    </w:p>
    <w:p w14:paraId="510C927D" w14:textId="66A38896" w:rsidR="00157885" w:rsidRDefault="009C3569" w:rsidP="00C2169C">
      <w:r>
        <w:t>S</w:t>
      </w:r>
      <w:r w:rsidR="00AF386C">
        <w:t>amotný Akční plán</w:t>
      </w:r>
      <w:r w:rsidR="007D65AC">
        <w:t xml:space="preserve"> vychází </w:t>
      </w:r>
      <w:r w:rsidR="006F6735">
        <w:t>ze</w:t>
      </w:r>
      <w:r w:rsidR="003B6A45">
        <w:t xml:space="preserve"> </w:t>
      </w:r>
      <w:r w:rsidR="003B6A45" w:rsidRPr="003A35F9">
        <w:rPr>
          <w:b/>
          <w:bCs/>
        </w:rPr>
        <w:t>strategických dokumentů Středočeského kraje</w:t>
      </w:r>
      <w:r w:rsidR="001F4DBF">
        <w:t>,</w:t>
      </w:r>
      <w:r w:rsidR="006F6735">
        <w:t xml:space="preserve"> </w:t>
      </w:r>
      <w:r w:rsidR="00B663DF">
        <w:t xml:space="preserve">mezi které </w:t>
      </w:r>
      <w:r w:rsidR="001F4DBF">
        <w:t>patří</w:t>
      </w:r>
    </w:p>
    <w:p w14:paraId="2D0D40E1" w14:textId="77777777" w:rsidR="00157885" w:rsidRDefault="00CB6BDF" w:rsidP="00EA2655">
      <w:pPr>
        <w:pStyle w:val="ListParagraph"/>
        <w:numPr>
          <w:ilvl w:val="0"/>
          <w:numId w:val="17"/>
        </w:numPr>
      </w:pPr>
      <w:r w:rsidRPr="00CB6BDF">
        <w:t xml:space="preserve">„Akční plán k RIS3 strategii středočeského kraje pro rok 2021“, </w:t>
      </w:r>
    </w:p>
    <w:p w14:paraId="14E8D35B" w14:textId="77777777" w:rsidR="00201C7E" w:rsidRDefault="00CB6BDF" w:rsidP="00EA2655">
      <w:pPr>
        <w:pStyle w:val="ListParagraph"/>
        <w:numPr>
          <w:ilvl w:val="0"/>
          <w:numId w:val="17"/>
        </w:numPr>
      </w:pPr>
      <w:r w:rsidRPr="00CB6BDF">
        <w:t>„Strategie rozvoje územního obvodu středočeského kraje na období 2019-2024, s výhledem do 2030“ a</w:t>
      </w:r>
    </w:p>
    <w:p w14:paraId="46A6C305" w14:textId="4D6CD9EC" w:rsidR="00F24E86" w:rsidRDefault="00CB6BDF" w:rsidP="00EA2655">
      <w:pPr>
        <w:pStyle w:val="ListParagraph"/>
        <w:numPr>
          <w:ilvl w:val="0"/>
          <w:numId w:val="17"/>
        </w:numPr>
      </w:pPr>
      <w:r w:rsidRPr="00CB6BDF">
        <w:t>„Národní výzkumná a inovační strategie pro inteligentní specializaci České republiky (Národní RIS3 strategie) 2014–2020 (aktualizace 2018)“</w:t>
      </w:r>
      <w:r w:rsidR="00A96576">
        <w:t>.</w:t>
      </w:r>
    </w:p>
    <w:p w14:paraId="51F84800" w14:textId="008B798D" w:rsidR="00651DD6" w:rsidRDefault="00651DD6" w:rsidP="0057475C">
      <w:pPr>
        <w:jc w:val="both"/>
      </w:pPr>
      <w:r>
        <w:t xml:space="preserve">Tvorba metodiky </w:t>
      </w:r>
      <w:r w:rsidRPr="00651DD6">
        <w:rPr>
          <w:b/>
          <w:bCs/>
        </w:rPr>
        <w:t>pomůže naplnit vyšší cíle kraje</w:t>
      </w:r>
      <w:r>
        <w:t xml:space="preserve">, konkrétně se jedná o naplnění specifického cíle 7.1 – </w:t>
      </w:r>
      <w:r w:rsidRPr="00651DD6">
        <w:rPr>
          <w:i/>
          <w:iCs/>
        </w:rPr>
        <w:t>Zajistit vybavenost celého kraje ICT infrastrukturou pro podnikání založenou na rychlém přenosu dat, práci z domova, bezpečné a spolehlivé služby infrastruktury pro obyvatelstvo</w:t>
      </w:r>
      <w:r>
        <w:t xml:space="preserve">, který se je součástí </w:t>
      </w:r>
      <w:r w:rsidRPr="00CB6BDF">
        <w:t>Strategie rozvoje územního obvodu středočeského kraje na období 2019-2024, s výhledem do 2030</w:t>
      </w:r>
      <w:r>
        <w:t>.</w:t>
      </w:r>
    </w:p>
    <w:p w14:paraId="3E0336B0" w14:textId="36EF4F23" w:rsidR="006F6735" w:rsidRDefault="008C7444" w:rsidP="0057475C">
      <w:pPr>
        <w:jc w:val="both"/>
      </w:pPr>
      <w:r>
        <w:t xml:space="preserve">Současně </w:t>
      </w:r>
      <w:r w:rsidR="005B3985">
        <w:t xml:space="preserve">nastavení a revize metodiky v duchů výše zmíněných okruhů pomůže zajistit naplnění dalších národních strategii a akčních plánů. </w:t>
      </w:r>
      <w:r w:rsidR="00624693">
        <w:t>Samotný A</w:t>
      </w:r>
      <w:r w:rsidR="00651DD6" w:rsidRPr="00C2169C">
        <w:t>kční plán rozvoje sítí elektronických komunikací</w:t>
      </w:r>
      <w:r w:rsidR="00D77CB2">
        <w:t xml:space="preserve"> </w:t>
      </w:r>
      <w:r w:rsidR="00624693">
        <w:t xml:space="preserve">Středočeského kraje </w:t>
      </w:r>
      <w:r w:rsidR="00B663DF">
        <w:t xml:space="preserve">rovněž </w:t>
      </w:r>
      <w:r w:rsidR="007D5DCA">
        <w:t>navazuje na</w:t>
      </w:r>
      <w:r w:rsidR="00B663DF">
        <w:t xml:space="preserve"> </w:t>
      </w:r>
      <w:r w:rsidR="00B663DF" w:rsidRPr="003A35F9">
        <w:rPr>
          <w:b/>
          <w:bCs/>
        </w:rPr>
        <w:t>národní strategické dokumenty</w:t>
      </w:r>
      <w:r w:rsidR="00B663DF">
        <w:t>, konkrétně</w:t>
      </w:r>
      <w:r w:rsidR="007D5DCA">
        <w:t xml:space="preserve"> na</w:t>
      </w:r>
      <w:r w:rsidR="00D36FF5">
        <w:t xml:space="preserve"> </w:t>
      </w:r>
      <w:r w:rsidR="00D36FF5" w:rsidRPr="00B40E5C">
        <w:t>„Národní plán rozvoje sítí s velmi vysokou kapacitou“</w:t>
      </w:r>
      <w:r w:rsidR="00D36FF5">
        <w:t xml:space="preserve">, který se zabývá </w:t>
      </w:r>
      <w:r w:rsidR="00D878F2" w:rsidRPr="00D878F2">
        <w:t>především tzv. sítěmi s velmi vysokou kapacitou (VHCN)</w:t>
      </w:r>
      <w:r w:rsidR="00C97074">
        <w:t xml:space="preserve"> nezbytnými</w:t>
      </w:r>
      <w:r w:rsidR="00D878F2" w:rsidRPr="00D878F2">
        <w:t xml:space="preserve"> k zavedení a rozvoji spolehlivého, bezpečného a rychlejšího připojení k internetu na území celé České republiky.</w:t>
      </w:r>
    </w:p>
    <w:p w14:paraId="26426056" w14:textId="58F801FD" w:rsidR="00E05938" w:rsidRDefault="006C3758" w:rsidP="0057475C">
      <w:pPr>
        <w:jc w:val="both"/>
      </w:pPr>
      <w:r w:rsidRPr="006C3758">
        <w:t>Národní</w:t>
      </w:r>
      <w:r>
        <w:t>mu</w:t>
      </w:r>
      <w:r w:rsidRPr="006C3758">
        <w:t xml:space="preserve"> plán</w:t>
      </w:r>
      <w:r>
        <w:t>u</w:t>
      </w:r>
      <w:r w:rsidRPr="006C3758">
        <w:t xml:space="preserve"> rozvoje sítí s velmi vysokou kapacitou </w:t>
      </w:r>
      <w:r>
        <w:t xml:space="preserve">generačně </w:t>
      </w:r>
      <w:r w:rsidRPr="006C3758">
        <w:t xml:space="preserve">předcházel strategický dokument Národní plán rozvoje sítí nové generace, ke kterému byla vydána příloha Akční plán k provedení nedotačních opatření pro podporu plánování a výstavby sítí elektronických komunikací (Akční plán 2.0). Akční plán rozvoje sítí elektronických komunikací území Středočeského kraje </w:t>
      </w:r>
      <w:r w:rsidRPr="00B92725">
        <w:rPr>
          <w:b/>
          <w:bCs/>
        </w:rPr>
        <w:t>přímo vychází z tohoto Akčního plánu 2.0</w:t>
      </w:r>
      <w:r w:rsidRPr="006C3758">
        <w:t>, který schválila Vláda České republiky usnesením č. 778 dne 4. listopadu 2019.</w:t>
      </w:r>
    </w:p>
    <w:p w14:paraId="56E67F2C" w14:textId="41A4415B" w:rsidR="00276B72" w:rsidRPr="00EE2EB8" w:rsidRDefault="001D7A66" w:rsidP="0057475C">
      <w:pPr>
        <w:jc w:val="both"/>
      </w:pPr>
      <w:r>
        <w:t>Ambicí je mimo jiné t</w:t>
      </w:r>
      <w:r w:rsidR="00180BBB">
        <w:t xml:space="preserve">uto metodickou změnu promítnout do současného ceníků platného </w:t>
      </w:r>
      <w:r w:rsidR="0096227D">
        <w:t>k úhradě nájemného, náhrady za zřízení věcného břemene a za omezení užívání silnic II. a III. třídy ve Středočeském kraji (schválení usnesením Zastup</w:t>
      </w:r>
      <w:r w:rsidR="0082579B">
        <w:t>itelstva Středočeského kraje č. 014-14/2022/ZK ze dne 28.3.2022</w:t>
      </w:r>
      <w:r w:rsidR="00BF2BF4">
        <w:t xml:space="preserve"> a v relevantních pasážích využít tento ceník jako doporučený vzor postupu při zřizová</w:t>
      </w:r>
      <w:r w:rsidR="00E310D2">
        <w:t xml:space="preserve">ní </w:t>
      </w:r>
      <w:r w:rsidR="0057306E">
        <w:t xml:space="preserve">věcných břemen i na </w:t>
      </w:r>
      <w:r w:rsidR="00D549CC">
        <w:t xml:space="preserve">dalším majetku kraje, či krajem </w:t>
      </w:r>
      <w:r w:rsidR="00E76A93">
        <w:t>zřízených organizacích</w:t>
      </w:r>
      <w:r w:rsidR="00033C43">
        <w:t xml:space="preserve"> či </w:t>
      </w:r>
      <w:r w:rsidR="00CB5A58">
        <w:t xml:space="preserve">organizacích </w:t>
      </w:r>
      <w:r w:rsidR="00EE2EB8">
        <w:t>působících v daném kraji.</w:t>
      </w:r>
    </w:p>
    <w:p w14:paraId="003065F5" w14:textId="7034E4B0" w:rsidR="004F68E6" w:rsidRPr="001B1408" w:rsidRDefault="001B1408" w:rsidP="003E55E4">
      <w:pPr>
        <w:pStyle w:val="Heading1"/>
        <w:framePr w:h="3223" w:hRule="exact" w:wrap="around"/>
        <w:ind w:left="709" w:hanging="709"/>
      </w:pPr>
      <w:bookmarkStart w:id="1" w:name="_Toc106622204"/>
      <w:r>
        <w:t xml:space="preserve">Metodika </w:t>
      </w:r>
      <w:r w:rsidRPr="001B1408">
        <w:t>přístupu ke služebnosti</w:t>
      </w:r>
      <w:r>
        <w:t xml:space="preserve"> –</w:t>
      </w:r>
      <w:r w:rsidRPr="001B1408">
        <w:t xml:space="preserve"> </w:t>
      </w:r>
      <w:r w:rsidR="00B12329" w:rsidRPr="001B1408">
        <w:t>Úvodní analýza</w:t>
      </w:r>
      <w:bookmarkEnd w:id="1"/>
    </w:p>
    <w:p w14:paraId="765415D7" w14:textId="63B2A484" w:rsidR="0042347D" w:rsidRDefault="007E4B9E" w:rsidP="0057475C">
      <w:pPr>
        <w:pStyle w:val="BodyText"/>
        <w:jc w:val="both"/>
      </w:pPr>
      <w:bookmarkStart w:id="2" w:name="_Toc304190308"/>
      <w:r>
        <w:t xml:space="preserve">V současnosti </w:t>
      </w:r>
      <w:r w:rsidR="00B16908">
        <w:t>se</w:t>
      </w:r>
      <w:r w:rsidR="002115E8">
        <w:t xml:space="preserve"> </w:t>
      </w:r>
      <w:r w:rsidR="00294E6D">
        <w:t>určení náhrady za zřízení věcného břemen</w:t>
      </w:r>
      <w:r w:rsidR="00B13CA5">
        <w:t>e na krajském majetku</w:t>
      </w:r>
      <w:r w:rsidR="00294E6D">
        <w:t xml:space="preserve"> </w:t>
      </w:r>
      <w:r w:rsidR="00B16908">
        <w:t>řídí</w:t>
      </w:r>
      <w:r w:rsidR="00294E6D">
        <w:t xml:space="preserve"> ceník</w:t>
      </w:r>
      <w:r w:rsidR="00692B84">
        <w:t xml:space="preserve">em </w:t>
      </w:r>
      <w:r w:rsidR="00BA4C26">
        <w:t xml:space="preserve">sloužícím </w:t>
      </w:r>
      <w:r w:rsidR="00B16908">
        <w:t>„</w:t>
      </w:r>
      <w:r w:rsidR="00692B84" w:rsidRPr="00B16908">
        <w:rPr>
          <w:i/>
          <w:iCs/>
        </w:rPr>
        <w:t xml:space="preserve">k úhradě nájemného, náhrady za zřízení věcného břemena a za užívání silnic II. </w:t>
      </w:r>
      <w:r w:rsidR="00692B84" w:rsidRPr="00BA4C26">
        <w:rPr>
          <w:i/>
          <w:iCs/>
        </w:rPr>
        <w:t>a III.</w:t>
      </w:r>
      <w:r w:rsidR="00B24CDF" w:rsidRPr="00BA4C26">
        <w:rPr>
          <w:i/>
          <w:iCs/>
        </w:rPr>
        <w:t xml:space="preserve"> ve Středočeském kraji</w:t>
      </w:r>
      <w:r w:rsidR="00B16908">
        <w:t>“</w:t>
      </w:r>
      <w:r w:rsidR="00366C09">
        <w:t>, schváleným Zastupitelst</w:t>
      </w:r>
      <w:r w:rsidR="00C1200D">
        <w:t>vem Středočeského kraje</w:t>
      </w:r>
      <w:r w:rsidR="00B16908">
        <w:t xml:space="preserve"> dne 28.3.2022.</w:t>
      </w:r>
      <w:r w:rsidR="00FD7F6F">
        <w:t xml:space="preserve"> Dokument upravuje obecné a specifické zásady při uzavírání smluvních vztahů a postup při projednávání a umisťová</w:t>
      </w:r>
      <w:r w:rsidR="00F41EF5">
        <w:t>ní inženýrských sítí, jiných vedení a zařízení do silničních pozemků a staveb.</w:t>
      </w:r>
      <w:r w:rsidR="00662594">
        <w:t xml:space="preserve"> Pod pojmem smluvní vztah</w:t>
      </w:r>
      <w:r w:rsidR="004B307A">
        <w:t xml:space="preserve"> se rozumí nájemní smlouva, smlouva o náhradě za omezení užívání</w:t>
      </w:r>
      <w:r w:rsidR="00F3140B">
        <w:t xml:space="preserve"> silnice, smlouva o smlouvě budoucí o zřízení věcného břemene a smlouva o zřízení věc</w:t>
      </w:r>
      <w:r w:rsidR="009417A9">
        <w:t>ného břemena</w:t>
      </w:r>
      <w:r w:rsidR="001B395A">
        <w:rPr>
          <w:rStyle w:val="FootnoteReference"/>
        </w:rPr>
        <w:footnoteReference w:id="2"/>
      </w:r>
      <w:r w:rsidR="009417A9">
        <w:t>.</w:t>
      </w:r>
      <w:r w:rsidR="00C0140A">
        <w:t xml:space="preserve"> </w:t>
      </w:r>
    </w:p>
    <w:p w14:paraId="000B978E" w14:textId="62776A1A" w:rsidR="00DF55B5" w:rsidRDefault="007118D6" w:rsidP="0057475C">
      <w:pPr>
        <w:pStyle w:val="BodyText"/>
        <w:jc w:val="both"/>
      </w:pPr>
      <w:r w:rsidRPr="008D4F6A">
        <w:rPr>
          <w:i/>
          <w:iCs/>
        </w:rPr>
        <w:t xml:space="preserve">Smlouvu </w:t>
      </w:r>
      <w:r w:rsidR="006E09B2" w:rsidRPr="008D4F6A">
        <w:rPr>
          <w:i/>
          <w:iCs/>
        </w:rPr>
        <w:t>o smlouvě budoucí o zřízení věcného břemene</w:t>
      </w:r>
      <w:r w:rsidR="006E09B2">
        <w:t xml:space="preserve"> a </w:t>
      </w:r>
      <w:r w:rsidR="008D4F6A">
        <w:rPr>
          <w:i/>
          <w:iCs/>
        </w:rPr>
        <w:t>S</w:t>
      </w:r>
      <w:r w:rsidR="006E09B2" w:rsidRPr="008D4F6A">
        <w:rPr>
          <w:i/>
          <w:iCs/>
        </w:rPr>
        <w:t>mlouvu o zřízení věcného břemen</w:t>
      </w:r>
      <w:r w:rsidR="006E09B2">
        <w:t xml:space="preserve"> lze uzavřít pouze</w:t>
      </w:r>
      <w:r w:rsidR="00856503">
        <w:t xml:space="preserve"> v situaci, „</w:t>
      </w:r>
      <w:r w:rsidR="00856503" w:rsidRPr="009A7CEC">
        <w:rPr>
          <w:i/>
          <w:iCs/>
        </w:rPr>
        <w:t>kdy je příslušný pozemek ve vlastnictví Středočeského kraje</w:t>
      </w:r>
      <w:r w:rsidR="00856503">
        <w:t>“.</w:t>
      </w:r>
      <w:r w:rsidR="00D3410E">
        <w:t xml:space="preserve"> V případech, kdy zařízení bude umístěno do silničního pozemku, který není </w:t>
      </w:r>
      <w:r w:rsidR="00003505">
        <w:t>ve vlastnictví Středočeského kraje a v majetkové správě KSÚS,</w:t>
      </w:r>
      <w:r w:rsidR="00003505" w:rsidRPr="00003505">
        <w:t xml:space="preserve"> ale dochází k omezení užívání silnice ve vlastnictví Středočeského kraj</w:t>
      </w:r>
      <w:r w:rsidR="00003505">
        <w:t>e</w:t>
      </w:r>
      <w:r w:rsidR="00CF6CED">
        <w:t xml:space="preserve">, bude použita </w:t>
      </w:r>
      <w:r w:rsidR="00CF6CED" w:rsidRPr="008D4F6A">
        <w:rPr>
          <w:i/>
          <w:iCs/>
        </w:rPr>
        <w:t>Smlouva o náhradě za omezené používání</w:t>
      </w:r>
      <w:r w:rsidR="00CF6CED">
        <w:t>.</w:t>
      </w:r>
      <w:r w:rsidR="00021B4B">
        <w:t xml:space="preserve"> Zde</w:t>
      </w:r>
      <w:r w:rsidR="009B0B51">
        <w:t xml:space="preserve"> poté</w:t>
      </w:r>
      <w:r w:rsidR="00021B4B">
        <w:t xml:space="preserve"> </w:t>
      </w:r>
      <w:r w:rsidR="00021B4B" w:rsidRPr="00BF13EB">
        <w:rPr>
          <w:b/>
        </w:rPr>
        <w:t>dochází jednak k platbě kraji formou náhrady za omezení, ale také z</w:t>
      </w:r>
      <w:r w:rsidR="00463C91" w:rsidRPr="00BF13EB">
        <w:rPr>
          <w:b/>
        </w:rPr>
        <w:t>a</w:t>
      </w:r>
      <w:r w:rsidR="00021B4B" w:rsidRPr="00BF13EB">
        <w:rPr>
          <w:b/>
        </w:rPr>
        <w:t xml:space="preserve"> </w:t>
      </w:r>
      <w:r w:rsidR="00463C91" w:rsidRPr="00BF13EB">
        <w:rPr>
          <w:b/>
        </w:rPr>
        <w:t>věcné břemeno</w:t>
      </w:r>
      <w:r w:rsidR="00E84F6E" w:rsidRPr="00BF13EB">
        <w:rPr>
          <w:b/>
        </w:rPr>
        <w:t xml:space="preserve"> majiteli</w:t>
      </w:r>
      <w:r w:rsidR="00E84F6E">
        <w:t>.</w:t>
      </w:r>
      <w:r w:rsidR="007F241D">
        <w:t xml:space="preserve"> Lze to považovat tedy za </w:t>
      </w:r>
      <w:r w:rsidR="007F241D" w:rsidRPr="00BF13EB">
        <w:rPr>
          <w:b/>
        </w:rPr>
        <w:t xml:space="preserve">částečně </w:t>
      </w:r>
      <w:r w:rsidR="00BC77C4" w:rsidRPr="00BF13EB">
        <w:rPr>
          <w:b/>
        </w:rPr>
        <w:t>překrývající</w:t>
      </w:r>
      <w:r w:rsidR="007F241D" w:rsidRPr="00BF13EB">
        <w:rPr>
          <w:b/>
        </w:rPr>
        <w:t xml:space="preserve"> </w:t>
      </w:r>
      <w:r w:rsidR="00BC77C4" w:rsidRPr="00BF13EB">
        <w:rPr>
          <w:b/>
        </w:rPr>
        <w:t>zpoplatnění (několikanásobné).</w:t>
      </w:r>
    </w:p>
    <w:p w14:paraId="7203E440" w14:textId="6C1CBE10" w:rsidR="004A03B6" w:rsidRDefault="004A03B6" w:rsidP="0057475C">
      <w:pPr>
        <w:pStyle w:val="BodyText"/>
        <w:jc w:val="both"/>
      </w:pPr>
      <w:r>
        <w:t xml:space="preserve">V rámci smlouvy o náhradě za omezené užívání a smlouvy o budoucí smlouvě o zřízení věcného </w:t>
      </w:r>
      <w:r w:rsidRPr="004A03B6">
        <w:t>břemene</w:t>
      </w:r>
      <w:r w:rsidRPr="004A03B6">
        <w:rPr>
          <w:b/>
          <w:bCs/>
        </w:rPr>
        <w:t xml:space="preserve"> je stanovena náhrada</w:t>
      </w:r>
      <w:r>
        <w:t xml:space="preserve"> za omezené užívání nebo zřízení věcného břemene.</w:t>
      </w:r>
    </w:p>
    <w:p w14:paraId="08326795" w14:textId="0E47C8A0" w:rsidR="0088029E" w:rsidRDefault="0088029E" w:rsidP="001B1408">
      <w:pPr>
        <w:pStyle w:val="Heading2"/>
      </w:pPr>
      <w:bookmarkStart w:id="3" w:name="_Toc106622205"/>
      <w:r>
        <w:t>Určení výše náhrady</w:t>
      </w:r>
      <w:bookmarkEnd w:id="3"/>
    </w:p>
    <w:p w14:paraId="590F0CE0" w14:textId="0D2F819A" w:rsidR="009911A5" w:rsidRDefault="009911A5" w:rsidP="0057475C">
      <w:pPr>
        <w:pStyle w:val="BodyText"/>
        <w:jc w:val="both"/>
      </w:pPr>
      <w:r>
        <w:t xml:space="preserve">Výše náhrady ve smyslu věcného břemena relevantního pro sítě elektronických komunikací je určováno zejména podle stanoveného tabulkového </w:t>
      </w:r>
      <w:r w:rsidR="005909D9">
        <w:t>ceníku jako jednorázová náhrada, popřípadě v dalších případech vzorcem viz níže.</w:t>
      </w:r>
    </w:p>
    <w:p w14:paraId="4545E774" w14:textId="5A69BDAD" w:rsidR="00FA7245" w:rsidRDefault="002F76F1" w:rsidP="0057475C">
      <w:pPr>
        <w:pStyle w:val="BodyText"/>
        <w:jc w:val="both"/>
      </w:pPr>
      <w:r>
        <w:t>Jednorázová náhrada za omezení užívání silnice a za zřízení věcného břemene dle § 25 odst. 6 písm. d)</w:t>
      </w:r>
      <w:r w:rsidR="004F7F5E">
        <w:t xml:space="preserve"> se řídí </w:t>
      </w:r>
      <w:r w:rsidR="004F7F5E" w:rsidRPr="00593ACF">
        <w:rPr>
          <w:b/>
        </w:rPr>
        <w:t>tabulkovým</w:t>
      </w:r>
      <w:r w:rsidR="004F7F5E">
        <w:t xml:space="preserve"> ceníkem</w:t>
      </w:r>
      <w:r w:rsidR="00BF73F2">
        <w:t>.</w:t>
      </w:r>
      <w:r w:rsidR="001D320D">
        <w:t xml:space="preserve"> </w:t>
      </w:r>
      <w:r w:rsidR="00D349E4">
        <w:t xml:space="preserve">Minimální výše </w:t>
      </w:r>
      <w:r w:rsidR="001C33C1">
        <w:t>náhrady za zřízení věcného břemene je dle ceníku 500</w:t>
      </w:r>
      <w:r w:rsidR="00B1020B">
        <w:t>,-</w:t>
      </w:r>
      <w:r w:rsidR="001C33C1">
        <w:t xml:space="preserve"> Kč</w:t>
      </w:r>
      <w:r w:rsidR="00BF4B10">
        <w:t xml:space="preserve"> a</w:t>
      </w:r>
      <w:r w:rsidR="006A4E72">
        <w:t xml:space="preserve"> v</w:t>
      </w:r>
      <w:r w:rsidR="001047E3">
        <w:t> </w:t>
      </w:r>
      <w:r w:rsidR="006A4E72">
        <w:t>případě</w:t>
      </w:r>
      <w:r w:rsidR="001047E3">
        <w:t xml:space="preserve"> smluv uzavíraných v</w:t>
      </w:r>
      <w:r w:rsidR="00363B51">
        <w:t> rámci energe</w:t>
      </w:r>
      <w:r w:rsidR="00460283">
        <w:t>tického zákona</w:t>
      </w:r>
      <w:r w:rsidR="004F4808">
        <w:t xml:space="preserve"> je to 2 000,- Kč</w:t>
      </w:r>
      <w:r w:rsidR="005D4FB6">
        <w:t xml:space="preserve"> na jednotlivý případ</w:t>
      </w:r>
      <w:r w:rsidR="00A778BE">
        <w:t xml:space="preserve"> (</w:t>
      </w:r>
      <w:r w:rsidR="007E36D5">
        <w:t xml:space="preserve">pokrytí </w:t>
      </w:r>
      <w:r w:rsidR="0084213A">
        <w:t>administrativních nákladů</w:t>
      </w:r>
      <w:r w:rsidR="00B76E6E">
        <w:t xml:space="preserve"> a poštovného).</w:t>
      </w:r>
    </w:p>
    <w:p w14:paraId="6BE6DBE3" w14:textId="4AAF61C0" w:rsidR="008D0257" w:rsidRDefault="00A729F5" w:rsidP="0057475C">
      <w:pPr>
        <w:pStyle w:val="BodyText"/>
        <w:jc w:val="both"/>
      </w:pPr>
      <w:r>
        <w:t>Tabulkový c</w:t>
      </w:r>
      <w:r w:rsidR="001D320D">
        <w:t>eník stanovuje maximální výši úhrady</w:t>
      </w:r>
      <w:r w:rsidR="003F4283">
        <w:t xml:space="preserve"> pro obce do 1 000 obyvatel ve výši 100 000 Kč a pro obce nad 1</w:t>
      </w:r>
      <w:r w:rsidR="00FA78FE">
        <w:t xml:space="preserve"> </w:t>
      </w:r>
      <w:r w:rsidR="003F4283">
        <w:t>00</w:t>
      </w:r>
      <w:r w:rsidR="000B6FB5">
        <w:t>0 obyvatel ve výši 150 000 Kč.</w:t>
      </w:r>
    </w:p>
    <w:p w14:paraId="7F06D82D" w14:textId="1002DE98" w:rsidR="008A5C4F" w:rsidRDefault="00C70655" w:rsidP="0057475C">
      <w:pPr>
        <w:pStyle w:val="BodyText"/>
        <w:jc w:val="both"/>
      </w:pPr>
      <w:r>
        <w:t>Typově jde o násl</w:t>
      </w:r>
      <w:r w:rsidR="008A5C4F">
        <w:t>edující ceny pro jednotlivé subjekty</w:t>
      </w:r>
      <w:r w:rsidR="0074094B">
        <w:t>,</w:t>
      </w:r>
      <w:r w:rsidR="00852824">
        <w:t xml:space="preserve"> jak ceník upravuje a ceny podle toho dělí.</w:t>
      </w:r>
      <w:r w:rsidR="008A5C4F">
        <w:t xml:space="preserve"> (viz </w:t>
      </w:r>
      <w:r w:rsidR="00AB7C36" w:rsidRPr="001C2ABF">
        <w:t>T</w:t>
      </w:r>
      <w:r w:rsidR="008A5C4F" w:rsidRPr="001C2ABF">
        <w:t>abulka</w:t>
      </w:r>
      <w:r w:rsidR="00AB7C36" w:rsidRPr="001C2ABF">
        <w:t xml:space="preserve"> 1</w:t>
      </w:r>
      <w:r w:rsidR="008A5C4F">
        <w:t xml:space="preserve"> níže)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1374"/>
        <w:gridCol w:w="1773"/>
        <w:gridCol w:w="1319"/>
        <w:gridCol w:w="1216"/>
        <w:gridCol w:w="1382"/>
        <w:gridCol w:w="1549"/>
      </w:tblGrid>
      <w:tr w:rsidR="00FF7B07" w:rsidRPr="00852824" w14:paraId="445C696F" w14:textId="77777777" w:rsidTr="00995E35">
        <w:tc>
          <w:tcPr>
            <w:tcW w:w="1469" w:type="dxa"/>
            <w:tcBorders>
              <w:bottom w:val="single" w:sz="12" w:space="0" w:color="4F2D7F" w:themeColor="accent1"/>
            </w:tcBorders>
            <w:shd w:val="clear" w:color="auto" w:fill="F4F2EF" w:themeFill="accent2" w:themeFillTint="33"/>
          </w:tcPr>
          <w:p w14:paraId="5ACBBACF" w14:textId="5A96D06C" w:rsidR="002058D9" w:rsidRPr="00852824" w:rsidRDefault="002058D9" w:rsidP="00852824">
            <w:pPr>
              <w:pStyle w:val="BodyText"/>
              <w:keepNext/>
              <w:keepLines/>
              <w:spacing w:before="0" w:after="0"/>
              <w:jc w:val="center"/>
              <w:rPr>
                <w:b/>
                <w:bCs/>
                <w:color w:val="auto"/>
                <w:sz w:val="14"/>
                <w:szCs w:val="14"/>
              </w:rPr>
            </w:pPr>
            <w:r w:rsidRPr="00852824">
              <w:rPr>
                <w:b/>
                <w:bCs/>
                <w:color w:val="auto"/>
                <w:sz w:val="14"/>
                <w:szCs w:val="14"/>
              </w:rPr>
              <w:t>Způsob uložení vedení technického vybavení</w:t>
            </w:r>
          </w:p>
        </w:tc>
        <w:tc>
          <w:tcPr>
            <w:tcW w:w="1374" w:type="dxa"/>
            <w:tcBorders>
              <w:bottom w:val="single" w:sz="12" w:space="0" w:color="4F2D7F" w:themeColor="accent1"/>
            </w:tcBorders>
            <w:shd w:val="clear" w:color="auto" w:fill="F4F2EF" w:themeFill="accent2" w:themeFillTint="33"/>
          </w:tcPr>
          <w:p w14:paraId="54CA9022" w14:textId="49E88B4A" w:rsidR="002058D9" w:rsidRPr="00852824" w:rsidRDefault="002058D9" w:rsidP="00852824">
            <w:pPr>
              <w:pStyle w:val="BodyText"/>
              <w:keepNext/>
              <w:keepLines/>
              <w:spacing w:before="0" w:after="0"/>
              <w:jc w:val="center"/>
              <w:rPr>
                <w:b/>
                <w:bCs/>
                <w:color w:val="auto"/>
                <w:sz w:val="14"/>
                <w:szCs w:val="14"/>
              </w:rPr>
            </w:pPr>
            <w:r w:rsidRPr="00852824">
              <w:rPr>
                <w:b/>
                <w:bCs/>
                <w:color w:val="auto"/>
                <w:sz w:val="14"/>
                <w:szCs w:val="14"/>
              </w:rPr>
              <w:t>Způsob styku se silničním pozemkem anebo silnicí na něm</w:t>
            </w:r>
          </w:p>
        </w:tc>
        <w:tc>
          <w:tcPr>
            <w:tcW w:w="1773" w:type="dxa"/>
            <w:tcBorders>
              <w:bottom w:val="single" w:sz="12" w:space="0" w:color="4F2D7F" w:themeColor="accent1"/>
            </w:tcBorders>
            <w:shd w:val="clear" w:color="auto" w:fill="F4F2EF" w:themeFill="accent2" w:themeFillTint="33"/>
          </w:tcPr>
          <w:p w14:paraId="120FFD10" w14:textId="4624EBA8" w:rsidR="002058D9" w:rsidRPr="00852824" w:rsidRDefault="00483A80" w:rsidP="00852824">
            <w:pPr>
              <w:pStyle w:val="BodyText"/>
              <w:keepNext/>
              <w:keepLines/>
              <w:spacing w:before="0" w:after="0"/>
              <w:jc w:val="center"/>
              <w:rPr>
                <w:b/>
                <w:bCs/>
                <w:color w:val="auto"/>
                <w:sz w:val="14"/>
                <w:szCs w:val="14"/>
              </w:rPr>
            </w:pPr>
            <w:r w:rsidRPr="00852824">
              <w:rPr>
                <w:b/>
                <w:bCs/>
                <w:color w:val="auto"/>
                <w:sz w:val="14"/>
                <w:szCs w:val="14"/>
              </w:rPr>
              <w:t>Charakteristický údaj</w:t>
            </w:r>
          </w:p>
        </w:tc>
        <w:tc>
          <w:tcPr>
            <w:tcW w:w="1319" w:type="dxa"/>
            <w:tcBorders>
              <w:bottom w:val="single" w:sz="12" w:space="0" w:color="4F2D7F" w:themeColor="accent1"/>
            </w:tcBorders>
            <w:shd w:val="clear" w:color="auto" w:fill="F4F2EF" w:themeFill="accent2" w:themeFillTint="33"/>
          </w:tcPr>
          <w:p w14:paraId="7A0848A2" w14:textId="648D0BF1" w:rsidR="002058D9" w:rsidRPr="00852824" w:rsidRDefault="002058D9" w:rsidP="00852824">
            <w:pPr>
              <w:pStyle w:val="BodyText"/>
              <w:keepNext/>
              <w:keepLines/>
              <w:spacing w:before="0" w:after="0"/>
              <w:jc w:val="center"/>
              <w:rPr>
                <w:b/>
                <w:bCs/>
                <w:color w:val="auto"/>
                <w:sz w:val="14"/>
                <w:szCs w:val="14"/>
              </w:rPr>
            </w:pPr>
            <w:r w:rsidRPr="00852824">
              <w:rPr>
                <w:b/>
                <w:bCs/>
                <w:color w:val="auto"/>
                <w:sz w:val="14"/>
                <w:szCs w:val="14"/>
              </w:rPr>
              <w:t>Obce nad 1000 obyvatel, neziskové org. a.s. s kap. účastí měst</w:t>
            </w:r>
          </w:p>
        </w:tc>
        <w:tc>
          <w:tcPr>
            <w:tcW w:w="1216" w:type="dxa"/>
            <w:tcBorders>
              <w:bottom w:val="single" w:sz="12" w:space="0" w:color="4F2D7F" w:themeColor="accent1"/>
            </w:tcBorders>
            <w:shd w:val="clear" w:color="auto" w:fill="F4F2EF" w:themeFill="accent2" w:themeFillTint="33"/>
          </w:tcPr>
          <w:p w14:paraId="2AD7585A" w14:textId="16752BD8" w:rsidR="002058D9" w:rsidRPr="00852824" w:rsidRDefault="002058D9" w:rsidP="00852824">
            <w:pPr>
              <w:pStyle w:val="BodyText"/>
              <w:keepNext/>
              <w:keepLines/>
              <w:spacing w:before="0" w:after="0"/>
              <w:jc w:val="center"/>
              <w:rPr>
                <w:b/>
                <w:bCs/>
                <w:color w:val="auto"/>
                <w:sz w:val="14"/>
                <w:szCs w:val="14"/>
              </w:rPr>
            </w:pPr>
            <w:r w:rsidRPr="00852824">
              <w:rPr>
                <w:b/>
                <w:bCs/>
                <w:color w:val="auto"/>
                <w:sz w:val="14"/>
                <w:szCs w:val="14"/>
              </w:rPr>
              <w:t>Obce do 1000 obyvatel – včetně</w:t>
            </w:r>
          </w:p>
        </w:tc>
        <w:tc>
          <w:tcPr>
            <w:tcW w:w="1382" w:type="dxa"/>
            <w:tcBorders>
              <w:bottom w:val="single" w:sz="12" w:space="0" w:color="4F2D7F" w:themeColor="accent1"/>
            </w:tcBorders>
            <w:shd w:val="clear" w:color="auto" w:fill="F4F2EF" w:themeFill="accent2" w:themeFillTint="33"/>
          </w:tcPr>
          <w:p w14:paraId="226544F2" w14:textId="43EC1A0C" w:rsidR="002058D9" w:rsidRPr="00852824" w:rsidRDefault="002058D9" w:rsidP="00852824">
            <w:pPr>
              <w:pStyle w:val="BodyText"/>
              <w:keepNext/>
              <w:keepLines/>
              <w:spacing w:before="0" w:after="0"/>
              <w:jc w:val="center"/>
              <w:rPr>
                <w:b/>
                <w:bCs/>
                <w:color w:val="auto"/>
                <w:sz w:val="14"/>
                <w:szCs w:val="14"/>
              </w:rPr>
            </w:pPr>
            <w:r w:rsidRPr="00852824">
              <w:rPr>
                <w:b/>
                <w:bCs/>
                <w:color w:val="auto"/>
                <w:sz w:val="14"/>
                <w:szCs w:val="14"/>
              </w:rPr>
              <w:t>Právnické a fyzické podnikající osoby</w:t>
            </w:r>
          </w:p>
        </w:tc>
        <w:tc>
          <w:tcPr>
            <w:tcW w:w="1549" w:type="dxa"/>
            <w:tcBorders>
              <w:bottom w:val="single" w:sz="12" w:space="0" w:color="4F2D7F" w:themeColor="accent1"/>
            </w:tcBorders>
            <w:shd w:val="clear" w:color="auto" w:fill="F4F2EF" w:themeFill="accent2" w:themeFillTint="33"/>
          </w:tcPr>
          <w:p w14:paraId="2212BFFF" w14:textId="2402B2D0" w:rsidR="002058D9" w:rsidRPr="00852824" w:rsidRDefault="002058D9" w:rsidP="00852824">
            <w:pPr>
              <w:pStyle w:val="BodyText"/>
              <w:keepNext/>
              <w:keepLines/>
              <w:spacing w:before="0" w:after="0"/>
              <w:jc w:val="center"/>
              <w:rPr>
                <w:b/>
                <w:bCs/>
                <w:color w:val="auto"/>
                <w:sz w:val="14"/>
                <w:szCs w:val="14"/>
              </w:rPr>
            </w:pPr>
            <w:r w:rsidRPr="00852824">
              <w:rPr>
                <w:b/>
                <w:bCs/>
                <w:color w:val="auto"/>
                <w:sz w:val="14"/>
                <w:szCs w:val="14"/>
              </w:rPr>
              <w:t>Fyzické nepodnikající osoby</w:t>
            </w:r>
          </w:p>
        </w:tc>
      </w:tr>
      <w:tr w:rsidR="00483A80" w:rsidRPr="00852824" w14:paraId="5F91D45F" w14:textId="77777777" w:rsidTr="00995E35">
        <w:trPr>
          <w:trHeight w:val="567"/>
        </w:trPr>
        <w:tc>
          <w:tcPr>
            <w:tcW w:w="1469" w:type="dxa"/>
            <w:vMerge w:val="restart"/>
            <w:tcBorders>
              <w:top w:val="single" w:sz="12" w:space="0" w:color="4F2D7F" w:themeColor="accent1"/>
            </w:tcBorders>
            <w:shd w:val="clear" w:color="auto" w:fill="FFFFFF" w:themeFill="background1"/>
            <w:vAlign w:val="center"/>
          </w:tcPr>
          <w:p w14:paraId="56F6ED9B" w14:textId="5E8E4E9F" w:rsidR="002058D9" w:rsidRPr="00852824" w:rsidRDefault="002058D9" w:rsidP="00EA2655">
            <w:pPr>
              <w:pStyle w:val="BodyText"/>
              <w:keepNext/>
              <w:keepLines/>
              <w:numPr>
                <w:ilvl w:val="0"/>
                <w:numId w:val="19"/>
              </w:numPr>
              <w:spacing w:before="0" w:after="0"/>
              <w:ind w:left="357" w:hanging="357"/>
              <w:rPr>
                <w:b/>
                <w:bCs/>
                <w:sz w:val="14"/>
                <w:szCs w:val="14"/>
              </w:rPr>
            </w:pPr>
            <w:r w:rsidRPr="00852824">
              <w:rPr>
                <w:b/>
                <w:bCs/>
                <w:sz w:val="14"/>
                <w:szCs w:val="14"/>
              </w:rPr>
              <w:t>Křížení silničního pozemku bez rozlišení území</w:t>
            </w:r>
          </w:p>
        </w:tc>
        <w:tc>
          <w:tcPr>
            <w:tcW w:w="1374" w:type="dxa"/>
            <w:tcBorders>
              <w:top w:val="single" w:sz="12" w:space="0" w:color="4F2D7F" w:themeColor="accent1"/>
            </w:tcBorders>
            <w:vAlign w:val="center"/>
          </w:tcPr>
          <w:p w14:paraId="5A0639CF" w14:textId="6565646F" w:rsidR="002058D9" w:rsidRPr="00852824" w:rsidRDefault="002058D9" w:rsidP="00852824">
            <w:pPr>
              <w:pStyle w:val="BodyText"/>
              <w:keepNext/>
              <w:keepLines/>
              <w:spacing w:before="0" w:after="0"/>
              <w:rPr>
                <w:sz w:val="14"/>
                <w:szCs w:val="14"/>
              </w:rPr>
            </w:pPr>
            <w:r w:rsidRPr="00852824">
              <w:rPr>
                <w:sz w:val="14"/>
                <w:szCs w:val="14"/>
              </w:rPr>
              <w:t>protlak a podvrt bez zásahu do vozovky</w:t>
            </w:r>
          </w:p>
        </w:tc>
        <w:tc>
          <w:tcPr>
            <w:tcW w:w="1773" w:type="dxa"/>
            <w:tcBorders>
              <w:top w:val="single" w:sz="12" w:space="0" w:color="4F2D7F" w:themeColor="accent1"/>
            </w:tcBorders>
          </w:tcPr>
          <w:p w14:paraId="77E99240" w14:textId="6D817493" w:rsidR="002058D9" w:rsidRPr="00852824" w:rsidRDefault="00483A80" w:rsidP="00852824">
            <w:pPr>
              <w:pStyle w:val="BodyText"/>
              <w:keepNext/>
              <w:keepLines/>
              <w:spacing w:before="0" w:after="0"/>
              <w:jc w:val="right"/>
              <w:rPr>
                <w:sz w:val="14"/>
                <w:szCs w:val="14"/>
              </w:rPr>
            </w:pPr>
            <w:r w:rsidRPr="00852824">
              <w:rPr>
                <w:sz w:val="14"/>
                <w:szCs w:val="14"/>
              </w:rPr>
              <w:t>prům. bez rozlišení</w:t>
            </w:r>
          </w:p>
        </w:tc>
        <w:tc>
          <w:tcPr>
            <w:tcW w:w="1319" w:type="dxa"/>
            <w:tcBorders>
              <w:top w:val="single" w:sz="12" w:space="0" w:color="4F2D7F" w:themeColor="accent1"/>
            </w:tcBorders>
            <w:vAlign w:val="center"/>
          </w:tcPr>
          <w:p w14:paraId="3BE4A69F" w14:textId="12EF0D9A" w:rsidR="002058D9" w:rsidRPr="00852824" w:rsidRDefault="002058D9" w:rsidP="00852824">
            <w:pPr>
              <w:pStyle w:val="BodyText"/>
              <w:keepNext/>
              <w:keepLines/>
              <w:spacing w:before="0" w:after="0"/>
              <w:jc w:val="right"/>
              <w:rPr>
                <w:sz w:val="14"/>
                <w:szCs w:val="14"/>
              </w:rPr>
            </w:pPr>
            <w:r w:rsidRPr="00852824">
              <w:rPr>
                <w:sz w:val="14"/>
                <w:szCs w:val="14"/>
              </w:rPr>
              <w:t>150</w:t>
            </w:r>
          </w:p>
        </w:tc>
        <w:tc>
          <w:tcPr>
            <w:tcW w:w="1216" w:type="dxa"/>
            <w:tcBorders>
              <w:top w:val="single" w:sz="12" w:space="0" w:color="4F2D7F" w:themeColor="accent1"/>
            </w:tcBorders>
            <w:vAlign w:val="center"/>
          </w:tcPr>
          <w:p w14:paraId="4DD8F53B" w14:textId="2CBF48E6" w:rsidR="002058D9" w:rsidRPr="00852824" w:rsidRDefault="002058D9" w:rsidP="00852824">
            <w:pPr>
              <w:pStyle w:val="BodyText"/>
              <w:keepNext/>
              <w:keepLines/>
              <w:spacing w:before="0" w:after="0"/>
              <w:jc w:val="right"/>
              <w:rPr>
                <w:sz w:val="14"/>
                <w:szCs w:val="14"/>
              </w:rPr>
            </w:pPr>
            <w:r w:rsidRPr="00852824">
              <w:rPr>
                <w:sz w:val="14"/>
                <w:szCs w:val="14"/>
              </w:rPr>
              <w:t>80</w:t>
            </w:r>
          </w:p>
        </w:tc>
        <w:tc>
          <w:tcPr>
            <w:tcW w:w="1382" w:type="dxa"/>
            <w:tcBorders>
              <w:top w:val="single" w:sz="12" w:space="0" w:color="4F2D7F" w:themeColor="accent1"/>
            </w:tcBorders>
            <w:vAlign w:val="center"/>
          </w:tcPr>
          <w:p w14:paraId="1744BF9D" w14:textId="4BFEE06B" w:rsidR="002058D9" w:rsidRPr="00852824" w:rsidRDefault="002058D9" w:rsidP="00852824">
            <w:pPr>
              <w:pStyle w:val="BodyText"/>
              <w:keepNext/>
              <w:keepLines/>
              <w:spacing w:before="0" w:after="0"/>
              <w:jc w:val="right"/>
              <w:rPr>
                <w:sz w:val="14"/>
                <w:szCs w:val="14"/>
              </w:rPr>
            </w:pPr>
            <w:r w:rsidRPr="00852824">
              <w:rPr>
                <w:sz w:val="14"/>
                <w:szCs w:val="14"/>
              </w:rPr>
              <w:t>400</w:t>
            </w:r>
          </w:p>
        </w:tc>
        <w:tc>
          <w:tcPr>
            <w:tcW w:w="1549" w:type="dxa"/>
            <w:tcBorders>
              <w:top w:val="single" w:sz="12" w:space="0" w:color="4F2D7F" w:themeColor="accent1"/>
            </w:tcBorders>
            <w:vAlign w:val="center"/>
          </w:tcPr>
          <w:p w14:paraId="4377A215" w14:textId="13BE6DD4" w:rsidR="002058D9" w:rsidRPr="00852824" w:rsidRDefault="002058D9" w:rsidP="00852824">
            <w:pPr>
              <w:pStyle w:val="BodyText"/>
              <w:keepNext/>
              <w:keepLines/>
              <w:spacing w:before="0" w:after="0"/>
              <w:jc w:val="right"/>
              <w:rPr>
                <w:sz w:val="14"/>
                <w:szCs w:val="14"/>
              </w:rPr>
            </w:pPr>
            <w:r w:rsidRPr="00852824">
              <w:rPr>
                <w:sz w:val="14"/>
                <w:szCs w:val="14"/>
              </w:rPr>
              <w:t>30</w:t>
            </w:r>
          </w:p>
        </w:tc>
      </w:tr>
      <w:tr w:rsidR="00995E35" w:rsidRPr="00852824" w14:paraId="3D79F4FF" w14:textId="77777777" w:rsidTr="00995E35">
        <w:trPr>
          <w:trHeight w:val="567"/>
        </w:trPr>
        <w:tc>
          <w:tcPr>
            <w:tcW w:w="1469" w:type="dxa"/>
            <w:vMerge/>
            <w:tcBorders>
              <w:bottom w:val="single" w:sz="12" w:space="0" w:color="4F2D7F" w:themeColor="accent1"/>
            </w:tcBorders>
            <w:shd w:val="clear" w:color="auto" w:fill="FFFFFF" w:themeFill="background1"/>
          </w:tcPr>
          <w:p w14:paraId="788D2B0E" w14:textId="77777777" w:rsidR="002058D9" w:rsidRPr="00852824" w:rsidRDefault="002058D9" w:rsidP="00852824">
            <w:pPr>
              <w:pStyle w:val="BodyText"/>
              <w:keepNext/>
              <w:keepLines/>
              <w:spacing w:before="0" w:after="0"/>
              <w:rPr>
                <w:b/>
                <w:bCs/>
                <w:sz w:val="14"/>
                <w:szCs w:val="14"/>
              </w:rPr>
            </w:pPr>
          </w:p>
        </w:tc>
        <w:tc>
          <w:tcPr>
            <w:tcW w:w="1374" w:type="dxa"/>
            <w:tcBorders>
              <w:bottom w:val="single" w:sz="12" w:space="0" w:color="4F2D7F" w:themeColor="accent1"/>
            </w:tcBorders>
            <w:vAlign w:val="center"/>
          </w:tcPr>
          <w:p w14:paraId="5AB9C387" w14:textId="5FDE419F" w:rsidR="002058D9" w:rsidRPr="00852824" w:rsidRDefault="002058D9" w:rsidP="00852824">
            <w:pPr>
              <w:pStyle w:val="BodyText"/>
              <w:keepNext/>
              <w:keepLines/>
              <w:spacing w:before="0" w:after="0"/>
              <w:rPr>
                <w:sz w:val="14"/>
                <w:szCs w:val="14"/>
              </w:rPr>
            </w:pPr>
            <w:r w:rsidRPr="00852824">
              <w:rPr>
                <w:sz w:val="14"/>
                <w:szCs w:val="14"/>
              </w:rPr>
              <w:t>protlak a podvrt se zásahem do vozovky</w:t>
            </w:r>
          </w:p>
        </w:tc>
        <w:tc>
          <w:tcPr>
            <w:tcW w:w="1773" w:type="dxa"/>
            <w:tcBorders>
              <w:bottom w:val="single" w:sz="12" w:space="0" w:color="4F2D7F" w:themeColor="accent1"/>
            </w:tcBorders>
          </w:tcPr>
          <w:p w14:paraId="05A9D4B2" w14:textId="7890135C" w:rsidR="002058D9" w:rsidRPr="00852824" w:rsidRDefault="00483A80" w:rsidP="00852824">
            <w:pPr>
              <w:pStyle w:val="BodyText"/>
              <w:keepNext/>
              <w:keepLines/>
              <w:spacing w:before="0" w:after="0"/>
              <w:jc w:val="right"/>
              <w:rPr>
                <w:sz w:val="14"/>
                <w:szCs w:val="14"/>
              </w:rPr>
            </w:pPr>
            <w:r w:rsidRPr="00852824">
              <w:rPr>
                <w:sz w:val="14"/>
                <w:szCs w:val="14"/>
              </w:rPr>
              <w:t>prům. bez rozlišení</w:t>
            </w:r>
          </w:p>
        </w:tc>
        <w:tc>
          <w:tcPr>
            <w:tcW w:w="1319" w:type="dxa"/>
            <w:tcBorders>
              <w:bottom w:val="single" w:sz="12" w:space="0" w:color="4F2D7F" w:themeColor="accent1"/>
            </w:tcBorders>
            <w:vAlign w:val="center"/>
          </w:tcPr>
          <w:p w14:paraId="238EED3C" w14:textId="1407ADF9" w:rsidR="002058D9" w:rsidRPr="00852824" w:rsidRDefault="002058D9" w:rsidP="00852824">
            <w:pPr>
              <w:pStyle w:val="BodyText"/>
              <w:keepNext/>
              <w:keepLines/>
              <w:spacing w:before="0" w:after="0"/>
              <w:jc w:val="right"/>
              <w:rPr>
                <w:sz w:val="14"/>
                <w:szCs w:val="14"/>
              </w:rPr>
            </w:pPr>
            <w:r w:rsidRPr="00852824">
              <w:rPr>
                <w:sz w:val="14"/>
                <w:szCs w:val="14"/>
              </w:rPr>
              <w:t>500</w:t>
            </w:r>
          </w:p>
        </w:tc>
        <w:tc>
          <w:tcPr>
            <w:tcW w:w="1216" w:type="dxa"/>
            <w:tcBorders>
              <w:bottom w:val="single" w:sz="12" w:space="0" w:color="4F2D7F" w:themeColor="accent1"/>
            </w:tcBorders>
            <w:vAlign w:val="center"/>
          </w:tcPr>
          <w:p w14:paraId="3D2FCC72" w14:textId="2C240833" w:rsidR="002058D9" w:rsidRPr="00852824" w:rsidRDefault="002058D9" w:rsidP="00852824">
            <w:pPr>
              <w:pStyle w:val="BodyText"/>
              <w:keepNext/>
              <w:keepLines/>
              <w:spacing w:before="0" w:after="0"/>
              <w:jc w:val="right"/>
              <w:rPr>
                <w:sz w:val="14"/>
                <w:szCs w:val="14"/>
              </w:rPr>
            </w:pPr>
            <w:r w:rsidRPr="00852824">
              <w:rPr>
                <w:sz w:val="14"/>
                <w:szCs w:val="14"/>
              </w:rPr>
              <w:t>250</w:t>
            </w:r>
          </w:p>
        </w:tc>
        <w:tc>
          <w:tcPr>
            <w:tcW w:w="1382" w:type="dxa"/>
            <w:tcBorders>
              <w:bottom w:val="single" w:sz="12" w:space="0" w:color="4F2D7F" w:themeColor="accent1"/>
            </w:tcBorders>
            <w:vAlign w:val="center"/>
          </w:tcPr>
          <w:p w14:paraId="6DC30D59" w14:textId="0BFD49FC" w:rsidR="002058D9" w:rsidRPr="00852824" w:rsidRDefault="002058D9" w:rsidP="00852824">
            <w:pPr>
              <w:pStyle w:val="BodyText"/>
              <w:keepNext/>
              <w:keepLines/>
              <w:spacing w:before="0" w:after="0"/>
              <w:jc w:val="right"/>
              <w:rPr>
                <w:sz w:val="14"/>
                <w:szCs w:val="14"/>
              </w:rPr>
            </w:pPr>
            <w:r w:rsidRPr="00852824">
              <w:rPr>
                <w:sz w:val="14"/>
                <w:szCs w:val="14"/>
              </w:rPr>
              <w:t>800</w:t>
            </w:r>
          </w:p>
        </w:tc>
        <w:tc>
          <w:tcPr>
            <w:tcW w:w="1549" w:type="dxa"/>
            <w:tcBorders>
              <w:bottom w:val="single" w:sz="12" w:space="0" w:color="4F2D7F" w:themeColor="accent1"/>
            </w:tcBorders>
            <w:vAlign w:val="center"/>
          </w:tcPr>
          <w:p w14:paraId="6EE40AA9" w14:textId="56A79130" w:rsidR="002058D9" w:rsidRPr="00852824" w:rsidRDefault="002058D9" w:rsidP="00852824">
            <w:pPr>
              <w:pStyle w:val="BodyText"/>
              <w:keepNext/>
              <w:keepLines/>
              <w:spacing w:before="0" w:after="0"/>
              <w:jc w:val="right"/>
              <w:rPr>
                <w:sz w:val="14"/>
                <w:szCs w:val="14"/>
              </w:rPr>
            </w:pPr>
            <w:r w:rsidRPr="00852824">
              <w:rPr>
                <w:sz w:val="14"/>
                <w:szCs w:val="14"/>
              </w:rPr>
              <w:t>100</w:t>
            </w:r>
          </w:p>
        </w:tc>
      </w:tr>
      <w:tr w:rsidR="00483A80" w:rsidRPr="00852824" w14:paraId="7B1F32ED" w14:textId="77777777" w:rsidTr="00995E35">
        <w:trPr>
          <w:trHeight w:val="283"/>
        </w:trPr>
        <w:tc>
          <w:tcPr>
            <w:tcW w:w="1469" w:type="dxa"/>
            <w:vMerge w:val="restart"/>
            <w:tcBorders>
              <w:top w:val="single" w:sz="12" w:space="0" w:color="4F2D7F" w:themeColor="accent1"/>
            </w:tcBorders>
            <w:shd w:val="clear" w:color="auto" w:fill="FFFFFF" w:themeFill="background1"/>
            <w:vAlign w:val="center"/>
          </w:tcPr>
          <w:p w14:paraId="0AB8C15E" w14:textId="06ACDD2A" w:rsidR="00483A80" w:rsidRPr="00852824" w:rsidRDefault="00483A80" w:rsidP="00EA2655">
            <w:pPr>
              <w:pStyle w:val="BodyText"/>
              <w:keepNext/>
              <w:keepLines/>
              <w:numPr>
                <w:ilvl w:val="0"/>
                <w:numId w:val="19"/>
              </w:numPr>
              <w:spacing w:before="0" w:after="0"/>
              <w:ind w:left="357" w:hanging="357"/>
              <w:rPr>
                <w:b/>
                <w:bCs/>
                <w:sz w:val="14"/>
                <w:szCs w:val="14"/>
              </w:rPr>
            </w:pPr>
            <w:r w:rsidRPr="00852824">
              <w:rPr>
                <w:b/>
                <w:bCs/>
                <w:sz w:val="14"/>
                <w:szCs w:val="14"/>
              </w:rPr>
              <w:t>Podélné uložení</w:t>
            </w:r>
          </w:p>
        </w:tc>
        <w:tc>
          <w:tcPr>
            <w:tcW w:w="1374" w:type="dxa"/>
            <w:vMerge w:val="restart"/>
            <w:tcBorders>
              <w:top w:val="single" w:sz="12" w:space="0" w:color="4F2D7F" w:themeColor="accent1"/>
            </w:tcBorders>
            <w:vAlign w:val="center"/>
          </w:tcPr>
          <w:p w14:paraId="6CDEE7BF" w14:textId="16398D3F" w:rsidR="00483A80" w:rsidRPr="00852824" w:rsidRDefault="00483A80" w:rsidP="00852824">
            <w:pPr>
              <w:pStyle w:val="BodyText"/>
              <w:keepNext/>
              <w:keepLines/>
              <w:spacing w:before="0" w:after="0"/>
              <w:rPr>
                <w:sz w:val="14"/>
                <w:szCs w:val="14"/>
              </w:rPr>
            </w:pPr>
            <w:r w:rsidRPr="00852824">
              <w:rPr>
                <w:sz w:val="14"/>
                <w:szCs w:val="14"/>
              </w:rPr>
              <w:t>uložení do vozovky</w:t>
            </w:r>
          </w:p>
        </w:tc>
        <w:tc>
          <w:tcPr>
            <w:tcW w:w="1773" w:type="dxa"/>
            <w:tcBorders>
              <w:top w:val="single" w:sz="12" w:space="0" w:color="4F2D7F" w:themeColor="accent1"/>
            </w:tcBorders>
            <w:vAlign w:val="center"/>
          </w:tcPr>
          <w:p w14:paraId="3C294C3B" w14:textId="4CE0B2F8" w:rsidR="00483A80" w:rsidRPr="00852824" w:rsidRDefault="00A7750E" w:rsidP="00852824">
            <w:pPr>
              <w:pStyle w:val="BodyText"/>
              <w:keepNext/>
              <w:keepLines/>
              <w:spacing w:before="0" w:after="0"/>
              <w:jc w:val="right"/>
              <w:rPr>
                <w:sz w:val="14"/>
                <w:szCs w:val="14"/>
              </w:rPr>
            </w:pPr>
            <w:r w:rsidRPr="00852824">
              <w:rPr>
                <w:sz w:val="14"/>
                <w:szCs w:val="14"/>
              </w:rPr>
              <w:t>silnic</w:t>
            </w:r>
            <w:r w:rsidR="003A17D9" w:rsidRPr="00852824">
              <w:rPr>
                <w:sz w:val="14"/>
                <w:szCs w:val="14"/>
              </w:rPr>
              <w:t>e</w:t>
            </w:r>
            <w:r w:rsidRPr="00852824">
              <w:rPr>
                <w:sz w:val="14"/>
                <w:szCs w:val="14"/>
              </w:rPr>
              <w:t xml:space="preserve"> II. třídy</w:t>
            </w:r>
          </w:p>
        </w:tc>
        <w:tc>
          <w:tcPr>
            <w:tcW w:w="1319" w:type="dxa"/>
            <w:tcBorders>
              <w:top w:val="single" w:sz="12" w:space="0" w:color="4F2D7F" w:themeColor="accent1"/>
            </w:tcBorders>
            <w:vAlign w:val="center"/>
          </w:tcPr>
          <w:p w14:paraId="3E6D77DB" w14:textId="0C8B174D" w:rsidR="00483A80" w:rsidRPr="00852824" w:rsidRDefault="00AD0036" w:rsidP="00852824">
            <w:pPr>
              <w:pStyle w:val="BodyText"/>
              <w:keepNext/>
              <w:keepLines/>
              <w:spacing w:before="0" w:after="0"/>
              <w:jc w:val="right"/>
              <w:rPr>
                <w:sz w:val="14"/>
                <w:szCs w:val="14"/>
              </w:rPr>
            </w:pPr>
            <w:r w:rsidRPr="00852824">
              <w:rPr>
                <w:sz w:val="14"/>
                <w:szCs w:val="14"/>
              </w:rPr>
              <w:t>500</w:t>
            </w:r>
          </w:p>
        </w:tc>
        <w:tc>
          <w:tcPr>
            <w:tcW w:w="1216" w:type="dxa"/>
            <w:tcBorders>
              <w:top w:val="single" w:sz="12" w:space="0" w:color="4F2D7F" w:themeColor="accent1"/>
            </w:tcBorders>
            <w:vAlign w:val="center"/>
          </w:tcPr>
          <w:p w14:paraId="089BF4F0" w14:textId="77FD080A" w:rsidR="00483A80" w:rsidRPr="00852824" w:rsidRDefault="00AD0036" w:rsidP="00852824">
            <w:pPr>
              <w:pStyle w:val="BodyText"/>
              <w:keepNext/>
              <w:keepLines/>
              <w:spacing w:before="0" w:after="0"/>
              <w:jc w:val="right"/>
              <w:rPr>
                <w:sz w:val="14"/>
                <w:szCs w:val="14"/>
              </w:rPr>
            </w:pPr>
            <w:r w:rsidRPr="00852824">
              <w:rPr>
                <w:sz w:val="14"/>
                <w:szCs w:val="14"/>
              </w:rPr>
              <w:t>250</w:t>
            </w:r>
          </w:p>
        </w:tc>
        <w:tc>
          <w:tcPr>
            <w:tcW w:w="1382" w:type="dxa"/>
            <w:tcBorders>
              <w:top w:val="single" w:sz="12" w:space="0" w:color="4F2D7F" w:themeColor="accent1"/>
            </w:tcBorders>
            <w:vAlign w:val="center"/>
          </w:tcPr>
          <w:p w14:paraId="62104FA3" w14:textId="3220E8DD" w:rsidR="00483A80" w:rsidRPr="00852824" w:rsidRDefault="00AD0036" w:rsidP="00852824">
            <w:pPr>
              <w:pStyle w:val="BodyText"/>
              <w:keepNext/>
              <w:keepLines/>
              <w:spacing w:before="0" w:after="0"/>
              <w:jc w:val="right"/>
              <w:rPr>
                <w:sz w:val="14"/>
                <w:szCs w:val="14"/>
              </w:rPr>
            </w:pPr>
            <w:r w:rsidRPr="00852824">
              <w:rPr>
                <w:sz w:val="14"/>
                <w:szCs w:val="14"/>
              </w:rPr>
              <w:t>1500</w:t>
            </w:r>
          </w:p>
        </w:tc>
        <w:tc>
          <w:tcPr>
            <w:tcW w:w="1549" w:type="dxa"/>
            <w:tcBorders>
              <w:top w:val="single" w:sz="12" w:space="0" w:color="4F2D7F" w:themeColor="accent1"/>
            </w:tcBorders>
            <w:vAlign w:val="center"/>
          </w:tcPr>
          <w:p w14:paraId="26CBFFC0" w14:textId="0BE59338" w:rsidR="00483A80" w:rsidRPr="00852824" w:rsidRDefault="00AD0036" w:rsidP="00852824">
            <w:pPr>
              <w:pStyle w:val="BodyText"/>
              <w:keepNext/>
              <w:keepLines/>
              <w:spacing w:before="0" w:after="0"/>
              <w:jc w:val="right"/>
              <w:rPr>
                <w:sz w:val="14"/>
                <w:szCs w:val="14"/>
              </w:rPr>
            </w:pPr>
            <w:r w:rsidRPr="00852824">
              <w:rPr>
                <w:sz w:val="14"/>
                <w:szCs w:val="14"/>
              </w:rPr>
              <w:t>500</w:t>
            </w:r>
          </w:p>
        </w:tc>
      </w:tr>
      <w:tr w:rsidR="00483A80" w:rsidRPr="00852824" w14:paraId="657989B1" w14:textId="77777777" w:rsidTr="00995E35">
        <w:trPr>
          <w:trHeight w:val="283"/>
        </w:trPr>
        <w:tc>
          <w:tcPr>
            <w:tcW w:w="1469" w:type="dxa"/>
            <w:vMerge/>
            <w:shd w:val="clear" w:color="auto" w:fill="FFFFFF" w:themeFill="background1"/>
            <w:vAlign w:val="center"/>
          </w:tcPr>
          <w:p w14:paraId="7367BA2F" w14:textId="77777777" w:rsidR="00483A80" w:rsidRPr="00852824" w:rsidRDefault="00483A80" w:rsidP="00852824">
            <w:pPr>
              <w:pStyle w:val="BodyText"/>
              <w:keepNext/>
              <w:keepLines/>
              <w:spacing w:before="0" w:after="0"/>
              <w:rPr>
                <w:sz w:val="14"/>
                <w:szCs w:val="14"/>
              </w:rPr>
            </w:pPr>
          </w:p>
        </w:tc>
        <w:tc>
          <w:tcPr>
            <w:tcW w:w="1374" w:type="dxa"/>
            <w:vMerge/>
            <w:tcBorders>
              <w:bottom w:val="single" w:sz="12" w:space="0" w:color="4F2D7F" w:themeColor="accent1"/>
            </w:tcBorders>
          </w:tcPr>
          <w:p w14:paraId="6D5E8B71" w14:textId="77777777" w:rsidR="00483A80" w:rsidRPr="00852824" w:rsidRDefault="00483A80" w:rsidP="00852824">
            <w:pPr>
              <w:pStyle w:val="BodyText"/>
              <w:keepNext/>
              <w:keepLines/>
              <w:spacing w:before="0" w:after="0"/>
              <w:rPr>
                <w:sz w:val="14"/>
                <w:szCs w:val="14"/>
              </w:rPr>
            </w:pPr>
          </w:p>
        </w:tc>
        <w:tc>
          <w:tcPr>
            <w:tcW w:w="1773" w:type="dxa"/>
            <w:tcBorders>
              <w:bottom w:val="single" w:sz="12" w:space="0" w:color="4F2D7F" w:themeColor="accent1"/>
            </w:tcBorders>
            <w:vAlign w:val="center"/>
          </w:tcPr>
          <w:p w14:paraId="5F185D51" w14:textId="002280BE" w:rsidR="00483A80" w:rsidRPr="00852824" w:rsidRDefault="00A7750E" w:rsidP="00852824">
            <w:pPr>
              <w:pStyle w:val="BodyText"/>
              <w:keepNext/>
              <w:keepLines/>
              <w:spacing w:before="0" w:after="0"/>
              <w:jc w:val="right"/>
              <w:rPr>
                <w:sz w:val="14"/>
                <w:szCs w:val="14"/>
              </w:rPr>
            </w:pPr>
            <w:r w:rsidRPr="00852824">
              <w:rPr>
                <w:sz w:val="14"/>
                <w:szCs w:val="14"/>
              </w:rPr>
              <w:t>silnic</w:t>
            </w:r>
            <w:r w:rsidR="003A17D9" w:rsidRPr="00852824">
              <w:rPr>
                <w:sz w:val="14"/>
                <w:szCs w:val="14"/>
              </w:rPr>
              <w:t>e</w:t>
            </w:r>
            <w:r w:rsidRPr="00852824">
              <w:rPr>
                <w:sz w:val="14"/>
                <w:szCs w:val="14"/>
              </w:rPr>
              <w:t xml:space="preserve"> III. třídy</w:t>
            </w:r>
          </w:p>
        </w:tc>
        <w:tc>
          <w:tcPr>
            <w:tcW w:w="1319" w:type="dxa"/>
            <w:tcBorders>
              <w:bottom w:val="single" w:sz="12" w:space="0" w:color="4F2D7F" w:themeColor="accent1"/>
            </w:tcBorders>
            <w:vAlign w:val="center"/>
          </w:tcPr>
          <w:p w14:paraId="44C0E296" w14:textId="5084683A" w:rsidR="00483A80" w:rsidRPr="00852824" w:rsidRDefault="00AD0036" w:rsidP="00852824">
            <w:pPr>
              <w:pStyle w:val="BodyText"/>
              <w:keepNext/>
              <w:keepLines/>
              <w:spacing w:before="0" w:after="0"/>
              <w:jc w:val="right"/>
              <w:rPr>
                <w:sz w:val="14"/>
                <w:szCs w:val="14"/>
              </w:rPr>
            </w:pPr>
            <w:r w:rsidRPr="00852824">
              <w:rPr>
                <w:sz w:val="14"/>
                <w:szCs w:val="14"/>
              </w:rPr>
              <w:t>150</w:t>
            </w:r>
          </w:p>
        </w:tc>
        <w:tc>
          <w:tcPr>
            <w:tcW w:w="1216" w:type="dxa"/>
            <w:tcBorders>
              <w:bottom w:val="single" w:sz="12" w:space="0" w:color="4F2D7F" w:themeColor="accent1"/>
            </w:tcBorders>
            <w:vAlign w:val="center"/>
          </w:tcPr>
          <w:p w14:paraId="36C17F7E" w14:textId="4B2FF7EF" w:rsidR="00483A80" w:rsidRPr="00852824" w:rsidRDefault="00AD0036" w:rsidP="00852824">
            <w:pPr>
              <w:pStyle w:val="BodyText"/>
              <w:keepNext/>
              <w:keepLines/>
              <w:spacing w:before="0" w:after="0"/>
              <w:jc w:val="right"/>
              <w:rPr>
                <w:sz w:val="14"/>
                <w:szCs w:val="14"/>
              </w:rPr>
            </w:pPr>
            <w:r w:rsidRPr="00852824">
              <w:rPr>
                <w:sz w:val="14"/>
                <w:szCs w:val="14"/>
              </w:rPr>
              <w:t>75</w:t>
            </w:r>
          </w:p>
        </w:tc>
        <w:tc>
          <w:tcPr>
            <w:tcW w:w="1382" w:type="dxa"/>
            <w:tcBorders>
              <w:bottom w:val="single" w:sz="12" w:space="0" w:color="4F2D7F" w:themeColor="accent1"/>
            </w:tcBorders>
            <w:vAlign w:val="center"/>
          </w:tcPr>
          <w:p w14:paraId="3844C6F0" w14:textId="7A71947D" w:rsidR="00483A80" w:rsidRPr="00852824" w:rsidRDefault="00AD0036" w:rsidP="00852824">
            <w:pPr>
              <w:pStyle w:val="BodyText"/>
              <w:keepNext/>
              <w:keepLines/>
              <w:spacing w:before="0" w:after="0"/>
              <w:jc w:val="right"/>
              <w:rPr>
                <w:sz w:val="14"/>
                <w:szCs w:val="14"/>
              </w:rPr>
            </w:pPr>
            <w:r w:rsidRPr="00852824">
              <w:rPr>
                <w:sz w:val="14"/>
                <w:szCs w:val="14"/>
              </w:rPr>
              <w:t>1000</w:t>
            </w:r>
          </w:p>
        </w:tc>
        <w:tc>
          <w:tcPr>
            <w:tcW w:w="1549" w:type="dxa"/>
            <w:tcBorders>
              <w:bottom w:val="single" w:sz="12" w:space="0" w:color="4F2D7F" w:themeColor="accent1"/>
            </w:tcBorders>
            <w:vAlign w:val="center"/>
          </w:tcPr>
          <w:p w14:paraId="4190A793" w14:textId="02784310" w:rsidR="00483A80" w:rsidRPr="00852824" w:rsidRDefault="00AD0036" w:rsidP="00852824">
            <w:pPr>
              <w:pStyle w:val="BodyText"/>
              <w:keepNext/>
              <w:keepLines/>
              <w:spacing w:before="0" w:after="0"/>
              <w:jc w:val="right"/>
              <w:rPr>
                <w:sz w:val="14"/>
                <w:szCs w:val="14"/>
              </w:rPr>
            </w:pPr>
            <w:r w:rsidRPr="00852824">
              <w:rPr>
                <w:sz w:val="14"/>
                <w:szCs w:val="14"/>
              </w:rPr>
              <w:t>400</w:t>
            </w:r>
          </w:p>
        </w:tc>
      </w:tr>
      <w:tr w:rsidR="00483A80" w:rsidRPr="00852824" w14:paraId="1AC82A24" w14:textId="77777777" w:rsidTr="00995E35">
        <w:trPr>
          <w:trHeight w:val="340"/>
        </w:trPr>
        <w:tc>
          <w:tcPr>
            <w:tcW w:w="1469" w:type="dxa"/>
            <w:vMerge/>
            <w:shd w:val="clear" w:color="auto" w:fill="FFFFFF" w:themeFill="background1"/>
          </w:tcPr>
          <w:p w14:paraId="76F1A78E" w14:textId="77777777" w:rsidR="00483A80" w:rsidRPr="00852824" w:rsidRDefault="00483A80" w:rsidP="00852824">
            <w:pPr>
              <w:pStyle w:val="BodyText"/>
              <w:keepNext/>
              <w:keepLines/>
              <w:spacing w:before="0" w:after="0"/>
              <w:rPr>
                <w:sz w:val="14"/>
                <w:szCs w:val="14"/>
              </w:rPr>
            </w:pPr>
          </w:p>
        </w:tc>
        <w:tc>
          <w:tcPr>
            <w:tcW w:w="1374" w:type="dxa"/>
            <w:vMerge w:val="restart"/>
            <w:tcBorders>
              <w:top w:val="single" w:sz="12" w:space="0" w:color="4F2D7F" w:themeColor="accent1"/>
            </w:tcBorders>
          </w:tcPr>
          <w:p w14:paraId="2FB5DD5C" w14:textId="69653123" w:rsidR="00483A80" w:rsidRPr="00852824" w:rsidRDefault="00483A80" w:rsidP="00852824">
            <w:pPr>
              <w:pStyle w:val="BodyText"/>
              <w:keepNext/>
              <w:keepLines/>
              <w:spacing w:before="0" w:after="0"/>
              <w:rPr>
                <w:sz w:val="14"/>
                <w:szCs w:val="14"/>
              </w:rPr>
            </w:pPr>
            <w:r w:rsidRPr="00852824">
              <w:rPr>
                <w:sz w:val="14"/>
                <w:szCs w:val="14"/>
              </w:rPr>
              <w:t>uložení do krajnice, do středního dělícího pásu</w:t>
            </w:r>
          </w:p>
        </w:tc>
        <w:tc>
          <w:tcPr>
            <w:tcW w:w="1773" w:type="dxa"/>
            <w:tcBorders>
              <w:top w:val="single" w:sz="12" w:space="0" w:color="4F2D7F" w:themeColor="accent1"/>
            </w:tcBorders>
            <w:vAlign w:val="center"/>
          </w:tcPr>
          <w:p w14:paraId="1874A0F9" w14:textId="5B6547D7" w:rsidR="00483A80" w:rsidRPr="00852824" w:rsidRDefault="00A7750E" w:rsidP="00852824">
            <w:pPr>
              <w:pStyle w:val="BodyText"/>
              <w:keepNext/>
              <w:keepLines/>
              <w:spacing w:before="0" w:after="0"/>
              <w:jc w:val="right"/>
              <w:rPr>
                <w:sz w:val="14"/>
                <w:szCs w:val="14"/>
              </w:rPr>
            </w:pPr>
            <w:r w:rsidRPr="00852824">
              <w:rPr>
                <w:sz w:val="14"/>
                <w:szCs w:val="14"/>
              </w:rPr>
              <w:t>silnic</w:t>
            </w:r>
            <w:r w:rsidR="003A17D9" w:rsidRPr="00852824">
              <w:rPr>
                <w:sz w:val="14"/>
                <w:szCs w:val="14"/>
              </w:rPr>
              <w:t>e</w:t>
            </w:r>
            <w:r w:rsidRPr="00852824">
              <w:rPr>
                <w:sz w:val="14"/>
                <w:szCs w:val="14"/>
              </w:rPr>
              <w:t xml:space="preserve"> II. třídy</w:t>
            </w:r>
          </w:p>
        </w:tc>
        <w:tc>
          <w:tcPr>
            <w:tcW w:w="1319" w:type="dxa"/>
            <w:tcBorders>
              <w:top w:val="single" w:sz="12" w:space="0" w:color="4F2D7F" w:themeColor="accent1"/>
            </w:tcBorders>
            <w:vAlign w:val="center"/>
          </w:tcPr>
          <w:p w14:paraId="6EF9E61D" w14:textId="79E0AEA2" w:rsidR="00483A80" w:rsidRPr="00852824" w:rsidRDefault="00DD0ED0" w:rsidP="00852824">
            <w:pPr>
              <w:pStyle w:val="BodyText"/>
              <w:keepNext/>
              <w:keepLines/>
              <w:spacing w:before="0" w:after="0"/>
              <w:jc w:val="right"/>
              <w:rPr>
                <w:sz w:val="14"/>
                <w:szCs w:val="14"/>
              </w:rPr>
            </w:pPr>
            <w:r w:rsidRPr="00852824">
              <w:rPr>
                <w:sz w:val="14"/>
                <w:szCs w:val="14"/>
              </w:rPr>
              <w:t>100</w:t>
            </w:r>
          </w:p>
        </w:tc>
        <w:tc>
          <w:tcPr>
            <w:tcW w:w="1216" w:type="dxa"/>
            <w:tcBorders>
              <w:top w:val="single" w:sz="12" w:space="0" w:color="4F2D7F" w:themeColor="accent1"/>
            </w:tcBorders>
            <w:vAlign w:val="center"/>
          </w:tcPr>
          <w:p w14:paraId="03FDE29F" w14:textId="555ABAA1" w:rsidR="00483A80" w:rsidRPr="00852824" w:rsidRDefault="00DD0ED0" w:rsidP="00852824">
            <w:pPr>
              <w:pStyle w:val="BodyText"/>
              <w:keepNext/>
              <w:keepLines/>
              <w:spacing w:before="0" w:after="0"/>
              <w:jc w:val="right"/>
              <w:rPr>
                <w:sz w:val="14"/>
                <w:szCs w:val="14"/>
              </w:rPr>
            </w:pPr>
            <w:r w:rsidRPr="00852824">
              <w:rPr>
                <w:sz w:val="14"/>
                <w:szCs w:val="14"/>
              </w:rPr>
              <w:t>50</w:t>
            </w:r>
          </w:p>
        </w:tc>
        <w:tc>
          <w:tcPr>
            <w:tcW w:w="1382" w:type="dxa"/>
            <w:tcBorders>
              <w:top w:val="single" w:sz="12" w:space="0" w:color="4F2D7F" w:themeColor="accent1"/>
            </w:tcBorders>
            <w:vAlign w:val="center"/>
          </w:tcPr>
          <w:p w14:paraId="3DEB9972" w14:textId="4DB243DD" w:rsidR="00483A80" w:rsidRPr="00852824" w:rsidRDefault="00DD0ED0" w:rsidP="00852824">
            <w:pPr>
              <w:pStyle w:val="BodyText"/>
              <w:keepNext/>
              <w:keepLines/>
              <w:spacing w:before="0" w:after="0"/>
              <w:jc w:val="right"/>
              <w:rPr>
                <w:sz w:val="14"/>
                <w:szCs w:val="14"/>
              </w:rPr>
            </w:pPr>
            <w:r w:rsidRPr="00852824">
              <w:rPr>
                <w:sz w:val="14"/>
                <w:szCs w:val="14"/>
              </w:rPr>
              <w:t>600</w:t>
            </w:r>
          </w:p>
        </w:tc>
        <w:tc>
          <w:tcPr>
            <w:tcW w:w="1549" w:type="dxa"/>
            <w:tcBorders>
              <w:top w:val="single" w:sz="12" w:space="0" w:color="4F2D7F" w:themeColor="accent1"/>
            </w:tcBorders>
            <w:vAlign w:val="center"/>
          </w:tcPr>
          <w:p w14:paraId="126A8049" w14:textId="13BF1457" w:rsidR="00483A80" w:rsidRPr="00852824" w:rsidRDefault="00DD0ED0" w:rsidP="00852824">
            <w:pPr>
              <w:pStyle w:val="BodyText"/>
              <w:keepNext/>
              <w:keepLines/>
              <w:spacing w:before="0" w:after="0"/>
              <w:jc w:val="right"/>
              <w:rPr>
                <w:sz w:val="14"/>
                <w:szCs w:val="14"/>
              </w:rPr>
            </w:pPr>
            <w:r w:rsidRPr="00852824">
              <w:rPr>
                <w:sz w:val="14"/>
                <w:szCs w:val="14"/>
              </w:rPr>
              <w:t>100</w:t>
            </w:r>
          </w:p>
        </w:tc>
      </w:tr>
      <w:tr w:rsidR="00483A80" w:rsidRPr="00852824" w14:paraId="2F2A60DB" w14:textId="77777777" w:rsidTr="00995E35">
        <w:trPr>
          <w:trHeight w:val="340"/>
        </w:trPr>
        <w:tc>
          <w:tcPr>
            <w:tcW w:w="1469" w:type="dxa"/>
            <w:vMerge/>
            <w:shd w:val="clear" w:color="auto" w:fill="FFFFFF" w:themeFill="background1"/>
          </w:tcPr>
          <w:p w14:paraId="27E409A8" w14:textId="77777777" w:rsidR="00483A80" w:rsidRPr="00852824" w:rsidRDefault="00483A80" w:rsidP="00852824">
            <w:pPr>
              <w:pStyle w:val="BodyText"/>
              <w:keepNext/>
              <w:keepLines/>
              <w:spacing w:before="0" w:after="0"/>
              <w:rPr>
                <w:sz w:val="14"/>
                <w:szCs w:val="14"/>
              </w:rPr>
            </w:pPr>
          </w:p>
        </w:tc>
        <w:tc>
          <w:tcPr>
            <w:tcW w:w="1374" w:type="dxa"/>
            <w:vMerge/>
            <w:tcBorders>
              <w:bottom w:val="single" w:sz="12" w:space="0" w:color="4F2D7F" w:themeColor="accent1"/>
            </w:tcBorders>
          </w:tcPr>
          <w:p w14:paraId="725343ED" w14:textId="77777777" w:rsidR="00483A80" w:rsidRPr="00852824" w:rsidRDefault="00483A80" w:rsidP="00852824">
            <w:pPr>
              <w:pStyle w:val="BodyText"/>
              <w:keepNext/>
              <w:keepLines/>
              <w:spacing w:before="0" w:after="0"/>
              <w:rPr>
                <w:sz w:val="14"/>
                <w:szCs w:val="14"/>
              </w:rPr>
            </w:pPr>
          </w:p>
        </w:tc>
        <w:tc>
          <w:tcPr>
            <w:tcW w:w="1773" w:type="dxa"/>
            <w:tcBorders>
              <w:bottom w:val="single" w:sz="12" w:space="0" w:color="4F2D7F" w:themeColor="accent1"/>
            </w:tcBorders>
            <w:vAlign w:val="center"/>
          </w:tcPr>
          <w:p w14:paraId="7F61C963" w14:textId="443C5D48" w:rsidR="00483A80" w:rsidRPr="00852824" w:rsidRDefault="00A7750E" w:rsidP="00852824">
            <w:pPr>
              <w:pStyle w:val="BodyText"/>
              <w:keepNext/>
              <w:keepLines/>
              <w:spacing w:before="0" w:after="0"/>
              <w:jc w:val="right"/>
              <w:rPr>
                <w:sz w:val="14"/>
                <w:szCs w:val="14"/>
              </w:rPr>
            </w:pPr>
            <w:r w:rsidRPr="00852824">
              <w:rPr>
                <w:sz w:val="14"/>
                <w:szCs w:val="14"/>
              </w:rPr>
              <w:t>silnic</w:t>
            </w:r>
            <w:r w:rsidR="003A17D9" w:rsidRPr="00852824">
              <w:rPr>
                <w:sz w:val="14"/>
                <w:szCs w:val="14"/>
              </w:rPr>
              <w:t>e</w:t>
            </w:r>
            <w:r w:rsidRPr="00852824">
              <w:rPr>
                <w:sz w:val="14"/>
                <w:szCs w:val="14"/>
              </w:rPr>
              <w:t xml:space="preserve"> III. třídy</w:t>
            </w:r>
          </w:p>
        </w:tc>
        <w:tc>
          <w:tcPr>
            <w:tcW w:w="1319" w:type="dxa"/>
            <w:tcBorders>
              <w:bottom w:val="single" w:sz="12" w:space="0" w:color="4F2D7F" w:themeColor="accent1"/>
            </w:tcBorders>
            <w:vAlign w:val="center"/>
          </w:tcPr>
          <w:p w14:paraId="6577E98D" w14:textId="398A2F68" w:rsidR="00483A80" w:rsidRPr="00852824" w:rsidRDefault="00DD0ED0" w:rsidP="00852824">
            <w:pPr>
              <w:pStyle w:val="BodyText"/>
              <w:keepNext/>
              <w:keepLines/>
              <w:spacing w:before="0" w:after="0"/>
              <w:jc w:val="right"/>
              <w:rPr>
                <w:sz w:val="14"/>
                <w:szCs w:val="14"/>
              </w:rPr>
            </w:pPr>
            <w:r w:rsidRPr="00852824">
              <w:rPr>
                <w:sz w:val="14"/>
                <w:szCs w:val="14"/>
              </w:rPr>
              <w:t>50</w:t>
            </w:r>
          </w:p>
        </w:tc>
        <w:tc>
          <w:tcPr>
            <w:tcW w:w="1216" w:type="dxa"/>
            <w:tcBorders>
              <w:bottom w:val="single" w:sz="12" w:space="0" w:color="4F2D7F" w:themeColor="accent1"/>
            </w:tcBorders>
            <w:vAlign w:val="center"/>
          </w:tcPr>
          <w:p w14:paraId="4447B98A" w14:textId="708524A3" w:rsidR="00483A80" w:rsidRPr="00852824" w:rsidRDefault="00DD0ED0" w:rsidP="00852824">
            <w:pPr>
              <w:pStyle w:val="BodyText"/>
              <w:keepNext/>
              <w:keepLines/>
              <w:spacing w:before="0" w:after="0"/>
              <w:jc w:val="right"/>
              <w:rPr>
                <w:sz w:val="14"/>
                <w:szCs w:val="14"/>
              </w:rPr>
            </w:pPr>
            <w:r w:rsidRPr="00852824">
              <w:rPr>
                <w:sz w:val="14"/>
                <w:szCs w:val="14"/>
              </w:rPr>
              <w:t>25</w:t>
            </w:r>
          </w:p>
        </w:tc>
        <w:tc>
          <w:tcPr>
            <w:tcW w:w="1382" w:type="dxa"/>
            <w:tcBorders>
              <w:bottom w:val="single" w:sz="12" w:space="0" w:color="4F2D7F" w:themeColor="accent1"/>
            </w:tcBorders>
            <w:vAlign w:val="center"/>
          </w:tcPr>
          <w:p w14:paraId="0EA5AB84" w14:textId="05DFC623" w:rsidR="00483A80" w:rsidRPr="00852824" w:rsidRDefault="00DD0ED0" w:rsidP="00852824">
            <w:pPr>
              <w:pStyle w:val="BodyText"/>
              <w:keepNext/>
              <w:keepLines/>
              <w:spacing w:before="0" w:after="0"/>
              <w:jc w:val="right"/>
              <w:rPr>
                <w:sz w:val="14"/>
                <w:szCs w:val="14"/>
              </w:rPr>
            </w:pPr>
            <w:r w:rsidRPr="00852824">
              <w:rPr>
                <w:sz w:val="14"/>
                <w:szCs w:val="14"/>
              </w:rPr>
              <w:t>500</w:t>
            </w:r>
          </w:p>
        </w:tc>
        <w:tc>
          <w:tcPr>
            <w:tcW w:w="1549" w:type="dxa"/>
            <w:tcBorders>
              <w:bottom w:val="single" w:sz="12" w:space="0" w:color="4F2D7F" w:themeColor="accent1"/>
            </w:tcBorders>
            <w:vAlign w:val="center"/>
          </w:tcPr>
          <w:p w14:paraId="04B1AC44" w14:textId="0625CAD9" w:rsidR="00483A80" w:rsidRPr="00852824" w:rsidRDefault="00DD0ED0" w:rsidP="00852824">
            <w:pPr>
              <w:pStyle w:val="BodyText"/>
              <w:keepNext/>
              <w:keepLines/>
              <w:spacing w:before="0" w:after="0"/>
              <w:jc w:val="right"/>
              <w:rPr>
                <w:sz w:val="14"/>
                <w:szCs w:val="14"/>
              </w:rPr>
            </w:pPr>
            <w:r w:rsidRPr="00852824">
              <w:rPr>
                <w:sz w:val="14"/>
                <w:szCs w:val="14"/>
              </w:rPr>
              <w:t>50</w:t>
            </w:r>
          </w:p>
        </w:tc>
      </w:tr>
      <w:tr w:rsidR="00483A80" w:rsidRPr="00852824" w14:paraId="30FC3605" w14:textId="77777777" w:rsidTr="00995E35">
        <w:trPr>
          <w:trHeight w:val="340"/>
        </w:trPr>
        <w:tc>
          <w:tcPr>
            <w:tcW w:w="1469" w:type="dxa"/>
            <w:vMerge/>
            <w:shd w:val="clear" w:color="auto" w:fill="FFFFFF" w:themeFill="background1"/>
          </w:tcPr>
          <w:p w14:paraId="0C0574B5" w14:textId="77777777" w:rsidR="00483A80" w:rsidRPr="00852824" w:rsidRDefault="00483A80" w:rsidP="00852824">
            <w:pPr>
              <w:pStyle w:val="BodyText"/>
              <w:keepNext/>
              <w:keepLines/>
              <w:spacing w:before="0" w:after="0"/>
              <w:rPr>
                <w:sz w:val="14"/>
                <w:szCs w:val="14"/>
              </w:rPr>
            </w:pPr>
          </w:p>
        </w:tc>
        <w:tc>
          <w:tcPr>
            <w:tcW w:w="1374" w:type="dxa"/>
            <w:vMerge w:val="restart"/>
            <w:tcBorders>
              <w:top w:val="single" w:sz="12" w:space="0" w:color="4F2D7F" w:themeColor="accent1"/>
            </w:tcBorders>
          </w:tcPr>
          <w:p w14:paraId="485AFE1F" w14:textId="606E8F44" w:rsidR="00483A80" w:rsidRPr="00852824" w:rsidRDefault="00483A80" w:rsidP="00852824">
            <w:pPr>
              <w:pStyle w:val="BodyText"/>
              <w:keepNext/>
              <w:keepLines/>
              <w:spacing w:before="0" w:after="0"/>
              <w:rPr>
                <w:sz w:val="14"/>
                <w:szCs w:val="14"/>
              </w:rPr>
            </w:pPr>
            <w:r w:rsidRPr="00852824">
              <w:rPr>
                <w:sz w:val="14"/>
                <w:szCs w:val="14"/>
              </w:rPr>
              <w:t>uložení do příkopu, zeleného pásu, svahu atd</w:t>
            </w:r>
          </w:p>
        </w:tc>
        <w:tc>
          <w:tcPr>
            <w:tcW w:w="1773" w:type="dxa"/>
            <w:tcBorders>
              <w:top w:val="single" w:sz="12" w:space="0" w:color="4F2D7F" w:themeColor="accent1"/>
            </w:tcBorders>
            <w:vAlign w:val="center"/>
          </w:tcPr>
          <w:p w14:paraId="49C38625" w14:textId="1DA2E9B3" w:rsidR="00483A80" w:rsidRPr="00852824" w:rsidRDefault="00A7750E" w:rsidP="00852824">
            <w:pPr>
              <w:pStyle w:val="BodyText"/>
              <w:keepNext/>
              <w:keepLines/>
              <w:spacing w:before="0" w:after="0"/>
              <w:jc w:val="right"/>
              <w:rPr>
                <w:sz w:val="14"/>
                <w:szCs w:val="14"/>
              </w:rPr>
            </w:pPr>
            <w:r w:rsidRPr="00852824">
              <w:rPr>
                <w:sz w:val="14"/>
                <w:szCs w:val="14"/>
              </w:rPr>
              <w:t>silnic</w:t>
            </w:r>
            <w:r w:rsidR="003A17D9" w:rsidRPr="00852824">
              <w:rPr>
                <w:sz w:val="14"/>
                <w:szCs w:val="14"/>
              </w:rPr>
              <w:t>e</w:t>
            </w:r>
            <w:r w:rsidRPr="00852824">
              <w:rPr>
                <w:sz w:val="14"/>
                <w:szCs w:val="14"/>
              </w:rPr>
              <w:t xml:space="preserve"> II. třídy</w:t>
            </w:r>
          </w:p>
        </w:tc>
        <w:tc>
          <w:tcPr>
            <w:tcW w:w="1319" w:type="dxa"/>
            <w:tcBorders>
              <w:top w:val="single" w:sz="12" w:space="0" w:color="4F2D7F" w:themeColor="accent1"/>
            </w:tcBorders>
            <w:vAlign w:val="center"/>
          </w:tcPr>
          <w:p w14:paraId="65D3D835" w14:textId="3FC9D5C9" w:rsidR="00483A80" w:rsidRPr="00852824" w:rsidRDefault="00DD0ED0" w:rsidP="00852824">
            <w:pPr>
              <w:pStyle w:val="BodyText"/>
              <w:keepNext/>
              <w:keepLines/>
              <w:spacing w:before="0" w:after="0"/>
              <w:jc w:val="right"/>
              <w:rPr>
                <w:sz w:val="14"/>
                <w:szCs w:val="14"/>
              </w:rPr>
            </w:pPr>
            <w:r w:rsidRPr="00852824">
              <w:rPr>
                <w:sz w:val="14"/>
                <w:szCs w:val="14"/>
              </w:rPr>
              <w:t>50</w:t>
            </w:r>
          </w:p>
        </w:tc>
        <w:tc>
          <w:tcPr>
            <w:tcW w:w="1216" w:type="dxa"/>
            <w:tcBorders>
              <w:top w:val="single" w:sz="12" w:space="0" w:color="4F2D7F" w:themeColor="accent1"/>
            </w:tcBorders>
            <w:vAlign w:val="center"/>
          </w:tcPr>
          <w:p w14:paraId="0B1A4725" w14:textId="661790B3" w:rsidR="00483A80" w:rsidRPr="00852824" w:rsidRDefault="00DD0ED0" w:rsidP="00852824">
            <w:pPr>
              <w:pStyle w:val="BodyText"/>
              <w:keepNext/>
              <w:keepLines/>
              <w:spacing w:before="0" w:after="0"/>
              <w:jc w:val="right"/>
              <w:rPr>
                <w:sz w:val="14"/>
                <w:szCs w:val="14"/>
              </w:rPr>
            </w:pPr>
            <w:r w:rsidRPr="00852824">
              <w:rPr>
                <w:sz w:val="14"/>
                <w:szCs w:val="14"/>
              </w:rPr>
              <w:t>25</w:t>
            </w:r>
          </w:p>
        </w:tc>
        <w:tc>
          <w:tcPr>
            <w:tcW w:w="1382" w:type="dxa"/>
            <w:tcBorders>
              <w:top w:val="single" w:sz="12" w:space="0" w:color="4F2D7F" w:themeColor="accent1"/>
            </w:tcBorders>
            <w:vAlign w:val="center"/>
          </w:tcPr>
          <w:p w14:paraId="0A27FA69" w14:textId="6BEA3542" w:rsidR="00483A80" w:rsidRPr="00852824" w:rsidRDefault="00A7479F" w:rsidP="00852824">
            <w:pPr>
              <w:pStyle w:val="BodyText"/>
              <w:keepNext/>
              <w:keepLines/>
              <w:spacing w:before="0" w:after="0"/>
              <w:jc w:val="right"/>
              <w:rPr>
                <w:sz w:val="14"/>
                <w:szCs w:val="14"/>
              </w:rPr>
            </w:pPr>
            <w:r w:rsidRPr="00852824">
              <w:rPr>
                <w:sz w:val="14"/>
                <w:szCs w:val="14"/>
              </w:rPr>
              <w:t>400</w:t>
            </w:r>
          </w:p>
        </w:tc>
        <w:tc>
          <w:tcPr>
            <w:tcW w:w="1549" w:type="dxa"/>
            <w:tcBorders>
              <w:top w:val="single" w:sz="12" w:space="0" w:color="4F2D7F" w:themeColor="accent1"/>
            </w:tcBorders>
            <w:vAlign w:val="center"/>
          </w:tcPr>
          <w:p w14:paraId="3ABE48D0" w14:textId="6CD7958C" w:rsidR="00483A80" w:rsidRPr="00852824" w:rsidRDefault="00A7479F" w:rsidP="00852824">
            <w:pPr>
              <w:pStyle w:val="BodyText"/>
              <w:keepNext/>
              <w:keepLines/>
              <w:spacing w:before="0" w:after="0"/>
              <w:jc w:val="right"/>
              <w:rPr>
                <w:sz w:val="14"/>
                <w:szCs w:val="14"/>
              </w:rPr>
            </w:pPr>
            <w:r w:rsidRPr="00852824">
              <w:rPr>
                <w:sz w:val="14"/>
                <w:szCs w:val="14"/>
              </w:rPr>
              <w:t>20</w:t>
            </w:r>
          </w:p>
        </w:tc>
      </w:tr>
      <w:tr w:rsidR="00483A80" w:rsidRPr="00852824" w14:paraId="52303997" w14:textId="77777777" w:rsidTr="00995E35">
        <w:trPr>
          <w:trHeight w:val="340"/>
        </w:trPr>
        <w:tc>
          <w:tcPr>
            <w:tcW w:w="1469" w:type="dxa"/>
            <w:vMerge/>
            <w:shd w:val="clear" w:color="auto" w:fill="FFFFFF" w:themeFill="background1"/>
          </w:tcPr>
          <w:p w14:paraId="6E9DDAF7" w14:textId="77777777" w:rsidR="00483A80" w:rsidRPr="00852824" w:rsidRDefault="00483A80" w:rsidP="00852824">
            <w:pPr>
              <w:pStyle w:val="BodyText"/>
              <w:keepNext/>
              <w:keepLines/>
              <w:spacing w:before="0" w:after="0"/>
              <w:rPr>
                <w:sz w:val="14"/>
                <w:szCs w:val="14"/>
              </w:rPr>
            </w:pPr>
          </w:p>
        </w:tc>
        <w:tc>
          <w:tcPr>
            <w:tcW w:w="1374" w:type="dxa"/>
            <w:vMerge/>
            <w:tcBorders>
              <w:bottom w:val="single" w:sz="12" w:space="0" w:color="4F2D7F" w:themeColor="accent1"/>
            </w:tcBorders>
          </w:tcPr>
          <w:p w14:paraId="38E6235A" w14:textId="77777777" w:rsidR="00483A80" w:rsidRPr="00852824" w:rsidRDefault="00483A80" w:rsidP="00852824">
            <w:pPr>
              <w:pStyle w:val="BodyText"/>
              <w:keepNext/>
              <w:keepLines/>
              <w:spacing w:before="0" w:after="0"/>
              <w:rPr>
                <w:sz w:val="14"/>
                <w:szCs w:val="14"/>
              </w:rPr>
            </w:pPr>
          </w:p>
        </w:tc>
        <w:tc>
          <w:tcPr>
            <w:tcW w:w="1773" w:type="dxa"/>
            <w:tcBorders>
              <w:bottom w:val="single" w:sz="12" w:space="0" w:color="4F2D7F" w:themeColor="accent1"/>
            </w:tcBorders>
            <w:vAlign w:val="center"/>
          </w:tcPr>
          <w:p w14:paraId="6FE703A4" w14:textId="0EECE6A7" w:rsidR="00483A80" w:rsidRPr="00852824" w:rsidRDefault="00A7750E" w:rsidP="00852824">
            <w:pPr>
              <w:pStyle w:val="BodyText"/>
              <w:keepNext/>
              <w:keepLines/>
              <w:spacing w:before="0" w:after="0"/>
              <w:jc w:val="right"/>
              <w:rPr>
                <w:sz w:val="14"/>
                <w:szCs w:val="14"/>
              </w:rPr>
            </w:pPr>
            <w:r w:rsidRPr="00852824">
              <w:rPr>
                <w:sz w:val="14"/>
                <w:szCs w:val="14"/>
              </w:rPr>
              <w:t>silnic</w:t>
            </w:r>
            <w:r w:rsidR="003A17D9" w:rsidRPr="00852824">
              <w:rPr>
                <w:sz w:val="14"/>
                <w:szCs w:val="14"/>
              </w:rPr>
              <w:t>e</w:t>
            </w:r>
            <w:r w:rsidRPr="00852824">
              <w:rPr>
                <w:sz w:val="14"/>
                <w:szCs w:val="14"/>
              </w:rPr>
              <w:t xml:space="preserve"> III. třídy</w:t>
            </w:r>
          </w:p>
        </w:tc>
        <w:tc>
          <w:tcPr>
            <w:tcW w:w="1319" w:type="dxa"/>
            <w:tcBorders>
              <w:bottom w:val="single" w:sz="12" w:space="0" w:color="4F2D7F" w:themeColor="accent1"/>
            </w:tcBorders>
            <w:vAlign w:val="center"/>
          </w:tcPr>
          <w:p w14:paraId="0C83A384" w14:textId="26D96B11" w:rsidR="00483A80" w:rsidRPr="00852824" w:rsidRDefault="00A7479F" w:rsidP="00852824">
            <w:pPr>
              <w:pStyle w:val="BodyText"/>
              <w:keepNext/>
              <w:keepLines/>
              <w:spacing w:before="0" w:after="0"/>
              <w:jc w:val="right"/>
              <w:rPr>
                <w:sz w:val="14"/>
                <w:szCs w:val="14"/>
              </w:rPr>
            </w:pPr>
            <w:r w:rsidRPr="00852824">
              <w:rPr>
                <w:sz w:val="14"/>
                <w:szCs w:val="14"/>
              </w:rPr>
              <w:t>20</w:t>
            </w:r>
          </w:p>
        </w:tc>
        <w:tc>
          <w:tcPr>
            <w:tcW w:w="1216" w:type="dxa"/>
            <w:tcBorders>
              <w:bottom w:val="single" w:sz="12" w:space="0" w:color="4F2D7F" w:themeColor="accent1"/>
            </w:tcBorders>
            <w:vAlign w:val="center"/>
          </w:tcPr>
          <w:p w14:paraId="3124B906" w14:textId="5B7CF723" w:rsidR="00483A80" w:rsidRPr="00852824" w:rsidRDefault="00A7479F" w:rsidP="00852824">
            <w:pPr>
              <w:pStyle w:val="BodyText"/>
              <w:keepNext/>
              <w:keepLines/>
              <w:spacing w:before="0" w:after="0"/>
              <w:jc w:val="right"/>
              <w:rPr>
                <w:sz w:val="14"/>
                <w:szCs w:val="14"/>
              </w:rPr>
            </w:pPr>
            <w:r w:rsidRPr="00852824">
              <w:rPr>
                <w:sz w:val="14"/>
                <w:szCs w:val="14"/>
              </w:rPr>
              <w:t>10</w:t>
            </w:r>
          </w:p>
        </w:tc>
        <w:tc>
          <w:tcPr>
            <w:tcW w:w="1382" w:type="dxa"/>
            <w:tcBorders>
              <w:bottom w:val="single" w:sz="12" w:space="0" w:color="4F2D7F" w:themeColor="accent1"/>
            </w:tcBorders>
            <w:vAlign w:val="center"/>
          </w:tcPr>
          <w:p w14:paraId="68DAEC40" w14:textId="0A18E8C1" w:rsidR="00483A80" w:rsidRPr="00852824" w:rsidRDefault="00A7479F" w:rsidP="00852824">
            <w:pPr>
              <w:pStyle w:val="BodyText"/>
              <w:keepNext/>
              <w:keepLines/>
              <w:spacing w:before="0" w:after="0"/>
              <w:jc w:val="right"/>
              <w:rPr>
                <w:sz w:val="14"/>
                <w:szCs w:val="14"/>
              </w:rPr>
            </w:pPr>
            <w:r w:rsidRPr="00852824">
              <w:rPr>
                <w:sz w:val="14"/>
                <w:szCs w:val="14"/>
              </w:rPr>
              <w:t>400</w:t>
            </w:r>
          </w:p>
        </w:tc>
        <w:tc>
          <w:tcPr>
            <w:tcW w:w="1549" w:type="dxa"/>
            <w:tcBorders>
              <w:bottom w:val="single" w:sz="12" w:space="0" w:color="4F2D7F" w:themeColor="accent1"/>
            </w:tcBorders>
            <w:vAlign w:val="center"/>
          </w:tcPr>
          <w:p w14:paraId="31A6419F" w14:textId="185A0E35" w:rsidR="00483A80" w:rsidRPr="00852824" w:rsidRDefault="00A7479F" w:rsidP="00852824">
            <w:pPr>
              <w:pStyle w:val="BodyText"/>
              <w:keepNext/>
              <w:keepLines/>
              <w:spacing w:before="0" w:after="0"/>
              <w:jc w:val="right"/>
              <w:rPr>
                <w:sz w:val="14"/>
                <w:szCs w:val="14"/>
              </w:rPr>
            </w:pPr>
            <w:r w:rsidRPr="00852824">
              <w:rPr>
                <w:sz w:val="14"/>
                <w:szCs w:val="14"/>
              </w:rPr>
              <w:t>20</w:t>
            </w:r>
          </w:p>
        </w:tc>
      </w:tr>
      <w:tr w:rsidR="00483A80" w:rsidRPr="00852824" w14:paraId="1B2D5E04" w14:textId="77777777" w:rsidTr="00995E35">
        <w:trPr>
          <w:trHeight w:val="340"/>
        </w:trPr>
        <w:tc>
          <w:tcPr>
            <w:tcW w:w="1469" w:type="dxa"/>
            <w:vMerge/>
            <w:shd w:val="clear" w:color="auto" w:fill="FFFFFF" w:themeFill="background1"/>
          </w:tcPr>
          <w:p w14:paraId="56B12B37" w14:textId="77777777" w:rsidR="00483A80" w:rsidRPr="00852824" w:rsidRDefault="00483A80" w:rsidP="00852824">
            <w:pPr>
              <w:pStyle w:val="BodyText"/>
              <w:keepNext/>
              <w:keepLines/>
              <w:spacing w:before="0" w:after="0"/>
              <w:rPr>
                <w:sz w:val="14"/>
                <w:szCs w:val="14"/>
              </w:rPr>
            </w:pPr>
          </w:p>
        </w:tc>
        <w:tc>
          <w:tcPr>
            <w:tcW w:w="1374" w:type="dxa"/>
            <w:vMerge w:val="restart"/>
            <w:tcBorders>
              <w:top w:val="single" w:sz="12" w:space="0" w:color="4F2D7F" w:themeColor="accent1"/>
            </w:tcBorders>
          </w:tcPr>
          <w:p w14:paraId="65D3CF2B" w14:textId="23CE937F" w:rsidR="00483A80" w:rsidRPr="00852824" w:rsidRDefault="00483A80" w:rsidP="00852824">
            <w:pPr>
              <w:pStyle w:val="BodyText"/>
              <w:keepNext/>
              <w:keepLines/>
              <w:spacing w:before="0" w:after="0"/>
              <w:rPr>
                <w:sz w:val="14"/>
                <w:szCs w:val="14"/>
              </w:rPr>
            </w:pPr>
            <w:r w:rsidRPr="00852824">
              <w:rPr>
                <w:sz w:val="14"/>
                <w:szCs w:val="14"/>
              </w:rPr>
              <w:t>podélný protlak a podvrt - prům. bez rozlišení</w:t>
            </w:r>
          </w:p>
        </w:tc>
        <w:tc>
          <w:tcPr>
            <w:tcW w:w="1773" w:type="dxa"/>
            <w:tcBorders>
              <w:top w:val="single" w:sz="12" w:space="0" w:color="4F2D7F" w:themeColor="accent1"/>
            </w:tcBorders>
            <w:vAlign w:val="center"/>
          </w:tcPr>
          <w:p w14:paraId="39EE83F8" w14:textId="03ED3BDA" w:rsidR="00483A80" w:rsidRPr="00852824" w:rsidRDefault="00A7750E" w:rsidP="00852824">
            <w:pPr>
              <w:pStyle w:val="BodyText"/>
              <w:keepNext/>
              <w:keepLines/>
              <w:spacing w:before="0" w:after="0"/>
              <w:jc w:val="right"/>
              <w:rPr>
                <w:sz w:val="14"/>
                <w:szCs w:val="14"/>
              </w:rPr>
            </w:pPr>
            <w:r w:rsidRPr="00852824">
              <w:rPr>
                <w:sz w:val="14"/>
                <w:szCs w:val="14"/>
              </w:rPr>
              <w:t>silnic</w:t>
            </w:r>
            <w:r w:rsidR="003A17D9" w:rsidRPr="00852824">
              <w:rPr>
                <w:sz w:val="14"/>
                <w:szCs w:val="14"/>
              </w:rPr>
              <w:t>e</w:t>
            </w:r>
            <w:r w:rsidRPr="00852824">
              <w:rPr>
                <w:sz w:val="14"/>
                <w:szCs w:val="14"/>
              </w:rPr>
              <w:t xml:space="preserve"> II. třídy</w:t>
            </w:r>
          </w:p>
        </w:tc>
        <w:tc>
          <w:tcPr>
            <w:tcW w:w="1319" w:type="dxa"/>
            <w:tcBorders>
              <w:top w:val="single" w:sz="12" w:space="0" w:color="4F2D7F" w:themeColor="accent1"/>
            </w:tcBorders>
            <w:vAlign w:val="center"/>
          </w:tcPr>
          <w:p w14:paraId="09BF9DEF" w14:textId="56077BD8" w:rsidR="00483A80" w:rsidRPr="00852824" w:rsidRDefault="00A7479F" w:rsidP="00852824">
            <w:pPr>
              <w:pStyle w:val="BodyText"/>
              <w:keepNext/>
              <w:keepLines/>
              <w:spacing w:before="0" w:after="0"/>
              <w:jc w:val="right"/>
              <w:rPr>
                <w:sz w:val="14"/>
                <w:szCs w:val="14"/>
              </w:rPr>
            </w:pPr>
            <w:r w:rsidRPr="00852824">
              <w:rPr>
                <w:sz w:val="14"/>
                <w:szCs w:val="14"/>
              </w:rPr>
              <w:t>400</w:t>
            </w:r>
          </w:p>
        </w:tc>
        <w:tc>
          <w:tcPr>
            <w:tcW w:w="1216" w:type="dxa"/>
            <w:tcBorders>
              <w:top w:val="single" w:sz="12" w:space="0" w:color="4F2D7F" w:themeColor="accent1"/>
            </w:tcBorders>
            <w:vAlign w:val="center"/>
          </w:tcPr>
          <w:p w14:paraId="171A903A" w14:textId="7C55083F" w:rsidR="00483A80" w:rsidRPr="00852824" w:rsidRDefault="00A7479F" w:rsidP="00852824">
            <w:pPr>
              <w:pStyle w:val="BodyText"/>
              <w:keepNext/>
              <w:keepLines/>
              <w:spacing w:before="0" w:after="0"/>
              <w:jc w:val="right"/>
              <w:rPr>
                <w:sz w:val="14"/>
                <w:szCs w:val="14"/>
              </w:rPr>
            </w:pPr>
            <w:r w:rsidRPr="00852824">
              <w:rPr>
                <w:sz w:val="14"/>
                <w:szCs w:val="14"/>
              </w:rPr>
              <w:t>200</w:t>
            </w:r>
          </w:p>
        </w:tc>
        <w:tc>
          <w:tcPr>
            <w:tcW w:w="1382" w:type="dxa"/>
            <w:tcBorders>
              <w:top w:val="single" w:sz="12" w:space="0" w:color="4F2D7F" w:themeColor="accent1"/>
            </w:tcBorders>
            <w:vAlign w:val="center"/>
          </w:tcPr>
          <w:p w14:paraId="711BAF99" w14:textId="073B5154" w:rsidR="00483A80" w:rsidRPr="00852824" w:rsidRDefault="00A7479F" w:rsidP="00852824">
            <w:pPr>
              <w:pStyle w:val="BodyText"/>
              <w:keepNext/>
              <w:keepLines/>
              <w:spacing w:before="0" w:after="0"/>
              <w:jc w:val="right"/>
              <w:rPr>
                <w:sz w:val="14"/>
                <w:szCs w:val="14"/>
              </w:rPr>
            </w:pPr>
            <w:r w:rsidRPr="00852824">
              <w:rPr>
                <w:sz w:val="14"/>
                <w:szCs w:val="14"/>
              </w:rPr>
              <w:t>800</w:t>
            </w:r>
          </w:p>
        </w:tc>
        <w:tc>
          <w:tcPr>
            <w:tcW w:w="1549" w:type="dxa"/>
            <w:tcBorders>
              <w:top w:val="single" w:sz="12" w:space="0" w:color="4F2D7F" w:themeColor="accent1"/>
            </w:tcBorders>
            <w:vAlign w:val="center"/>
          </w:tcPr>
          <w:p w14:paraId="4E2C7911" w14:textId="0D823F2D" w:rsidR="00483A80" w:rsidRPr="00852824" w:rsidRDefault="00A7479F" w:rsidP="00852824">
            <w:pPr>
              <w:pStyle w:val="BodyText"/>
              <w:keepNext/>
              <w:keepLines/>
              <w:spacing w:before="0" w:after="0"/>
              <w:jc w:val="right"/>
              <w:rPr>
                <w:sz w:val="14"/>
                <w:szCs w:val="14"/>
              </w:rPr>
            </w:pPr>
            <w:r w:rsidRPr="00852824">
              <w:rPr>
                <w:sz w:val="14"/>
                <w:szCs w:val="14"/>
              </w:rPr>
              <w:t>200</w:t>
            </w:r>
          </w:p>
        </w:tc>
      </w:tr>
      <w:tr w:rsidR="00483A80" w:rsidRPr="00852824" w14:paraId="41255805" w14:textId="77777777" w:rsidTr="006F2E67">
        <w:trPr>
          <w:trHeight w:val="340"/>
        </w:trPr>
        <w:tc>
          <w:tcPr>
            <w:tcW w:w="1469" w:type="dxa"/>
            <w:vMerge/>
            <w:shd w:val="clear" w:color="auto" w:fill="FFFFFF" w:themeFill="background1"/>
          </w:tcPr>
          <w:p w14:paraId="587199EF" w14:textId="77777777" w:rsidR="00483A80" w:rsidRPr="00852824" w:rsidRDefault="00483A80" w:rsidP="00852824">
            <w:pPr>
              <w:pStyle w:val="BodyText"/>
              <w:keepNext/>
              <w:keepLines/>
              <w:spacing w:before="0" w:after="0"/>
              <w:rPr>
                <w:sz w:val="14"/>
                <w:szCs w:val="14"/>
              </w:rPr>
            </w:pPr>
          </w:p>
        </w:tc>
        <w:tc>
          <w:tcPr>
            <w:tcW w:w="1374" w:type="dxa"/>
            <w:vMerge/>
            <w:tcBorders>
              <w:bottom w:val="single" w:sz="12" w:space="0" w:color="4F2D7F" w:themeColor="accent1"/>
            </w:tcBorders>
          </w:tcPr>
          <w:p w14:paraId="192B3BFF" w14:textId="77777777" w:rsidR="00483A80" w:rsidRPr="00852824" w:rsidRDefault="00483A80" w:rsidP="00852824">
            <w:pPr>
              <w:pStyle w:val="BodyText"/>
              <w:keepNext/>
              <w:keepLines/>
              <w:spacing w:before="0" w:after="0"/>
              <w:rPr>
                <w:sz w:val="14"/>
                <w:szCs w:val="14"/>
              </w:rPr>
            </w:pPr>
          </w:p>
        </w:tc>
        <w:tc>
          <w:tcPr>
            <w:tcW w:w="1773" w:type="dxa"/>
            <w:tcBorders>
              <w:bottom w:val="single" w:sz="12" w:space="0" w:color="4F2D7F" w:themeColor="accent1"/>
            </w:tcBorders>
            <w:vAlign w:val="center"/>
          </w:tcPr>
          <w:p w14:paraId="2AA954C5" w14:textId="20DE8442" w:rsidR="00483A80" w:rsidRPr="00852824" w:rsidRDefault="00A7750E" w:rsidP="00852824">
            <w:pPr>
              <w:pStyle w:val="BodyText"/>
              <w:keepNext/>
              <w:keepLines/>
              <w:spacing w:before="0" w:after="0"/>
              <w:jc w:val="right"/>
              <w:rPr>
                <w:sz w:val="14"/>
                <w:szCs w:val="14"/>
              </w:rPr>
            </w:pPr>
            <w:r w:rsidRPr="00852824">
              <w:rPr>
                <w:sz w:val="14"/>
                <w:szCs w:val="14"/>
              </w:rPr>
              <w:t>silnic</w:t>
            </w:r>
            <w:r w:rsidR="003A17D9" w:rsidRPr="00852824">
              <w:rPr>
                <w:sz w:val="14"/>
                <w:szCs w:val="14"/>
              </w:rPr>
              <w:t>e</w:t>
            </w:r>
            <w:r w:rsidRPr="00852824">
              <w:rPr>
                <w:sz w:val="14"/>
                <w:szCs w:val="14"/>
              </w:rPr>
              <w:t xml:space="preserve"> III. třídy</w:t>
            </w:r>
          </w:p>
        </w:tc>
        <w:tc>
          <w:tcPr>
            <w:tcW w:w="1319" w:type="dxa"/>
            <w:tcBorders>
              <w:bottom w:val="single" w:sz="12" w:space="0" w:color="4F2D7F" w:themeColor="accent1"/>
            </w:tcBorders>
            <w:vAlign w:val="center"/>
          </w:tcPr>
          <w:p w14:paraId="3D25C6B5" w14:textId="630585BA" w:rsidR="00483A80" w:rsidRPr="00852824" w:rsidRDefault="00873EAB" w:rsidP="00852824">
            <w:pPr>
              <w:pStyle w:val="BodyText"/>
              <w:keepNext/>
              <w:keepLines/>
              <w:spacing w:before="0" w:after="0"/>
              <w:jc w:val="right"/>
              <w:rPr>
                <w:sz w:val="14"/>
                <w:szCs w:val="14"/>
              </w:rPr>
            </w:pPr>
            <w:r w:rsidRPr="00852824">
              <w:rPr>
                <w:sz w:val="14"/>
                <w:szCs w:val="14"/>
              </w:rPr>
              <w:t>100</w:t>
            </w:r>
          </w:p>
        </w:tc>
        <w:tc>
          <w:tcPr>
            <w:tcW w:w="1216" w:type="dxa"/>
            <w:tcBorders>
              <w:bottom w:val="single" w:sz="12" w:space="0" w:color="4F2D7F" w:themeColor="accent1"/>
            </w:tcBorders>
            <w:vAlign w:val="center"/>
          </w:tcPr>
          <w:p w14:paraId="6D44EFFC" w14:textId="6BE33C3F" w:rsidR="00483A80" w:rsidRPr="00852824" w:rsidRDefault="00873EAB" w:rsidP="00852824">
            <w:pPr>
              <w:pStyle w:val="BodyText"/>
              <w:keepNext/>
              <w:keepLines/>
              <w:spacing w:before="0" w:after="0"/>
              <w:jc w:val="right"/>
              <w:rPr>
                <w:sz w:val="14"/>
                <w:szCs w:val="14"/>
              </w:rPr>
            </w:pPr>
            <w:r w:rsidRPr="00852824">
              <w:rPr>
                <w:sz w:val="14"/>
                <w:szCs w:val="14"/>
              </w:rPr>
              <w:t>50</w:t>
            </w:r>
          </w:p>
        </w:tc>
        <w:tc>
          <w:tcPr>
            <w:tcW w:w="1382" w:type="dxa"/>
            <w:tcBorders>
              <w:bottom w:val="single" w:sz="12" w:space="0" w:color="4F2D7F" w:themeColor="accent1"/>
            </w:tcBorders>
            <w:vAlign w:val="center"/>
          </w:tcPr>
          <w:p w14:paraId="08B77569" w14:textId="4B5820FA" w:rsidR="00483A80" w:rsidRPr="00852824" w:rsidRDefault="00873EAB" w:rsidP="00852824">
            <w:pPr>
              <w:pStyle w:val="BodyText"/>
              <w:keepNext/>
              <w:keepLines/>
              <w:spacing w:before="0" w:after="0"/>
              <w:jc w:val="right"/>
              <w:rPr>
                <w:sz w:val="14"/>
                <w:szCs w:val="14"/>
              </w:rPr>
            </w:pPr>
            <w:r w:rsidRPr="00852824">
              <w:rPr>
                <w:sz w:val="14"/>
                <w:szCs w:val="14"/>
              </w:rPr>
              <w:t>800</w:t>
            </w:r>
          </w:p>
        </w:tc>
        <w:tc>
          <w:tcPr>
            <w:tcW w:w="1549" w:type="dxa"/>
            <w:tcBorders>
              <w:bottom w:val="single" w:sz="12" w:space="0" w:color="4F2D7F" w:themeColor="accent1"/>
            </w:tcBorders>
            <w:vAlign w:val="center"/>
          </w:tcPr>
          <w:p w14:paraId="011FEF20" w14:textId="0C6FEF7D" w:rsidR="00483A80" w:rsidRPr="00852824" w:rsidRDefault="00873EAB" w:rsidP="00852824">
            <w:pPr>
              <w:pStyle w:val="BodyText"/>
              <w:keepNext/>
              <w:keepLines/>
              <w:spacing w:before="0" w:after="0"/>
              <w:jc w:val="right"/>
              <w:rPr>
                <w:sz w:val="14"/>
                <w:szCs w:val="14"/>
              </w:rPr>
            </w:pPr>
            <w:r w:rsidRPr="00852824">
              <w:rPr>
                <w:sz w:val="14"/>
                <w:szCs w:val="14"/>
              </w:rPr>
              <w:t>50</w:t>
            </w:r>
          </w:p>
        </w:tc>
      </w:tr>
    </w:tbl>
    <w:p w14:paraId="07B4E415" w14:textId="3F4C8B4E" w:rsidR="009534F5" w:rsidRDefault="009534F5">
      <w:pPr>
        <w:pStyle w:val="Caption"/>
      </w:pPr>
      <w:r>
        <w:t xml:space="preserve">Tabulka </w:t>
      </w:r>
      <w:r>
        <w:fldChar w:fldCharType="begin"/>
      </w:r>
      <w:r>
        <w:instrText xml:space="preserve"> SEQ Tabulka \* ARABIC </w:instrText>
      </w:r>
      <w:r>
        <w:fldChar w:fldCharType="separate"/>
      </w:r>
      <w:r>
        <w:rPr>
          <w:noProof/>
        </w:rPr>
        <w:t>1</w:t>
      </w:r>
      <w:r>
        <w:fldChar w:fldCharType="end"/>
      </w:r>
      <w:r>
        <w:t xml:space="preserve"> </w:t>
      </w:r>
      <w:r w:rsidR="00852824">
        <w:t>–</w:t>
      </w:r>
      <w:r>
        <w:t xml:space="preserve"> </w:t>
      </w:r>
      <w:r w:rsidR="00852824">
        <w:t>Ceník KSUS Středočeský kraj</w:t>
      </w:r>
    </w:p>
    <w:p w14:paraId="178FD481" w14:textId="1EE2F09A" w:rsidR="00D80572" w:rsidRPr="00BF13EB" w:rsidRDefault="00AD5A26" w:rsidP="0057475C">
      <w:pPr>
        <w:pStyle w:val="BodyText"/>
        <w:jc w:val="both"/>
      </w:pPr>
      <w:r w:rsidRPr="00E27CC9">
        <w:rPr>
          <w:b/>
          <w:bCs/>
        </w:rPr>
        <w:t>Splatnost</w:t>
      </w:r>
      <w:r w:rsidR="003F416B">
        <w:rPr>
          <w:b/>
          <w:bCs/>
        </w:rPr>
        <w:t xml:space="preserve"> </w:t>
      </w:r>
      <w:r w:rsidR="001C33C1">
        <w:rPr>
          <w:b/>
          <w:bCs/>
        </w:rPr>
        <w:t>ná</w:t>
      </w:r>
      <w:r w:rsidR="00AA447B">
        <w:rPr>
          <w:b/>
          <w:bCs/>
        </w:rPr>
        <w:t xml:space="preserve">hrady za zřízení </w:t>
      </w:r>
      <w:r w:rsidR="001C33C1">
        <w:rPr>
          <w:b/>
          <w:bCs/>
        </w:rPr>
        <w:t>věcného břemene</w:t>
      </w:r>
      <w:r w:rsidRPr="00BF13EB">
        <w:t xml:space="preserve"> upravuje ceník</w:t>
      </w:r>
      <w:r w:rsidR="00316F55" w:rsidRPr="00BF13EB">
        <w:t xml:space="preserve"> v</w:t>
      </w:r>
      <w:r w:rsidRPr="00BF13EB">
        <w:t xml:space="preserve"> bodu e)</w:t>
      </w:r>
      <w:r w:rsidR="00E94E9F" w:rsidRPr="00BF13EB">
        <w:t xml:space="preserve"> </w:t>
      </w:r>
      <w:r w:rsidR="006B3C22" w:rsidRPr="00BF13EB">
        <w:t>O</w:t>
      </w:r>
      <w:r w:rsidR="00E94E9F" w:rsidRPr="00BF13EB">
        <w:t>becných zásad</w:t>
      </w:r>
      <w:r w:rsidR="00BF6F20" w:rsidRPr="00BF13EB">
        <w:t>, kde stanovuje, že „</w:t>
      </w:r>
      <w:r w:rsidR="00BF6F20" w:rsidRPr="00BF13EB">
        <w:rPr>
          <w:i/>
          <w:iCs/>
        </w:rPr>
        <w:t>nájemné, náhrady za omezení užívání silnic a za zřízení věcného břemene vyplývající ze smluvních vztahů jsou splatné zásadně předem</w:t>
      </w:r>
      <w:r w:rsidR="00BF6F20" w:rsidRPr="00BF13EB">
        <w:t>“.</w:t>
      </w:r>
      <w:r w:rsidR="00966340">
        <w:t xml:space="preserve"> Zde myšlen</w:t>
      </w:r>
      <w:r w:rsidR="00E962C4">
        <w:t>a</w:t>
      </w:r>
      <w:r w:rsidR="00966340">
        <w:t xml:space="preserve"> je splatnost 100 % </w:t>
      </w:r>
      <w:r w:rsidR="003829DF">
        <w:t>náhrady.</w:t>
      </w:r>
    </w:p>
    <w:p w14:paraId="2F782013" w14:textId="2F260CD3" w:rsidR="0024744B" w:rsidRDefault="0024744B" w:rsidP="0057475C">
      <w:pPr>
        <w:pStyle w:val="BodyText"/>
        <w:jc w:val="both"/>
      </w:pPr>
      <w:r w:rsidRPr="003D20F7">
        <w:rPr>
          <w:b/>
          <w:bCs/>
        </w:rPr>
        <w:t>Pře</w:t>
      </w:r>
      <w:r w:rsidR="005F3CE5">
        <w:rPr>
          <w:b/>
          <w:bCs/>
        </w:rPr>
        <w:t>kládku</w:t>
      </w:r>
      <w:r w:rsidRPr="003D20F7">
        <w:rPr>
          <w:b/>
          <w:bCs/>
        </w:rPr>
        <w:t xml:space="preserve"> sítě</w:t>
      </w:r>
      <w:r>
        <w:t xml:space="preserve"> dle ceníku „</w:t>
      </w:r>
      <w:r w:rsidRPr="006B557A">
        <w:rPr>
          <w:i/>
          <w:iCs/>
        </w:rPr>
        <w:t>hradí vlastník sítě bez ohledu na to, kdo přeložku vyvolal, v ostatních případech je postup podle z.č.13/1997Sb, §36,</w:t>
      </w:r>
      <w:r>
        <w:rPr>
          <w:i/>
          <w:iCs/>
        </w:rPr>
        <w:t xml:space="preserve"> </w:t>
      </w:r>
      <w:r w:rsidRPr="006B557A">
        <w:rPr>
          <w:i/>
          <w:iCs/>
        </w:rPr>
        <w:t>odst.7</w:t>
      </w:r>
      <w:r>
        <w:t>“. Zmíněný odstavec stanovuje, že „</w:t>
      </w:r>
      <w:r w:rsidRPr="0000051A">
        <w:rPr>
          <w:i/>
          <w:iCs/>
        </w:rPr>
        <w:t>při výstavbě nové dálnice, silnice nebo místní komunikace nebo při jejich rekonstrukci je objednatel této stavby povinen uhradit jen vyvolané nezbytné úpravy přímo dotčeného úseku vedení, a to na úrovni stávajícího technického řešení. Úpravy související s modernizací nebo se zvýšením výkonnosti vedení je povinen uhradit jejich vlastník</w:t>
      </w:r>
      <w:r w:rsidRPr="0095213F">
        <w:t>.</w:t>
      </w:r>
      <w:r>
        <w:t>“</w:t>
      </w:r>
      <w:r w:rsidR="009F1C75">
        <w:t xml:space="preserve"> Tímto je povinným subjektem k úhradě pře</w:t>
      </w:r>
      <w:r w:rsidR="00677000">
        <w:t>kládky</w:t>
      </w:r>
      <w:r w:rsidR="009F1C75">
        <w:t xml:space="preserve"> </w:t>
      </w:r>
      <w:r w:rsidR="00201E6A">
        <w:t>v podstatě vždy vlastník sítě.</w:t>
      </w:r>
    </w:p>
    <w:p w14:paraId="552B897C" w14:textId="71FC3D29" w:rsidR="0024744B" w:rsidRDefault="0024744B" w:rsidP="0057475C">
      <w:pPr>
        <w:pStyle w:val="BodyText"/>
        <w:jc w:val="both"/>
      </w:pPr>
      <w:r w:rsidRPr="00201E6A">
        <w:rPr>
          <w:b/>
          <w:bCs/>
        </w:rPr>
        <w:t>Výjimku</w:t>
      </w:r>
      <w:r w:rsidRPr="00201E6A">
        <w:t xml:space="preserve"> při určování výše náhrady tvoří </w:t>
      </w:r>
      <w:r w:rsidRPr="00201E6A">
        <w:rPr>
          <w:b/>
          <w:bCs/>
        </w:rPr>
        <w:t>energetický sektor</w:t>
      </w:r>
      <w:r w:rsidRPr="00201E6A">
        <w:t>, kde se dle ceníku bude postupovat dle „</w:t>
      </w:r>
      <w:r w:rsidRPr="00201E6A">
        <w:rPr>
          <w:i/>
          <w:iCs/>
        </w:rPr>
        <w:t>obecně závazných oceňovacích předpisů</w:t>
      </w:r>
      <w:r w:rsidRPr="00201E6A">
        <w:t xml:space="preserve">“. Při oceňování věcných břemen se tedy postupuje dle </w:t>
      </w:r>
      <w:r w:rsidRPr="00201E6A">
        <w:rPr>
          <w:i/>
          <w:iCs/>
        </w:rPr>
        <w:t>§3</w:t>
      </w:r>
      <w:r w:rsidR="00254D86">
        <w:rPr>
          <w:i/>
          <w:iCs/>
        </w:rPr>
        <w:t>9</w:t>
      </w:r>
      <w:r w:rsidRPr="00201E6A">
        <w:rPr>
          <w:i/>
          <w:iCs/>
        </w:rPr>
        <w:t xml:space="preserve">b </w:t>
      </w:r>
      <w:r w:rsidRPr="00201E6A">
        <w:t>oceňovací vyhlášky č.488/2020 Sb, kterou se mění vyhláška č. 441/2013 Sb., k provedení zákona o oceňování majetku, na kterou odkazuje energetický zákon.</w:t>
      </w:r>
    </w:p>
    <w:p w14:paraId="38895886" w14:textId="526E9C7F" w:rsidR="00B00E9B" w:rsidRDefault="00B00E9B" w:rsidP="0057475C">
      <w:pPr>
        <w:pStyle w:val="BodyText"/>
        <w:jc w:val="both"/>
      </w:pPr>
      <w:r>
        <w:t xml:space="preserve">Stanovení náhrad za zřízení věcného břemen </w:t>
      </w:r>
      <w:r w:rsidRPr="009456D0">
        <w:rPr>
          <w:b/>
          <w:bCs/>
        </w:rPr>
        <w:t>v ostatních případech</w:t>
      </w:r>
      <w:r w:rsidR="00942A4D">
        <w:t xml:space="preserve"> (opěrné, zárubní zdi atd.)</w:t>
      </w:r>
      <w:r w:rsidR="008A5BA0">
        <w:t xml:space="preserve"> ceník upravuje prostřednictvím</w:t>
      </w:r>
      <w:r w:rsidR="003D20F7">
        <w:t xml:space="preserve"> následujícího</w:t>
      </w:r>
      <w:r w:rsidR="008A5BA0">
        <w:t xml:space="preserve"> vz</w:t>
      </w:r>
      <w:r w:rsidR="000145B6">
        <w:t>orce:</w:t>
      </w:r>
    </w:p>
    <w:p w14:paraId="77EA27D6" w14:textId="03E6A448" w:rsidR="000145B6" w:rsidRDefault="00E04D85" w:rsidP="00D55715">
      <w:pPr>
        <w:pStyle w:val="BodyText"/>
      </w:pPr>
      <w:r>
        <w:t>n</w:t>
      </w:r>
      <w:r w:rsidR="000145B6">
        <w:t>áhrad</w:t>
      </w:r>
      <w:r>
        <w:t>a</w:t>
      </w:r>
      <w:r w:rsidR="000145B6">
        <w:t xml:space="preserve"> v Kč = (</w:t>
      </w:r>
      <w:r w:rsidR="005F5697">
        <w:t>X</w:t>
      </w:r>
      <w:r w:rsidR="000145B6">
        <w:t xml:space="preserve"> </w:t>
      </w:r>
      <w:r w:rsidR="00DC1210">
        <w:t>x</w:t>
      </w:r>
      <w:r w:rsidR="000145B6">
        <w:t xml:space="preserve"> 0,05)</w:t>
      </w:r>
      <w:r w:rsidR="00DC1210">
        <w:t xml:space="preserve"> x m</w:t>
      </w:r>
      <w:r w:rsidR="00DC1210" w:rsidRPr="00FA78FE">
        <w:rPr>
          <w:vertAlign w:val="superscript"/>
        </w:rPr>
        <w:t>2</w:t>
      </w:r>
      <w:r w:rsidR="00DC1210">
        <w:t xml:space="preserve"> x 5</w:t>
      </w:r>
    </w:p>
    <w:p w14:paraId="764C9E43" w14:textId="47974F37" w:rsidR="00DC1210" w:rsidRDefault="00E04D85" w:rsidP="00D55715">
      <w:pPr>
        <w:pStyle w:val="BodyText"/>
      </w:pPr>
      <w:r>
        <w:t>k</w:t>
      </w:r>
      <w:r w:rsidR="00DC1210">
        <w:t>de</w:t>
      </w:r>
      <w:r w:rsidR="001A6FF7">
        <w:t>:</w:t>
      </w:r>
    </w:p>
    <w:p w14:paraId="5CE819B4" w14:textId="15D21C5C" w:rsidR="00FA055D" w:rsidRPr="00201E6A" w:rsidRDefault="005F5697" w:rsidP="00EA2655">
      <w:pPr>
        <w:pStyle w:val="BodyText"/>
        <w:numPr>
          <w:ilvl w:val="0"/>
          <w:numId w:val="16"/>
        </w:numPr>
        <w:spacing w:after="0"/>
        <w:ind w:left="714" w:hanging="357"/>
        <w:contextualSpacing/>
        <w:rPr>
          <w:i/>
          <w:iCs/>
        </w:rPr>
      </w:pPr>
      <w:r w:rsidRPr="00201E6A">
        <w:rPr>
          <w:b/>
          <w:bCs/>
          <w:i/>
          <w:iCs/>
        </w:rPr>
        <w:t>X</w:t>
      </w:r>
      <w:r w:rsidR="00E04D85" w:rsidRPr="00201E6A">
        <w:rPr>
          <w:i/>
          <w:iCs/>
        </w:rPr>
        <w:t xml:space="preserve"> =cena pozemku v místě a čase obvyklá </w:t>
      </w:r>
    </w:p>
    <w:p w14:paraId="1F7DC047" w14:textId="4CF7E3B9" w:rsidR="00E04D85" w:rsidRPr="00201E6A" w:rsidRDefault="00E04D85" w:rsidP="00EA2655">
      <w:pPr>
        <w:pStyle w:val="BodyText"/>
        <w:numPr>
          <w:ilvl w:val="0"/>
          <w:numId w:val="16"/>
        </w:numPr>
        <w:spacing w:after="0"/>
        <w:ind w:left="714" w:hanging="357"/>
        <w:contextualSpacing/>
        <w:rPr>
          <w:i/>
          <w:iCs/>
        </w:rPr>
      </w:pPr>
      <w:r w:rsidRPr="00201E6A">
        <w:rPr>
          <w:b/>
          <w:bCs/>
          <w:i/>
          <w:iCs/>
        </w:rPr>
        <w:t>0,05</w:t>
      </w:r>
      <w:r w:rsidRPr="00201E6A">
        <w:rPr>
          <w:i/>
          <w:iCs/>
        </w:rPr>
        <w:t xml:space="preserve"> = 5 % z ceny pozemku</w:t>
      </w:r>
    </w:p>
    <w:p w14:paraId="0C3E556D" w14:textId="1C7320C8" w:rsidR="00E04D85" w:rsidRPr="00201E6A" w:rsidRDefault="00E04D85" w:rsidP="00EA2655">
      <w:pPr>
        <w:pStyle w:val="BodyText"/>
        <w:numPr>
          <w:ilvl w:val="0"/>
          <w:numId w:val="16"/>
        </w:numPr>
        <w:spacing w:after="0"/>
        <w:ind w:left="714" w:hanging="357"/>
        <w:contextualSpacing/>
        <w:rPr>
          <w:i/>
          <w:iCs/>
        </w:rPr>
      </w:pPr>
      <w:r w:rsidRPr="00201E6A">
        <w:rPr>
          <w:b/>
          <w:bCs/>
          <w:i/>
          <w:iCs/>
        </w:rPr>
        <w:t>m</w:t>
      </w:r>
      <w:r w:rsidR="00201E6A">
        <w:rPr>
          <w:b/>
          <w:bCs/>
          <w:i/>
          <w:iCs/>
          <w:vertAlign w:val="superscript"/>
        </w:rPr>
        <w:t>2</w:t>
      </w:r>
      <w:r w:rsidRPr="00201E6A">
        <w:rPr>
          <w:i/>
          <w:iCs/>
        </w:rPr>
        <w:t xml:space="preserve"> = rozsah práva věcného břemene</w:t>
      </w:r>
    </w:p>
    <w:p w14:paraId="48F3B533" w14:textId="42387DC9" w:rsidR="00DC1210" w:rsidRPr="00201E6A" w:rsidRDefault="00E04D85" w:rsidP="00EA2655">
      <w:pPr>
        <w:pStyle w:val="BodyText"/>
        <w:numPr>
          <w:ilvl w:val="0"/>
          <w:numId w:val="16"/>
        </w:numPr>
        <w:spacing w:after="0"/>
        <w:ind w:left="714" w:hanging="357"/>
        <w:contextualSpacing/>
        <w:rPr>
          <w:i/>
          <w:iCs/>
        </w:rPr>
      </w:pPr>
      <w:r w:rsidRPr="00201E6A">
        <w:rPr>
          <w:b/>
          <w:bCs/>
          <w:i/>
          <w:iCs/>
        </w:rPr>
        <w:t>5</w:t>
      </w:r>
      <w:r w:rsidRPr="00201E6A">
        <w:rPr>
          <w:i/>
          <w:iCs/>
        </w:rPr>
        <w:t xml:space="preserve"> = koeficient</w:t>
      </w:r>
    </w:p>
    <w:p w14:paraId="7049316C" w14:textId="6AA3693F" w:rsidR="007D7DBE" w:rsidRDefault="007D7DBE" w:rsidP="007D7DBE">
      <w:pPr>
        <w:pStyle w:val="BodyText"/>
        <w:spacing w:after="0"/>
      </w:pPr>
      <w:r>
        <w:t>Stávající cení</w:t>
      </w:r>
      <w:r w:rsidR="003E3FA9">
        <w:t>k</w:t>
      </w:r>
      <w:r>
        <w:t xml:space="preserve"> </w:t>
      </w:r>
      <w:r w:rsidR="00F21187">
        <w:t xml:space="preserve">(metodický postup) </w:t>
      </w:r>
      <w:r w:rsidRPr="008507E5">
        <w:rPr>
          <w:b/>
          <w:bCs/>
        </w:rPr>
        <w:t>neumožňuje určit výši náhrady</w:t>
      </w:r>
      <w:r>
        <w:t xml:space="preserve"> za zřízení </w:t>
      </w:r>
      <w:r w:rsidR="00353455">
        <w:t>věcného břemene</w:t>
      </w:r>
      <w:r>
        <w:t xml:space="preserve"> prostřednictvím </w:t>
      </w:r>
      <w:r w:rsidRPr="008507E5">
        <w:rPr>
          <w:b/>
          <w:bCs/>
        </w:rPr>
        <w:t>znaleckého posudku</w:t>
      </w:r>
      <w:r>
        <w:t>.</w:t>
      </w:r>
    </w:p>
    <w:p w14:paraId="6DCB7EC5" w14:textId="77777777" w:rsidR="00E05196" w:rsidRPr="000962F8" w:rsidRDefault="00E05196" w:rsidP="001B1408">
      <w:pPr>
        <w:pStyle w:val="Heading2"/>
      </w:pPr>
      <w:bookmarkStart w:id="4" w:name="_Toc106622206"/>
      <w:r>
        <w:t>Práva a povinnosti</w:t>
      </w:r>
      <w:bookmarkEnd w:id="4"/>
    </w:p>
    <w:p w14:paraId="32CB3238" w14:textId="77777777" w:rsidR="00E05196" w:rsidRDefault="00E05196" w:rsidP="00E05196">
      <w:pPr>
        <w:pStyle w:val="BodyText"/>
      </w:pPr>
      <w:r>
        <w:t>Žadatel jakožto budoucí oprávněný je dle ceníku povinen:</w:t>
      </w:r>
    </w:p>
    <w:p w14:paraId="3852627D" w14:textId="77777777" w:rsidR="00E05196" w:rsidRDefault="00E05196" w:rsidP="00EA2655">
      <w:pPr>
        <w:pStyle w:val="BodyText"/>
        <w:numPr>
          <w:ilvl w:val="0"/>
          <w:numId w:val="11"/>
        </w:numPr>
        <w:spacing w:after="120"/>
        <w:ind w:left="714" w:hanging="357"/>
        <w:contextualSpacing/>
      </w:pPr>
      <w:r>
        <w:t xml:space="preserve">Uhradit fakturu náhrady za omezení užívání nebo zřízení věcného břemene </w:t>
      </w:r>
      <w:r w:rsidRPr="00FF1426">
        <w:rPr>
          <w:b/>
          <w:bCs/>
        </w:rPr>
        <w:t>před zahájením stavebních prací</w:t>
      </w:r>
      <w:r>
        <w:t>. Případné rozdíly plynoucí ze skutečného provedení stavby budou určeny dle geometrického plánu.</w:t>
      </w:r>
    </w:p>
    <w:p w14:paraId="4B992E93" w14:textId="77777777" w:rsidR="00E05196" w:rsidRDefault="00E05196" w:rsidP="00EA2655">
      <w:pPr>
        <w:pStyle w:val="BodyText"/>
        <w:numPr>
          <w:ilvl w:val="0"/>
          <w:numId w:val="11"/>
        </w:numPr>
        <w:spacing w:after="120"/>
        <w:ind w:left="714" w:hanging="357"/>
        <w:contextualSpacing/>
      </w:pPr>
      <w:r>
        <w:t>Po dokončení stavby zaměřit objekt dle skutečného provedení a zajistit zpracování geometrického plánu.</w:t>
      </w:r>
    </w:p>
    <w:p w14:paraId="4E9C9D16" w14:textId="33D33CBE" w:rsidR="00E05196" w:rsidRDefault="00E05196" w:rsidP="00EA2655">
      <w:pPr>
        <w:pStyle w:val="BodyText"/>
        <w:numPr>
          <w:ilvl w:val="0"/>
          <w:numId w:val="11"/>
        </w:numPr>
        <w:spacing w:after="120"/>
        <w:contextualSpacing/>
      </w:pPr>
      <w:r>
        <w:t>Podat návrh na vklad do katastru nemovitostí a uhradit náklady s ním spojené</w:t>
      </w:r>
      <w:r w:rsidR="0027138E">
        <w:t>.</w:t>
      </w:r>
    </w:p>
    <w:p w14:paraId="0E129313" w14:textId="77777777" w:rsidR="002206A0" w:rsidRDefault="002206A0" w:rsidP="0057475C">
      <w:pPr>
        <w:pStyle w:val="BodyText"/>
        <w:spacing w:after="120"/>
        <w:ind w:left="720"/>
        <w:contextualSpacing/>
        <w:jc w:val="both"/>
      </w:pPr>
    </w:p>
    <w:p w14:paraId="3E1A558A" w14:textId="37E16852" w:rsidR="00C52962" w:rsidRDefault="00C52962" w:rsidP="0057475C">
      <w:pPr>
        <w:pStyle w:val="BodyText"/>
        <w:spacing w:after="120"/>
        <w:contextualSpacing/>
        <w:jc w:val="both"/>
      </w:pPr>
      <w:r>
        <w:t xml:space="preserve">Mimo jiné je subjekt žadatele, tedy budoucí vlastník infrastruktury (věcného břemene) </w:t>
      </w:r>
      <w:r w:rsidR="002206A0">
        <w:t>povinován úhradou pře</w:t>
      </w:r>
      <w:r w:rsidR="00D357AA">
        <w:t>kládek</w:t>
      </w:r>
      <w:r w:rsidR="002206A0">
        <w:t>.</w:t>
      </w:r>
    </w:p>
    <w:p w14:paraId="69432D1B" w14:textId="77777777" w:rsidR="00E05196" w:rsidRDefault="00E05196" w:rsidP="00776E22">
      <w:pPr>
        <w:pStyle w:val="BodyText"/>
        <w:spacing w:before="240"/>
      </w:pPr>
      <w:r>
        <w:t>KSÚS jakožto budoucí povinný je dle ceníku povinen:</w:t>
      </w:r>
    </w:p>
    <w:p w14:paraId="51265606" w14:textId="0B8EAC35" w:rsidR="00E05196" w:rsidRDefault="00E05196" w:rsidP="00EA2655">
      <w:pPr>
        <w:pStyle w:val="BodyText"/>
        <w:numPr>
          <w:ilvl w:val="0"/>
          <w:numId w:val="12"/>
        </w:numPr>
        <w:ind w:left="714" w:hanging="357"/>
        <w:contextualSpacing/>
      </w:pPr>
      <w:r>
        <w:t>Zajistit vypracování smlouvy o zřízení věcného břemene</w:t>
      </w:r>
      <w:r w:rsidR="0027138E">
        <w:t>.</w:t>
      </w:r>
    </w:p>
    <w:p w14:paraId="47F1FD15" w14:textId="1B897AA2" w:rsidR="00E05196" w:rsidRDefault="00E553A0" w:rsidP="00EA2655">
      <w:pPr>
        <w:pStyle w:val="BodyText"/>
        <w:numPr>
          <w:ilvl w:val="0"/>
          <w:numId w:val="12"/>
        </w:numPr>
        <w:ind w:left="714" w:hanging="357"/>
        <w:contextualSpacing/>
      </w:pPr>
      <w:r>
        <w:t>P</w:t>
      </w:r>
      <w:r w:rsidR="00E05196">
        <w:t>o podpisu smlouvy KSÚS zajistit j</w:t>
      </w:r>
      <w:r w:rsidR="00E05196" w:rsidRPr="009D0987">
        <w:t>ménem Středočeského kraje zastoupeného KSÚS následnou fakturaci náhrady za zřízení věcného břemene</w:t>
      </w:r>
      <w:r w:rsidR="00E05196">
        <w:rPr>
          <w:rStyle w:val="FootnoteReference"/>
        </w:rPr>
        <w:footnoteReference w:id="3"/>
      </w:r>
      <w:r w:rsidR="00F33F1A">
        <w:t>.</w:t>
      </w:r>
    </w:p>
    <w:p w14:paraId="7BEF5299" w14:textId="22F8725E" w:rsidR="004F68E6" w:rsidRDefault="00164443" w:rsidP="003E55E4">
      <w:pPr>
        <w:pStyle w:val="Heading1"/>
        <w:framePr w:h="3223" w:hRule="exact" w:wrap="around"/>
        <w:ind w:left="709" w:hanging="709"/>
      </w:pPr>
      <w:bookmarkStart w:id="5" w:name="_Toc106622207"/>
      <w:r>
        <w:t xml:space="preserve">Metodika </w:t>
      </w:r>
      <w:r w:rsidR="001A3C5C">
        <w:t>přístupu ke služebnosti</w:t>
      </w:r>
      <w:r w:rsidR="001A0958">
        <w:t xml:space="preserve"> – </w:t>
      </w:r>
      <w:r w:rsidR="004B58E8">
        <w:t>N</w:t>
      </w:r>
      <w:r w:rsidR="001A0958">
        <w:t>ávrh doporučení</w:t>
      </w:r>
      <w:bookmarkEnd w:id="5"/>
    </w:p>
    <w:p w14:paraId="71EC1276" w14:textId="7CC263A6" w:rsidR="00C45890" w:rsidRDefault="006740BF" w:rsidP="00096FCE">
      <w:pPr>
        <w:pStyle w:val="Heading2"/>
      </w:pPr>
      <w:bookmarkStart w:id="6" w:name="_Toc106622208"/>
      <w:r>
        <w:t xml:space="preserve">Legislativní východiska pro infrastrukturu </w:t>
      </w:r>
      <w:r w:rsidR="00500571">
        <w:t>elektronických komunikací</w:t>
      </w:r>
      <w:bookmarkEnd w:id="6"/>
    </w:p>
    <w:p w14:paraId="1BA41DB7" w14:textId="6DF89387" w:rsidR="00392316" w:rsidRDefault="0057475C" w:rsidP="0057475C">
      <w:pPr>
        <w:jc w:val="both"/>
      </w:pPr>
      <w:r>
        <w:t>Mezi výchozí legislativu patří již zmíněné v</w:t>
      </w:r>
      <w:r w:rsidR="00636EDB">
        <w:t xml:space="preserve">iz </w:t>
      </w:r>
      <w:r w:rsidR="00636EDB" w:rsidRPr="00C2169C">
        <w:t>Akční plán rozvoje sítí elektronických komunikací na území Středočeského kraj</w:t>
      </w:r>
      <w:r w:rsidR="00636EDB">
        <w:t>e</w:t>
      </w:r>
      <w:r>
        <w:t>:</w:t>
      </w:r>
    </w:p>
    <w:p w14:paraId="50D2D023" w14:textId="616E8972" w:rsidR="009F18DF" w:rsidRDefault="00636EDB" w:rsidP="0057475C">
      <w:pPr>
        <w:jc w:val="both"/>
      </w:pPr>
      <w:r>
        <w:t>„</w:t>
      </w:r>
      <w:r w:rsidR="009F18DF" w:rsidRPr="00636EDB">
        <w:rPr>
          <w:i/>
          <w:iCs/>
        </w:rPr>
        <w:t>Samotný národní a nadnárodní (EU) regulační rámec dotýkající se sektoru elektronických komunikací prochází v současnosti novelizací a dochází k transpozici směrnice Evropského parlamentu a Rady (EU) 2018/1972 ze dne 11. prosince 2018, kdy transpoziční novela návrhu zákona byla dne 27. 9. 2021 podepsána Prezidentem České republiky. Tím dochází k zásadním změnám, předně posílení ochrany spotřebitele a jejího sjednocení v rámci evropského prostředí, či zajištění lepších podmínek vstupu na trh, zde například zajištění lepších podmínek pro snadnější budování sítí elektronických komunikací a poskytování služeb. Díky tomu dochází k umožnění provedení tohoto akčního plánu, jelikož dochází k řešení některých legislativních bariér. V současností platným legislativním rámcem je zejména zákon o elektronických komunikacích (Zákon č. 127/2005 Sb.). Poslední jeho významnou novelou byl zákon č. 311/2019 Sb.</w:t>
      </w:r>
      <w:r w:rsidR="00FA4836" w:rsidRPr="00636EDB">
        <w:rPr>
          <w:i/>
          <w:iCs/>
        </w:rPr>
        <w:t xml:space="preserve"> </w:t>
      </w:r>
      <w:r w:rsidR="009F18DF" w:rsidRPr="00636EDB">
        <w:rPr>
          <w:i/>
          <w:iCs/>
        </w:rPr>
        <w:t>Dalším, v souvislosti s tímto akčním plánem významným legislativním předpisem, je zákon č, 194/2017 Sb. o opatřeních ke snížení nákladů na zavádění vysokorychlostních sítí elektronických komunikací a o změně některých souvisejících zákonů</w:t>
      </w:r>
      <w:r w:rsidR="009F18DF">
        <w:t>.</w:t>
      </w:r>
      <w:r>
        <w:t>“</w:t>
      </w:r>
    </w:p>
    <w:p w14:paraId="7E8105CB" w14:textId="10B4E8D3" w:rsidR="00744257" w:rsidRDefault="00A4101A" w:rsidP="0057475C">
      <w:pPr>
        <w:jc w:val="both"/>
      </w:pPr>
      <w:r>
        <w:t>„</w:t>
      </w:r>
      <w:r w:rsidR="00744257" w:rsidRPr="00A4101A">
        <w:rPr>
          <w:i/>
          <w:iCs/>
        </w:rPr>
        <w:t>V oblasti oceňování je výchozím legislativním rámcem zákon 237/2020 Sb. spolu s Vyhláškou 488/2020 Sb. První zmíněný je Zákon č. 237/2020 Sb. Zákon, kterým se mění zákon č. 151/1997 Sb., o oceňování majetku a o změně některých zákonů (zákon o oceňování majetku), ve znění pozdějších předpisů, a další související zákony spolu s Vyhláškou č. 488/2020 Sb. Vyhláška, kterou se mění vyhláška č. 441/2013 Sb., k provedení zákona o oceňování majetku (oceňovací vyhláška), ve znění pozdějších předpisů</w:t>
      </w:r>
      <w:r w:rsidR="00744257">
        <w:t>.</w:t>
      </w:r>
      <w:r>
        <w:t>“</w:t>
      </w:r>
    </w:p>
    <w:p w14:paraId="4287A2C9" w14:textId="11B379B7" w:rsidR="009F18DF" w:rsidRDefault="00A4101A" w:rsidP="0057475C">
      <w:pPr>
        <w:jc w:val="both"/>
      </w:pPr>
      <w:r>
        <w:t>„</w:t>
      </w:r>
      <w:r w:rsidR="009F18DF" w:rsidRPr="00A4101A">
        <w:rPr>
          <w:i/>
          <w:iCs/>
        </w:rPr>
        <w:t>Výchozím legislativním rámcem v oblasti pozemních komunikacích je zejména zákon č. 162/2020 Sb. Zákon, kterým se mění zákon č. 13/1997 Sb., o pozemních komunikacích, ve znění pozdějších předpisů. Dále také zákon č. 416/2009 Sb. Zákon o urychlení výstavby dopravní, vodní a energetické infrastruktury a infrastruktury elektronických komunikací (liniový zákon). Transpoziční novela zákona o elektronických komunikacích dochází také ke změně některých ustanovení zákona č. 13/1997 Sb. o pozemních komunikacích ve znění pozdějších předpisů</w:t>
      </w:r>
      <w:r w:rsidR="009F18DF">
        <w:t>.</w:t>
      </w:r>
      <w:r>
        <w:t>“</w:t>
      </w:r>
    </w:p>
    <w:p w14:paraId="0BD224D8" w14:textId="5DA39BE9" w:rsidR="00B45A7A" w:rsidRDefault="00B45A7A" w:rsidP="0057475C">
      <w:pPr>
        <w:jc w:val="both"/>
      </w:pPr>
      <w:r>
        <w:t xml:space="preserve">Nad rámec je zde jako východisko využito </w:t>
      </w:r>
      <w:r w:rsidR="00F51FEF">
        <w:t>Souhrnného</w:t>
      </w:r>
      <w:r>
        <w:t xml:space="preserve"> stanoviska</w:t>
      </w:r>
      <w:r w:rsidR="00F51FEF" w:rsidRPr="00F51FEF">
        <w:t xml:space="preserve"> </w:t>
      </w:r>
      <w:r w:rsidR="00F51FEF">
        <w:t>Ministerstva financí, Ministerstva vnitra a Ministerstva průmyslu a obchodu ke zřizování a oceňování věcných břemen na majetku obcí</w:t>
      </w:r>
      <w:r w:rsidR="00567799">
        <w:t>.</w:t>
      </w:r>
      <w:r w:rsidR="00C90B51">
        <w:t xml:space="preserve"> Mimo jiné </w:t>
      </w:r>
      <w:r w:rsidR="0038762B">
        <w:t xml:space="preserve">zde existuje i další stanovisko ministerstva financí ze dne 6.1.2022, které jasně podotýká </w:t>
      </w:r>
      <w:r w:rsidR="009046A9">
        <w:t>že ustanovení § 39b oceňovací vyhlášky zavádí právě ocenění věcného břemena technické infrastruktury</w:t>
      </w:r>
      <w:r w:rsidR="001D7577">
        <w:t xml:space="preserve">, kdy jde o stavbu zřizovanou ve veřejném zájmu a jde tudíž o specifická věcná břemena, a proto je pro ně zřízen samostatný </w:t>
      </w:r>
      <w:r w:rsidR="007B0E99">
        <w:t>způsob jejich ocenění.</w:t>
      </w:r>
      <w:r w:rsidR="00767161">
        <w:rPr>
          <w:rStyle w:val="FootnoteReference"/>
        </w:rPr>
        <w:footnoteReference w:id="4"/>
      </w:r>
    </w:p>
    <w:p w14:paraId="15CF47B6" w14:textId="304C15C6" w:rsidR="001A3C5C" w:rsidRPr="001A3C5C" w:rsidRDefault="00C37349" w:rsidP="00096FCE">
      <w:pPr>
        <w:pStyle w:val="Heading2"/>
      </w:pPr>
      <w:bookmarkStart w:id="7" w:name="_Toc106622209"/>
      <w:r>
        <w:t>Stanovení výše ceny služebnosti</w:t>
      </w:r>
      <w:bookmarkEnd w:id="7"/>
    </w:p>
    <w:p w14:paraId="14C22DEB" w14:textId="3DC1CB1E" w:rsidR="00CA1FF7" w:rsidRDefault="00CA3176" w:rsidP="0057475C">
      <w:pPr>
        <w:pStyle w:val="BodyText"/>
        <w:jc w:val="both"/>
      </w:pPr>
      <w:r>
        <w:t>V případě stavby</w:t>
      </w:r>
      <w:r w:rsidR="00A1075F">
        <w:t xml:space="preserve"> veřejné sítě elektronických komunikací vzniká služebnost dle § 104 zákona o elektronických komunikacích</w:t>
      </w:r>
      <w:r w:rsidR="008D391C">
        <w:t>, který v odst. 3</w:t>
      </w:r>
      <w:r w:rsidR="00493EBE">
        <w:t xml:space="preserve"> </w:t>
      </w:r>
      <w:r w:rsidR="000A7AAF">
        <w:t>stanovuje</w:t>
      </w:r>
      <w:r w:rsidR="00493EBE">
        <w:t xml:space="preserve">, </w:t>
      </w:r>
      <w:r w:rsidR="004272BA">
        <w:t>že „</w:t>
      </w:r>
      <w:r w:rsidR="004272BA" w:rsidRPr="00E82DF7">
        <w:rPr>
          <w:i/>
          <w:iCs/>
        </w:rPr>
        <w:t>maximální výše jednorázové náhrady za zřízení služebnosti se stanoví jako cena zjištěná podle zákona upravujícího oceňování majetku</w:t>
      </w:r>
      <w:r w:rsidR="004272BA">
        <w:t>“.</w:t>
      </w:r>
    </w:p>
    <w:p w14:paraId="70C1A7F3" w14:textId="20B0A8C3" w:rsidR="000B3149" w:rsidRPr="000777AD" w:rsidRDefault="00B27ED1" w:rsidP="0057475C">
      <w:pPr>
        <w:pStyle w:val="BodyText"/>
        <w:jc w:val="both"/>
      </w:pPr>
      <w:r w:rsidRPr="00961470">
        <w:t>Zákon č. 237/2020 Sb. zákon, kterým se mění zákon č. 151/1997 Sb., o oceňování majetku a o změně některých zákonů (zákon o oceňování majetku), ve znění pozdějších předpisů, a další související stanov</w:t>
      </w:r>
      <w:r w:rsidR="00E87D5C" w:rsidRPr="00961470">
        <w:t>uje</w:t>
      </w:r>
      <w:r w:rsidRPr="00961470">
        <w:t xml:space="preserve">, že </w:t>
      </w:r>
      <w:r w:rsidR="00B929F7">
        <w:t xml:space="preserve">pokud zákon nestanovuje jinak, </w:t>
      </w:r>
      <w:r w:rsidRPr="00961470">
        <w:t>výše služebnosti má být stanovena cenou obvyklou</w:t>
      </w:r>
      <w:r w:rsidR="008A5767" w:rsidRPr="00961470">
        <w:t>.</w:t>
      </w:r>
      <w:r w:rsidR="00D24304">
        <w:t xml:space="preserve"> V případě věcných břemen zákon </w:t>
      </w:r>
      <w:r w:rsidR="00675CCE">
        <w:t>v rámci</w:t>
      </w:r>
      <w:r w:rsidR="00D24304">
        <w:t xml:space="preserve"> § 16b odst.</w:t>
      </w:r>
      <w:r w:rsidR="00EF5BE7">
        <w:t xml:space="preserve"> </w:t>
      </w:r>
      <w:r w:rsidR="007F7221">
        <w:t>1</w:t>
      </w:r>
      <w:r w:rsidR="00C5677C">
        <w:t xml:space="preserve"> stanovuje, že</w:t>
      </w:r>
      <w:r w:rsidR="008A4B6E">
        <w:t xml:space="preserve"> „</w:t>
      </w:r>
      <w:r w:rsidR="008A4B6E" w:rsidRPr="008A4B6E">
        <w:rPr>
          <w:rFonts w:ascii="Arial" w:hAnsi="Arial" w:cs="Arial"/>
          <w:i/>
          <w:iCs/>
          <w:color w:val="000000"/>
          <w:shd w:val="clear" w:color="auto" w:fill="FFFFFF"/>
        </w:rPr>
        <w:t>Věcné břemeno se oceňuje výnosovým způsobem na základě ročního užitku při zohlednění doby jeho trvání nebo pevnou částkou, nelze-li určit roční užitek z věcného břemene</w:t>
      </w:r>
      <w:r w:rsidR="008A4B6E">
        <w:rPr>
          <w:rFonts w:ascii="Arial" w:hAnsi="Arial" w:cs="Arial"/>
          <w:color w:val="000000"/>
          <w:shd w:val="clear" w:color="auto" w:fill="FFFFFF"/>
        </w:rPr>
        <w:t>“ a v odst. 5 dále upřesňuje, že</w:t>
      </w:r>
      <w:r w:rsidR="00C5677C">
        <w:t xml:space="preserve"> „</w:t>
      </w:r>
      <w:r w:rsidR="00C5677C" w:rsidRPr="00C5677C">
        <w:rPr>
          <w:rFonts w:ascii="Arial" w:hAnsi="Arial" w:cs="Arial"/>
          <w:i/>
          <w:iCs/>
          <w:color w:val="000000"/>
          <w:shd w:val="clear" w:color="auto" w:fill="FFFFFF"/>
        </w:rPr>
        <w:t>postup výpočtu ceny věcného břemene, způsob určení ročního užitku a míry kapitalizace podle druhu věcného břemene a zatížené nemovité věci a výši pevné částky stanoví vyhláška</w:t>
      </w:r>
      <w:r w:rsidR="00C5677C">
        <w:rPr>
          <w:rFonts w:ascii="Arial" w:hAnsi="Arial" w:cs="Arial"/>
          <w:color w:val="000000"/>
          <w:shd w:val="clear" w:color="auto" w:fill="FFFFFF"/>
        </w:rPr>
        <w:t>“.</w:t>
      </w:r>
    </w:p>
    <w:p w14:paraId="1C4178D1" w14:textId="7DB8C1FC" w:rsidR="00695FB8" w:rsidRPr="009B61F1" w:rsidRDefault="00B27ED1" w:rsidP="0057475C">
      <w:pPr>
        <w:pStyle w:val="BodyText"/>
        <w:jc w:val="both"/>
      </w:pPr>
      <w:r w:rsidRPr="009B61F1">
        <w:t>Znalci se řídí obecnými předpisy a vyhláškou č.4</w:t>
      </w:r>
      <w:r w:rsidR="00E94F5B">
        <w:t>24</w:t>
      </w:r>
      <w:r w:rsidRPr="009B61F1">
        <w:t>/2020 Sb.</w:t>
      </w:r>
      <w:r w:rsidR="00504A99" w:rsidRPr="009B61F1">
        <w:t>,</w:t>
      </w:r>
      <w:r w:rsidRPr="009B61F1">
        <w:t xml:space="preserve"> kterou se mění vyhláška č. 441/2013 Sb., k provedení zákona o oceňování majetku (oceňovací vyhláška), ve znění pozdějších předpisů</w:t>
      </w:r>
      <w:r w:rsidR="00504A99" w:rsidRPr="009B61F1">
        <w:t>.</w:t>
      </w:r>
      <w:r w:rsidRPr="009B61F1">
        <w:t xml:space="preserve"> Oceňovací vyhláška</w:t>
      </w:r>
      <w:r w:rsidR="00BE5873" w:rsidRPr="009B61F1">
        <w:t xml:space="preserve"> p</w:t>
      </w:r>
      <w:r w:rsidRPr="009B61F1">
        <w:t xml:space="preserve">ro sítě elektronických komunikací stanovuje přesný postup </w:t>
      </w:r>
      <w:r w:rsidR="003E6553" w:rsidRPr="009B61F1">
        <w:t>v </w:t>
      </w:r>
      <w:r w:rsidR="0088692D" w:rsidRPr="009B61F1">
        <w:t>§</w:t>
      </w:r>
      <w:r w:rsidRPr="009B61F1">
        <w:t>16</w:t>
      </w:r>
      <w:r w:rsidR="000F4CBB" w:rsidRPr="009B61F1">
        <w:t>b</w:t>
      </w:r>
      <w:r w:rsidRPr="009B61F1">
        <w:t xml:space="preserve"> Zákona 151/1997 Sb., a ve vyhlášce 441/2013 Sb. §39a, </w:t>
      </w:r>
      <w:r w:rsidR="0088692D" w:rsidRPr="009B61F1">
        <w:t>§</w:t>
      </w:r>
      <w:r w:rsidRPr="009B61F1">
        <w:t xml:space="preserve">39b a </w:t>
      </w:r>
      <w:r w:rsidR="0088692D" w:rsidRPr="009B61F1">
        <w:t>§</w:t>
      </w:r>
      <w:r w:rsidRPr="009B61F1">
        <w:t>39c podle okolností.</w:t>
      </w:r>
      <w:r w:rsidR="00695FB8" w:rsidRPr="009B61F1">
        <w:t xml:space="preserve"> Pro zmíněný účel je nejvíce relevantní využití </w:t>
      </w:r>
      <w:r w:rsidR="009B61F1" w:rsidRPr="009B61F1">
        <w:t>postupu podle §39b.</w:t>
      </w:r>
    </w:p>
    <w:p w14:paraId="5F2B164B" w14:textId="3A4CD8F6" w:rsidR="00F276CB" w:rsidRDefault="00B27ED1" w:rsidP="0057475C">
      <w:pPr>
        <w:pStyle w:val="BodyText"/>
        <w:jc w:val="both"/>
      </w:pPr>
      <w:r w:rsidRPr="009B61F1">
        <w:t>Legislativa určuje pouze maximální výši náhrady dle zákona č. 151/1997 sb. o oceňování majetku, a to výnosovým způsobem. To ovšem neodráží veřejný zájem na podpoře výstavby sítí elektronických komunikací do vybraných obcí Středočeského kraje, které lze označit jako postižené tržním selháním.</w:t>
      </w:r>
      <w:r w:rsidR="00695FB8" w:rsidRPr="009B61F1">
        <w:t xml:space="preserve"> Viz další úkoly Akčního plánu Středočeského kraje.</w:t>
      </w:r>
    </w:p>
    <w:p w14:paraId="312FB0BD" w14:textId="4A2D3F2D" w:rsidR="00770565" w:rsidRDefault="00E82DF7" w:rsidP="0057475C">
      <w:pPr>
        <w:pStyle w:val="BodyText"/>
        <w:jc w:val="both"/>
      </w:pPr>
      <w:r>
        <w:t xml:space="preserve">Souhrnné stanovisko </w:t>
      </w:r>
      <w:r w:rsidR="00261C21">
        <w:t>Ministerstva financí, Ministerstva vnitra</w:t>
      </w:r>
      <w:r w:rsidR="0068721C">
        <w:t xml:space="preserve"> a Ministerstva průmyslu a obchodu </w:t>
      </w:r>
      <w:r w:rsidR="005B3B26">
        <w:t xml:space="preserve">ke zřizování a oceňování </w:t>
      </w:r>
      <w:r>
        <w:t>věcný</w:t>
      </w:r>
      <w:r w:rsidR="005B3B26">
        <w:t>ch</w:t>
      </w:r>
      <w:r>
        <w:t xml:space="preserve"> břemen na majetku obc</w:t>
      </w:r>
      <w:r w:rsidR="00EA4E74">
        <w:t>í</w:t>
      </w:r>
      <w:r w:rsidR="00605D1F">
        <w:t xml:space="preserve"> (dále jen</w:t>
      </w:r>
      <w:r w:rsidR="00C55874">
        <w:t xml:space="preserve"> Souhrnné stanovisko)</w:t>
      </w:r>
      <w:r w:rsidR="004A52CE">
        <w:t xml:space="preserve"> uvádí</w:t>
      </w:r>
      <w:r w:rsidR="00454692">
        <w:t>,</w:t>
      </w:r>
      <w:r w:rsidR="004A52CE">
        <w:t xml:space="preserve"> že</w:t>
      </w:r>
      <w:r w:rsidR="00367841">
        <w:t xml:space="preserve"> v</w:t>
      </w:r>
      <w:r w:rsidR="00661A9C">
        <w:t> </w:t>
      </w:r>
      <w:r w:rsidR="00367841">
        <w:t>případě</w:t>
      </w:r>
      <w:r w:rsidR="00661A9C">
        <w:t xml:space="preserve"> oceňování služebnosti sítí elektronických komunikací nelze aplikovat</w:t>
      </w:r>
      <w:r w:rsidR="0081107A">
        <w:t xml:space="preserve"> cenu obvyklou z důvodu neexistence trhu</w:t>
      </w:r>
      <w:r w:rsidR="005B6F26">
        <w:t xml:space="preserve"> se služebnostmi</w:t>
      </w:r>
      <w:r w:rsidR="004A52CE">
        <w:t>,</w:t>
      </w:r>
      <w:r w:rsidR="00F05E5F">
        <w:t xml:space="preserve"> a pro ocenění se používá </w:t>
      </w:r>
      <w:r w:rsidR="00675CCE">
        <w:t>výše</w:t>
      </w:r>
      <w:r w:rsidR="00EE5FE0">
        <w:t xml:space="preserve"> uvedený</w:t>
      </w:r>
      <w:r w:rsidR="00F05E5F">
        <w:t xml:space="preserve"> speciální </w:t>
      </w:r>
      <w:r w:rsidR="00F05E5F" w:rsidRPr="00F05E5F">
        <w:t>§ 16b</w:t>
      </w:r>
      <w:r w:rsidR="00FB6A28">
        <w:t xml:space="preserve"> zákona o oceňování majetk</w:t>
      </w:r>
      <w:r w:rsidR="000A28BE">
        <w:t>u,</w:t>
      </w:r>
      <w:r w:rsidR="000152BE">
        <w:t xml:space="preserve"> kdy</w:t>
      </w:r>
      <w:r w:rsidR="005413E1">
        <w:t xml:space="preserve"> </w:t>
      </w:r>
      <w:r w:rsidR="00152C87">
        <w:t>se hodnota věcných břemen</w:t>
      </w:r>
      <w:r w:rsidR="00246C76">
        <w:t xml:space="preserve"> „</w:t>
      </w:r>
      <w:r w:rsidR="00246C76" w:rsidRPr="00246C76">
        <w:rPr>
          <w:i/>
          <w:iCs/>
        </w:rPr>
        <w:t>určuje výnosovým způsobem se zohledněním doby jeho trvání, s přímým odkazem na oceňovací vyhlášku</w:t>
      </w:r>
      <w:r w:rsidR="00246C76">
        <w:t>“.</w:t>
      </w:r>
      <w:r w:rsidR="00A20085">
        <w:t xml:space="preserve"> </w:t>
      </w:r>
      <w:r w:rsidR="009632A0">
        <w:t>Souhrn</w:t>
      </w:r>
      <w:r w:rsidR="00573ECE">
        <w:t>n</w:t>
      </w:r>
      <w:r w:rsidR="009632A0">
        <w:t xml:space="preserve">é stanovisko je mimo jiné </w:t>
      </w:r>
      <w:r w:rsidR="00481145">
        <w:t xml:space="preserve">sdíleno i ze strany </w:t>
      </w:r>
      <w:r w:rsidR="00F80F1C">
        <w:t xml:space="preserve">Českého telekomunikačního úřadu (národního regulátora elektronických komunikací) s vědomím, že právě </w:t>
      </w:r>
      <w:r w:rsidR="00EB2AF5">
        <w:t>určení ceny věcného břemene bývá problematic</w:t>
      </w:r>
      <w:r w:rsidR="008A2940">
        <w:t xml:space="preserve">ká a </w:t>
      </w:r>
      <w:r w:rsidR="00573ECE">
        <w:t>ke zlepšení orientace bylo vytvořeno toto Souhrnné stanovisko, které je sdíleno i ze strany ČTÚ.</w:t>
      </w:r>
    </w:p>
    <w:p w14:paraId="573A015D" w14:textId="1CEC9F96" w:rsidR="007B0E99" w:rsidRDefault="007B0E99" w:rsidP="0057475C">
      <w:pPr>
        <w:pStyle w:val="BodyText"/>
        <w:jc w:val="both"/>
      </w:pPr>
      <w:r>
        <w:t xml:space="preserve">Jak bylo zmíněno i výše stanovisko ministerstva financí ze dne 6.1.2022 jasně </w:t>
      </w:r>
      <w:r w:rsidR="00AF6CB3">
        <w:t xml:space="preserve">deklaruje vhodnost a jednoznačnost využití právě </w:t>
      </w:r>
      <w:r w:rsidR="00AF6CB3" w:rsidRPr="00F93FF3">
        <w:t>§ 39b</w:t>
      </w:r>
      <w:r w:rsidR="00AF6CB3">
        <w:t xml:space="preserve"> </w:t>
      </w:r>
      <w:r w:rsidR="00767161">
        <w:t>oceňovací</w:t>
      </w:r>
      <w:r w:rsidR="00AF6CB3">
        <w:t xml:space="preserve"> vyhlášky pro účel ocenění specifických břemen, jak jsou právě stavby technické infrastruktury vnímány (</w:t>
      </w:r>
      <w:r w:rsidR="007A70C5">
        <w:t xml:space="preserve">inženýrské sítě, sítě energetické infrastruktury a infrastruktura elektronických komunikací), nebo jsou ve většině případů zřizovány pro </w:t>
      </w:r>
      <w:r w:rsidR="00767161">
        <w:t>účel naplnění veřejného zájmu.</w:t>
      </w:r>
    </w:p>
    <w:p w14:paraId="4466A508" w14:textId="0772420E" w:rsidR="00766288" w:rsidRDefault="00A20085" w:rsidP="0057475C">
      <w:pPr>
        <w:pStyle w:val="BodyText"/>
        <w:jc w:val="both"/>
      </w:pPr>
      <w:r>
        <w:t>V oceňovací vyhlášce jsou k oceňování věcných břemen určeny</w:t>
      </w:r>
      <w:r w:rsidR="00F93FF3">
        <w:t xml:space="preserve"> </w:t>
      </w:r>
      <w:r w:rsidR="00F93FF3" w:rsidRPr="00F93FF3">
        <w:t>§39a a §39b</w:t>
      </w:r>
      <w:r w:rsidR="00F93FF3">
        <w:t>, přičemž pro technickou infrastruktu</w:t>
      </w:r>
      <w:r w:rsidR="00103DDA">
        <w:t xml:space="preserve">ru se používá </w:t>
      </w:r>
      <w:r w:rsidR="00103DDA" w:rsidRPr="00F93FF3">
        <w:t>§ 39b</w:t>
      </w:r>
      <w:r w:rsidR="009D38E3">
        <w:t xml:space="preserve"> zjednodušení ocenění věcného břemene</w:t>
      </w:r>
      <w:r w:rsidR="00865FA0">
        <w:t xml:space="preserve"> (jak doporučuje </w:t>
      </w:r>
      <w:r w:rsidR="00DF5EF9">
        <w:t>Souhrnné s</w:t>
      </w:r>
      <w:r w:rsidR="00865FA0">
        <w:t>tanovisko)</w:t>
      </w:r>
      <w:r w:rsidR="009D38E3">
        <w:t>.</w:t>
      </w:r>
      <w:r w:rsidR="00841A96">
        <w:t xml:space="preserve"> Jak uvádí </w:t>
      </w:r>
      <w:r w:rsidR="00DF5EF9">
        <w:t>Souhrnné s</w:t>
      </w:r>
      <w:r w:rsidR="00841A96">
        <w:t xml:space="preserve">tanovisko, </w:t>
      </w:r>
      <w:r w:rsidR="00BA4DFD">
        <w:t>zjednodušení „</w:t>
      </w:r>
      <w:r w:rsidR="00BA4DFD" w:rsidRPr="00766288">
        <w:rPr>
          <w:i/>
          <w:iCs/>
        </w:rPr>
        <w:t>spočívá v ocenění vycházejícím nikoliv ze zatěžující plochy, ale pouze z délky těchto sítí</w:t>
      </w:r>
      <w:r w:rsidR="00BA4DFD">
        <w:t>“,</w:t>
      </w:r>
      <w:r w:rsidR="000A2F7A">
        <w:t xml:space="preserve"> která se následně </w:t>
      </w:r>
      <w:r w:rsidR="00766288">
        <w:t>„</w:t>
      </w:r>
      <w:r w:rsidR="00766288" w:rsidRPr="00766288">
        <w:rPr>
          <w:i/>
          <w:iCs/>
        </w:rPr>
        <w:t>vynásobí koeficientem míry užitku a omezení vlastníka nemovité věci</w:t>
      </w:r>
      <w:r w:rsidR="00766288">
        <w:t>“.</w:t>
      </w:r>
      <w:r w:rsidR="00EE2340">
        <w:t xml:space="preserve"> Je tedy explicitně uvedena vhodnost a adekvátnost, spolu s doporučením využívání postupu podle </w:t>
      </w:r>
      <w:r w:rsidR="00EE2340" w:rsidRPr="00F93FF3">
        <w:t>§39b</w:t>
      </w:r>
      <w:r w:rsidR="001B6D68">
        <w:t>.</w:t>
      </w:r>
    </w:p>
    <w:p w14:paraId="48FC1CEE" w14:textId="784E79EB" w:rsidR="001A095D" w:rsidRDefault="00223AA1" w:rsidP="00DB0BFE">
      <w:pPr>
        <w:pStyle w:val="Heading3"/>
      </w:pPr>
      <w:bookmarkStart w:id="8" w:name="_Toc106622210"/>
      <w:r>
        <w:t>Běžná praxe</w:t>
      </w:r>
      <w:bookmarkEnd w:id="8"/>
    </w:p>
    <w:p w14:paraId="3444ACA4" w14:textId="22116013" w:rsidR="00226F64" w:rsidRDefault="00223AA1" w:rsidP="0057475C">
      <w:pPr>
        <w:pStyle w:val="BodyText"/>
        <w:jc w:val="both"/>
      </w:pPr>
      <w:r>
        <w:t xml:space="preserve">Typickým </w:t>
      </w:r>
      <w:r w:rsidR="003268CE">
        <w:t xml:space="preserve">a </w:t>
      </w:r>
      <w:r w:rsidR="00D326FC">
        <w:t>Souhrnným s</w:t>
      </w:r>
      <w:r w:rsidR="00AC0B86">
        <w:t xml:space="preserve">tanoviskem doporučeným </w:t>
      </w:r>
      <w:r>
        <w:t>postupem</w:t>
      </w:r>
      <w:r w:rsidR="00AC0B86">
        <w:t>, stejně jako</w:t>
      </w:r>
      <w:r w:rsidR="006C7AAF">
        <w:t xml:space="preserve"> v případě existujících metodik </w:t>
      </w:r>
      <w:r w:rsidR="00A83646">
        <w:t xml:space="preserve">jiných institucí/samospráv </w:t>
      </w:r>
      <w:r w:rsidR="006C7AAF">
        <w:t>je</w:t>
      </w:r>
      <w:r w:rsidR="00052517">
        <w:t xml:space="preserve"> jako primární metodu</w:t>
      </w:r>
      <w:r w:rsidR="006C7AAF">
        <w:t xml:space="preserve"> </w:t>
      </w:r>
      <w:r w:rsidR="00432C3F">
        <w:t>využit</w:t>
      </w:r>
      <w:r w:rsidR="006C7AAF">
        <w:t xml:space="preserve"> zjednodušen</w:t>
      </w:r>
      <w:r w:rsidR="00052517">
        <w:t>ou</w:t>
      </w:r>
      <w:r w:rsidR="006C7AAF">
        <w:t xml:space="preserve"> metod</w:t>
      </w:r>
      <w:r w:rsidR="00052517">
        <w:t>u</w:t>
      </w:r>
      <w:r w:rsidR="006C7AAF">
        <w:t xml:space="preserve"> ocenění věcného břemene</w:t>
      </w:r>
      <w:r w:rsidR="00AC0B86">
        <w:t xml:space="preserve"> podle </w:t>
      </w:r>
      <w:r w:rsidR="00AC0B86" w:rsidRPr="00F93FF3">
        <w:t>§39b</w:t>
      </w:r>
      <w:r w:rsidR="00052517">
        <w:t>. Tu</w:t>
      </w:r>
      <w:r w:rsidR="006C7AAF">
        <w:t xml:space="preserve"> lze použít</w:t>
      </w:r>
      <w:r w:rsidR="00C22CE3">
        <w:t xml:space="preserve"> v případech, kdy se jedná o </w:t>
      </w:r>
      <w:r w:rsidR="006121F5">
        <w:t>u</w:t>
      </w:r>
      <w:r w:rsidR="005A2756" w:rsidRPr="005A2756">
        <w:t xml:space="preserve">místění </w:t>
      </w:r>
      <w:r w:rsidR="005A2756" w:rsidRPr="00E76C45">
        <w:rPr>
          <w:b/>
          <w:bCs/>
        </w:rPr>
        <w:t>podzemního vedení technické infrastruktury do silničního nebo pomocného silničního pozemku</w:t>
      </w:r>
      <w:r w:rsidR="00B42B67">
        <w:t xml:space="preserve"> a věcné břemeno je </w:t>
      </w:r>
      <w:r w:rsidR="00B42B67" w:rsidRPr="00E76C45">
        <w:rPr>
          <w:b/>
          <w:bCs/>
        </w:rPr>
        <w:t>zřízeno na dobu neurčitou</w:t>
      </w:r>
      <w:r w:rsidR="00B42B67">
        <w:t>.</w:t>
      </w:r>
    </w:p>
    <w:p w14:paraId="3B2EE838" w14:textId="194C5116" w:rsidR="002E0237" w:rsidRDefault="00B42B67" w:rsidP="00246C76">
      <w:pPr>
        <w:pStyle w:val="BodyText"/>
      </w:pPr>
      <w:r>
        <w:t>Výpočet se prov</w:t>
      </w:r>
      <w:r w:rsidR="007D7B1E">
        <w:t>ádí</w:t>
      </w:r>
      <w:r>
        <w:t xml:space="preserve"> dle vzorce</w:t>
      </w:r>
      <w:r w:rsidR="00226F64">
        <w:t xml:space="preserve"> </w:t>
      </w:r>
      <w:r w:rsidR="00996B55" w:rsidRPr="00996B55">
        <w:t>CB</w:t>
      </w:r>
      <w:r w:rsidR="00996B55" w:rsidRPr="00BB6F56">
        <w:rPr>
          <w:vertAlign w:val="subscript"/>
        </w:rPr>
        <w:t>Z</w:t>
      </w:r>
      <w:r w:rsidR="00996B55" w:rsidRPr="00996B55">
        <w:t xml:space="preserve"> = ru</w:t>
      </w:r>
      <w:r w:rsidR="00996B55" w:rsidRPr="00436E06">
        <w:rPr>
          <w:vertAlign w:val="subscript"/>
        </w:rPr>
        <w:t>z</w:t>
      </w:r>
      <w:r w:rsidR="00996B55" w:rsidRPr="00996B55">
        <w:t xml:space="preserve"> x d x k</w:t>
      </w:r>
      <w:r w:rsidR="00996B55" w:rsidRPr="00BB6F56">
        <w:rPr>
          <w:vertAlign w:val="subscript"/>
        </w:rPr>
        <w:t>u</w:t>
      </w:r>
    </w:p>
    <w:p w14:paraId="3869A56E" w14:textId="23C84362" w:rsidR="00996B55" w:rsidRDefault="001A6FF7" w:rsidP="00246C76">
      <w:pPr>
        <w:pStyle w:val="BodyText"/>
      </w:pPr>
      <w:r>
        <w:t>k</w:t>
      </w:r>
      <w:r w:rsidR="00996B55">
        <w:t>de</w:t>
      </w:r>
      <w:r>
        <w:t>:</w:t>
      </w:r>
    </w:p>
    <w:p w14:paraId="5D359579" w14:textId="76BDE661" w:rsidR="00591567" w:rsidRPr="00D06019" w:rsidRDefault="00591567" w:rsidP="00EA2655">
      <w:pPr>
        <w:pStyle w:val="BodyText"/>
        <w:numPr>
          <w:ilvl w:val="0"/>
          <w:numId w:val="15"/>
        </w:numPr>
        <w:spacing w:before="0" w:after="0"/>
        <w:rPr>
          <w:i/>
          <w:iCs/>
        </w:rPr>
      </w:pPr>
      <w:r w:rsidRPr="00D06019">
        <w:rPr>
          <w:b/>
          <w:bCs/>
        </w:rPr>
        <w:t>ru</w:t>
      </w:r>
      <w:r w:rsidRPr="00D06019">
        <w:rPr>
          <w:b/>
          <w:bCs/>
          <w:vertAlign w:val="subscript"/>
        </w:rPr>
        <w:t>z</w:t>
      </w:r>
      <w:r>
        <w:t>……</w:t>
      </w:r>
      <w:r w:rsidRPr="00D06019">
        <w:rPr>
          <w:i/>
          <w:iCs/>
        </w:rPr>
        <w:t>roční užitek oprávněného v Kč za m z věcného břemene pro podzemní technickou infrastrukturu, který se určí podle vzorce</w:t>
      </w:r>
      <w:r w:rsidR="00AF7CB4" w:rsidRPr="00D06019">
        <w:rPr>
          <w:i/>
          <w:iCs/>
        </w:rPr>
        <w:t xml:space="preserve"> </w:t>
      </w:r>
      <w:r w:rsidRPr="00D06019">
        <w:rPr>
          <w:i/>
          <w:iCs/>
        </w:rPr>
        <w:t>ru</w:t>
      </w:r>
      <w:r w:rsidRPr="00D06019">
        <w:rPr>
          <w:i/>
          <w:iCs/>
          <w:vertAlign w:val="subscript"/>
        </w:rPr>
        <w:t>z</w:t>
      </w:r>
      <w:r w:rsidRPr="00D06019">
        <w:rPr>
          <w:i/>
          <w:iCs/>
        </w:rPr>
        <w:t xml:space="preserve"> = ZC x 0,015</w:t>
      </w:r>
    </w:p>
    <w:p w14:paraId="29B363EA" w14:textId="49B39538" w:rsidR="00436E06" w:rsidRDefault="00226F64" w:rsidP="003A4ED3">
      <w:pPr>
        <w:pStyle w:val="BodyText"/>
        <w:spacing w:after="0"/>
      </w:pPr>
      <w:r>
        <w:t>v</w:t>
      </w:r>
      <w:r w:rsidR="0017169C">
        <w:t xml:space="preserve">ýsledný vzorec </w:t>
      </w:r>
      <w:r w:rsidR="005C718B">
        <w:t>tedy je</w:t>
      </w:r>
      <w:r w:rsidR="00601B60">
        <w:t xml:space="preserve"> </w:t>
      </w:r>
      <w:r w:rsidR="0017169C">
        <w:t>CB</w:t>
      </w:r>
      <w:r w:rsidR="0017169C" w:rsidRPr="00BB6F56">
        <w:rPr>
          <w:vertAlign w:val="subscript"/>
        </w:rPr>
        <w:t>Z</w:t>
      </w:r>
      <w:r w:rsidR="0017169C">
        <w:t xml:space="preserve"> = </w:t>
      </w:r>
      <w:r w:rsidR="00380A66">
        <w:t>(ZC x 0,015) x d x k</w:t>
      </w:r>
      <w:r w:rsidR="00380A66" w:rsidRPr="007F7668">
        <w:rPr>
          <w:vertAlign w:val="subscript"/>
        </w:rPr>
        <w:t>u</w:t>
      </w:r>
    </w:p>
    <w:p w14:paraId="07F0F8DA" w14:textId="0E2C79F7" w:rsidR="003A4ED3" w:rsidRDefault="003A4ED3" w:rsidP="003A4ED3">
      <w:pPr>
        <w:pStyle w:val="BodyText"/>
        <w:spacing w:after="0"/>
      </w:pPr>
      <w:r>
        <w:t>kde</w:t>
      </w:r>
      <w:r w:rsidR="001A6FF7">
        <w:t>:</w:t>
      </w:r>
    </w:p>
    <w:p w14:paraId="5207E789" w14:textId="1801985E" w:rsidR="005C718B" w:rsidRPr="00D06019" w:rsidRDefault="002E0237" w:rsidP="00EA2655">
      <w:pPr>
        <w:pStyle w:val="BodyText"/>
        <w:numPr>
          <w:ilvl w:val="0"/>
          <w:numId w:val="14"/>
        </w:numPr>
        <w:spacing w:after="0"/>
        <w:rPr>
          <w:i/>
          <w:iCs/>
        </w:rPr>
      </w:pPr>
      <w:r w:rsidRPr="00D06019">
        <w:rPr>
          <w:b/>
          <w:bCs/>
        </w:rPr>
        <w:t>CB</w:t>
      </w:r>
      <w:r w:rsidRPr="00D06019">
        <w:rPr>
          <w:b/>
          <w:bCs/>
          <w:vertAlign w:val="subscript"/>
        </w:rPr>
        <w:t>Z</w:t>
      </w:r>
      <w:r w:rsidRPr="002E0237">
        <w:t xml:space="preserve">…. </w:t>
      </w:r>
      <w:r w:rsidRPr="00D06019">
        <w:rPr>
          <w:i/>
          <w:iCs/>
        </w:rPr>
        <w:t>cena věcného břemene pro technickou infrastrukturu v Kč určená zjednodušeným způsobem,</w:t>
      </w:r>
    </w:p>
    <w:p w14:paraId="5D10CD5A" w14:textId="01C08701" w:rsidR="003A4ED3" w:rsidRPr="00D06019" w:rsidRDefault="00591567" w:rsidP="00EA2655">
      <w:pPr>
        <w:pStyle w:val="BodyText"/>
        <w:numPr>
          <w:ilvl w:val="0"/>
          <w:numId w:val="14"/>
        </w:numPr>
        <w:spacing w:before="0" w:after="0"/>
        <w:ind w:left="714" w:hanging="357"/>
        <w:rPr>
          <w:i/>
          <w:iCs/>
        </w:rPr>
      </w:pPr>
      <w:r w:rsidRPr="00D06019">
        <w:rPr>
          <w:b/>
          <w:bCs/>
        </w:rPr>
        <w:t>ZC</w:t>
      </w:r>
      <w:r w:rsidRPr="00D06019">
        <w:rPr>
          <w:i/>
          <w:iCs/>
        </w:rPr>
        <w:t>....... základní cena stavebního pozemku v Kč za 1 m2 určená podle § 3,</w:t>
      </w:r>
    </w:p>
    <w:p w14:paraId="173A81E3" w14:textId="4B497B6C" w:rsidR="00591567" w:rsidRPr="00D06019" w:rsidRDefault="00591567" w:rsidP="00EA2655">
      <w:pPr>
        <w:pStyle w:val="BodyText"/>
        <w:numPr>
          <w:ilvl w:val="0"/>
          <w:numId w:val="14"/>
        </w:numPr>
        <w:spacing w:before="0" w:after="0"/>
        <w:ind w:left="714" w:hanging="357"/>
        <w:rPr>
          <w:i/>
          <w:iCs/>
        </w:rPr>
      </w:pPr>
      <w:r w:rsidRPr="00D06019">
        <w:rPr>
          <w:b/>
          <w:bCs/>
        </w:rPr>
        <w:t>0,015</w:t>
      </w:r>
      <w:r w:rsidRPr="00591567">
        <w:t xml:space="preserve">…. </w:t>
      </w:r>
      <w:r w:rsidRPr="00D06019">
        <w:rPr>
          <w:i/>
          <w:iCs/>
        </w:rPr>
        <w:t>konstanta,</w:t>
      </w:r>
    </w:p>
    <w:p w14:paraId="16911DF6" w14:textId="0E44930D" w:rsidR="00591567" w:rsidRPr="00591567" w:rsidRDefault="00591567" w:rsidP="00EA2655">
      <w:pPr>
        <w:pStyle w:val="BodyText"/>
        <w:numPr>
          <w:ilvl w:val="0"/>
          <w:numId w:val="13"/>
        </w:numPr>
        <w:spacing w:before="0" w:after="0"/>
        <w:ind w:left="714" w:hanging="357"/>
      </w:pPr>
      <w:r w:rsidRPr="00D06019">
        <w:rPr>
          <w:b/>
          <w:bCs/>
        </w:rPr>
        <w:t>d</w:t>
      </w:r>
      <w:r w:rsidRPr="00591567">
        <w:t>……</w:t>
      </w:r>
      <w:r w:rsidRPr="00D06019">
        <w:rPr>
          <w:i/>
          <w:iCs/>
        </w:rPr>
        <w:t>délka vedení technické infrastruktury v m</w:t>
      </w:r>
      <w:r w:rsidRPr="00591567">
        <w:t>,</w:t>
      </w:r>
    </w:p>
    <w:p w14:paraId="5659BF09" w14:textId="68FA3A25" w:rsidR="007728C1" w:rsidRDefault="00591567" w:rsidP="00EA2655">
      <w:pPr>
        <w:pStyle w:val="BodyText"/>
        <w:numPr>
          <w:ilvl w:val="0"/>
          <w:numId w:val="13"/>
        </w:numPr>
        <w:spacing w:before="0" w:after="0"/>
        <w:ind w:left="714" w:hanging="357"/>
      </w:pPr>
      <w:r w:rsidRPr="00D06019">
        <w:rPr>
          <w:b/>
          <w:bCs/>
        </w:rPr>
        <w:t>k</w:t>
      </w:r>
      <w:r w:rsidRPr="00D06019">
        <w:rPr>
          <w:b/>
          <w:bCs/>
          <w:vertAlign w:val="subscript"/>
        </w:rPr>
        <w:t>u</w:t>
      </w:r>
      <w:r w:rsidRPr="00591567">
        <w:t>……</w:t>
      </w:r>
      <w:r w:rsidRPr="00D06019">
        <w:rPr>
          <w:i/>
          <w:iCs/>
        </w:rPr>
        <w:t>koeficient míry užitku a omezení vlastníka nemovité věci pro zjednodušené ocenění věcného břemene pro technickou infrastrukturu</w:t>
      </w:r>
      <w:r w:rsidR="00996270">
        <w:rPr>
          <w:rStyle w:val="FootnoteReference"/>
        </w:rPr>
        <w:footnoteReference w:id="5"/>
      </w:r>
    </w:p>
    <w:p w14:paraId="03E7EC61" w14:textId="0815DA19" w:rsidR="00FB575B" w:rsidRDefault="003A17F3" w:rsidP="0057475C">
      <w:pPr>
        <w:pStyle w:val="BodyText"/>
        <w:spacing w:after="120"/>
        <w:jc w:val="both"/>
      </w:pPr>
      <w:r>
        <w:t xml:space="preserve">Koeficient </w:t>
      </w:r>
      <w:r w:rsidR="009B4206">
        <w:t>mí</w:t>
      </w:r>
      <w:r w:rsidR="00CD7712">
        <w:t>ry užitku</w:t>
      </w:r>
      <w:r w:rsidR="00A7212A">
        <w:t xml:space="preserve"> se </w:t>
      </w:r>
      <w:r w:rsidR="00A7212A" w:rsidRPr="00A7212A">
        <w:t>určí dle tabulky č. 1 přílohy č. 22a oceňovací vyhlášky 441/2013 Sb.</w:t>
      </w:r>
      <w:r w:rsidR="00A7212A">
        <w:t xml:space="preserve"> </w:t>
      </w:r>
      <w:r w:rsidR="000457EF">
        <w:t>Dle Souhrnného stanoviska</w:t>
      </w:r>
      <w:r w:rsidR="00F447E0">
        <w:t xml:space="preserve"> se šíře veřejných komunikačních sítí</w:t>
      </w:r>
      <w:r w:rsidR="0089758A">
        <w:t xml:space="preserve"> „</w:t>
      </w:r>
      <w:r w:rsidR="0089758A" w:rsidRPr="005E1B18">
        <w:rPr>
          <w:i/>
          <w:iCs/>
        </w:rPr>
        <w:t>obvykle pohybují v rozmezí od 1cm</w:t>
      </w:r>
      <w:r w:rsidR="0095412F" w:rsidRPr="005E1B18">
        <w:rPr>
          <w:i/>
          <w:iCs/>
        </w:rPr>
        <w:t xml:space="preserve"> do 10cm</w:t>
      </w:r>
      <w:r w:rsidR="001970D3" w:rsidRPr="005E1B18">
        <w:rPr>
          <w:i/>
          <w:iCs/>
        </w:rPr>
        <w:t>, a tedy ve vztahu</w:t>
      </w:r>
      <w:r w:rsidR="00BA47B3" w:rsidRPr="005E1B18">
        <w:rPr>
          <w:i/>
          <w:iCs/>
        </w:rPr>
        <w:t xml:space="preserve"> k příloze č. 22a oceňovací vyhlášky </w:t>
      </w:r>
      <w:r w:rsidR="00BA47B3" w:rsidRPr="00AC1F5D">
        <w:rPr>
          <w:b/>
          <w:bCs/>
          <w:i/>
          <w:iCs/>
        </w:rPr>
        <w:t>se užijí koeficienty pro šířku</w:t>
      </w:r>
      <w:r w:rsidR="00A66171" w:rsidRPr="00AC1F5D">
        <w:rPr>
          <w:b/>
          <w:bCs/>
          <w:i/>
          <w:iCs/>
        </w:rPr>
        <w:t xml:space="preserve"> </w:t>
      </w:r>
      <w:r w:rsidR="00BA47B3" w:rsidRPr="00AC1F5D">
        <w:rPr>
          <w:b/>
          <w:bCs/>
          <w:i/>
          <w:iCs/>
        </w:rPr>
        <w:t>zatížené plochy, která je menší než 0,5 metru včetně</w:t>
      </w:r>
      <w:r w:rsidR="005E1B18">
        <w:t>.“</w:t>
      </w:r>
      <w:r w:rsidR="003576B3">
        <w:t xml:space="preserve"> </w:t>
      </w:r>
      <w:r w:rsidR="00B3631D">
        <w:t>Vi</w:t>
      </w:r>
      <w:r w:rsidR="005269F5">
        <w:t xml:space="preserve">z Tabulka </w:t>
      </w:r>
      <w:r w:rsidR="006D1DF4" w:rsidRPr="00165FDF">
        <w:t>2</w:t>
      </w:r>
      <w:r w:rsidR="005269F5">
        <w:t>.</w:t>
      </w:r>
    </w:p>
    <w:p w14:paraId="2FA5C071" w14:textId="77777777" w:rsidR="00E432AB" w:rsidRDefault="00E432AB" w:rsidP="007100B5">
      <w:pPr>
        <w:pStyle w:val="BodyText"/>
        <w:spacing w:after="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699"/>
        <w:gridCol w:w="2699"/>
        <w:gridCol w:w="2699"/>
      </w:tblGrid>
      <w:tr w:rsidR="00961AFF" w14:paraId="2CC5007E" w14:textId="77777777" w:rsidTr="00E432AB">
        <w:tc>
          <w:tcPr>
            <w:tcW w:w="1985" w:type="dxa"/>
            <w:vMerge w:val="restart"/>
            <w:shd w:val="clear" w:color="auto" w:fill="F4F2EF" w:themeFill="accent2" w:themeFillTint="33"/>
            <w:vAlign w:val="center"/>
          </w:tcPr>
          <w:p w14:paraId="75D094D7" w14:textId="7552776F" w:rsidR="00961AFF" w:rsidRPr="00460F9B" w:rsidRDefault="00961AFF" w:rsidP="007100B5">
            <w:pPr>
              <w:pStyle w:val="BodyText"/>
              <w:spacing w:before="0" w:after="0"/>
              <w:rPr>
                <w:b/>
                <w:bCs/>
                <w:sz w:val="18"/>
                <w:szCs w:val="18"/>
              </w:rPr>
            </w:pPr>
            <w:r w:rsidRPr="007100B5">
              <w:rPr>
                <w:b/>
                <w:bCs/>
                <w:sz w:val="16"/>
                <w:szCs w:val="16"/>
              </w:rPr>
              <w:t>Umístění vedení na silničním pozemku</w:t>
            </w:r>
          </w:p>
        </w:tc>
        <w:tc>
          <w:tcPr>
            <w:tcW w:w="8097" w:type="dxa"/>
            <w:gridSpan w:val="3"/>
            <w:tcBorders>
              <w:left w:val="nil"/>
              <w:bottom w:val="single" w:sz="12" w:space="0" w:color="4F2D7F" w:themeColor="accent1"/>
            </w:tcBorders>
            <w:shd w:val="clear" w:color="auto" w:fill="F4F2EF" w:themeFill="accent2" w:themeFillTint="33"/>
            <w:vAlign w:val="center"/>
          </w:tcPr>
          <w:p w14:paraId="73415774" w14:textId="14A0D47F" w:rsidR="00961AFF" w:rsidRPr="00460F9B" w:rsidRDefault="00EF51F3" w:rsidP="007100B5">
            <w:pPr>
              <w:pStyle w:val="BodyText"/>
              <w:spacing w:before="0" w:after="0"/>
              <w:jc w:val="center"/>
              <w:rPr>
                <w:b/>
                <w:bCs/>
                <w:sz w:val="18"/>
                <w:szCs w:val="18"/>
              </w:rPr>
            </w:pPr>
            <w:r w:rsidRPr="007100B5">
              <w:rPr>
                <w:b/>
                <w:bCs/>
                <w:sz w:val="16"/>
                <w:szCs w:val="16"/>
              </w:rPr>
              <w:t>Hodnota koeficientu míry užitku a omezení vlastníka nemovité věci* {k</w:t>
            </w:r>
            <w:r w:rsidRPr="007100B5">
              <w:rPr>
                <w:b/>
                <w:bCs/>
                <w:sz w:val="16"/>
                <w:szCs w:val="16"/>
                <w:vertAlign w:val="subscript"/>
              </w:rPr>
              <w:t>u</w:t>
            </w:r>
            <w:r w:rsidRPr="007100B5">
              <w:rPr>
                <w:b/>
                <w:bCs/>
                <w:sz w:val="16"/>
                <w:szCs w:val="16"/>
              </w:rPr>
              <w:t>) pro plochy zatížené věcným břemenem pro technickou infrastrukturu</w:t>
            </w:r>
          </w:p>
        </w:tc>
      </w:tr>
      <w:tr w:rsidR="00961AFF" w14:paraId="6AFEF0E9" w14:textId="77777777" w:rsidTr="00E432AB">
        <w:tc>
          <w:tcPr>
            <w:tcW w:w="1985" w:type="dxa"/>
            <w:vMerge/>
            <w:tcBorders>
              <w:bottom w:val="single" w:sz="12" w:space="0" w:color="4F2D7F" w:themeColor="accent1"/>
            </w:tcBorders>
            <w:shd w:val="clear" w:color="auto" w:fill="F4F2EF" w:themeFill="accent2" w:themeFillTint="33"/>
          </w:tcPr>
          <w:p w14:paraId="1CB0A549" w14:textId="77777777" w:rsidR="00961AFF" w:rsidRPr="00460F9B" w:rsidRDefault="00961AFF" w:rsidP="007100B5">
            <w:pPr>
              <w:pStyle w:val="BodyText"/>
              <w:spacing w:before="0" w:after="0"/>
              <w:rPr>
                <w:b/>
                <w:bCs/>
                <w:sz w:val="18"/>
                <w:szCs w:val="18"/>
              </w:rPr>
            </w:pPr>
          </w:p>
        </w:tc>
        <w:tc>
          <w:tcPr>
            <w:tcW w:w="2699" w:type="dxa"/>
            <w:tcBorders>
              <w:top w:val="single" w:sz="12" w:space="0" w:color="4F2D7F" w:themeColor="accent1"/>
              <w:left w:val="nil"/>
              <w:bottom w:val="single" w:sz="12" w:space="0" w:color="4F2D7F" w:themeColor="accent1"/>
            </w:tcBorders>
            <w:shd w:val="clear" w:color="auto" w:fill="FFFFFF" w:themeFill="background1"/>
            <w:vAlign w:val="center"/>
          </w:tcPr>
          <w:p w14:paraId="3FC1AE3F" w14:textId="2BE1DDA5" w:rsidR="00961AFF" w:rsidRPr="00460F9B" w:rsidRDefault="00D76D88" w:rsidP="007100B5">
            <w:pPr>
              <w:pStyle w:val="BodyText"/>
              <w:spacing w:before="0" w:after="0"/>
              <w:jc w:val="center"/>
              <w:rPr>
                <w:b/>
                <w:bCs/>
                <w:sz w:val="18"/>
                <w:szCs w:val="18"/>
              </w:rPr>
            </w:pPr>
            <w:r w:rsidRPr="007100B5">
              <w:rPr>
                <w:b/>
                <w:bCs/>
                <w:sz w:val="16"/>
                <w:szCs w:val="16"/>
              </w:rPr>
              <w:t>Šířka zatížené plochy technickou infrastrukturou je větší než 1 metr</w:t>
            </w:r>
          </w:p>
        </w:tc>
        <w:tc>
          <w:tcPr>
            <w:tcW w:w="2699" w:type="dxa"/>
            <w:tcBorders>
              <w:top w:val="single" w:sz="12" w:space="0" w:color="4F2D7F" w:themeColor="accent1"/>
              <w:bottom w:val="single" w:sz="12" w:space="0" w:color="4F2D7F" w:themeColor="accent1"/>
            </w:tcBorders>
            <w:shd w:val="clear" w:color="auto" w:fill="FFFFFF" w:themeFill="background1"/>
            <w:vAlign w:val="center"/>
          </w:tcPr>
          <w:p w14:paraId="044680BB" w14:textId="59A369A8" w:rsidR="00961AFF" w:rsidRPr="007100B5" w:rsidRDefault="00DF75D1" w:rsidP="007100B5">
            <w:pPr>
              <w:pStyle w:val="BodyText"/>
              <w:spacing w:before="0" w:after="0"/>
              <w:jc w:val="center"/>
              <w:rPr>
                <w:b/>
                <w:bCs/>
                <w:sz w:val="16"/>
                <w:szCs w:val="16"/>
              </w:rPr>
            </w:pPr>
            <w:r w:rsidRPr="007100B5">
              <w:rPr>
                <w:b/>
                <w:bCs/>
                <w:sz w:val="16"/>
                <w:szCs w:val="16"/>
              </w:rPr>
              <w:t>Šířka zatížené plochy technickou infrastrukturou je větší 0,5 metru až 1 metr včetně</w:t>
            </w:r>
          </w:p>
        </w:tc>
        <w:tc>
          <w:tcPr>
            <w:tcW w:w="2699" w:type="dxa"/>
            <w:tcBorders>
              <w:top w:val="single" w:sz="12" w:space="0" w:color="4F2D7F" w:themeColor="accent1"/>
              <w:bottom w:val="single" w:sz="12" w:space="0" w:color="4F2D7F" w:themeColor="accent1"/>
            </w:tcBorders>
            <w:shd w:val="clear" w:color="auto" w:fill="FFFFFF" w:themeFill="background1"/>
            <w:vAlign w:val="center"/>
          </w:tcPr>
          <w:p w14:paraId="1FC5313F" w14:textId="22EEAD35" w:rsidR="00961AFF" w:rsidRPr="007100B5" w:rsidRDefault="00460F9B" w:rsidP="007100B5">
            <w:pPr>
              <w:pStyle w:val="BodyText"/>
              <w:spacing w:before="0" w:after="0"/>
              <w:jc w:val="center"/>
              <w:rPr>
                <w:b/>
                <w:bCs/>
                <w:sz w:val="16"/>
                <w:szCs w:val="16"/>
              </w:rPr>
            </w:pPr>
            <w:r w:rsidRPr="007100B5">
              <w:rPr>
                <w:b/>
                <w:bCs/>
                <w:sz w:val="16"/>
                <w:szCs w:val="16"/>
              </w:rPr>
              <w:t>Šířka zatížené plochy technickou infrastrukturou je menší než 0,5 metru včetně</w:t>
            </w:r>
          </w:p>
        </w:tc>
      </w:tr>
      <w:tr w:rsidR="00961AFF" w14:paraId="1C7222AB" w14:textId="77777777" w:rsidTr="00E432AB">
        <w:tc>
          <w:tcPr>
            <w:tcW w:w="1985" w:type="dxa"/>
            <w:tcBorders>
              <w:top w:val="single" w:sz="12" w:space="0" w:color="4F2D7F" w:themeColor="accent1"/>
              <w:bottom w:val="single" w:sz="8" w:space="0" w:color="4F2D7F" w:themeColor="accent1"/>
            </w:tcBorders>
            <w:vAlign w:val="center"/>
          </w:tcPr>
          <w:p w14:paraId="516D0F3B" w14:textId="7F617CF0" w:rsidR="00961AFF" w:rsidRPr="007100B5" w:rsidRDefault="00961AFF" w:rsidP="00FF45F7">
            <w:pPr>
              <w:pStyle w:val="BodyText"/>
              <w:spacing w:before="40" w:after="40"/>
              <w:rPr>
                <w:sz w:val="16"/>
                <w:szCs w:val="16"/>
              </w:rPr>
            </w:pPr>
            <w:r w:rsidRPr="007100B5">
              <w:rPr>
                <w:sz w:val="16"/>
                <w:szCs w:val="16"/>
              </w:rPr>
              <w:t>Vložení do komunikace</w:t>
            </w:r>
          </w:p>
        </w:tc>
        <w:tc>
          <w:tcPr>
            <w:tcW w:w="2699" w:type="dxa"/>
            <w:tcBorders>
              <w:top w:val="single" w:sz="12" w:space="0" w:color="4F2D7F" w:themeColor="accent1"/>
              <w:bottom w:val="single" w:sz="8" w:space="0" w:color="4F2D7F" w:themeColor="accent1"/>
            </w:tcBorders>
            <w:vAlign w:val="center"/>
          </w:tcPr>
          <w:p w14:paraId="5FEE3C8C" w14:textId="4103F273" w:rsidR="00961AFF" w:rsidRPr="007100B5" w:rsidRDefault="00FF45F7" w:rsidP="00FF45F7">
            <w:pPr>
              <w:pStyle w:val="BodyText"/>
              <w:spacing w:before="40" w:after="40"/>
              <w:jc w:val="center"/>
              <w:rPr>
                <w:sz w:val="16"/>
                <w:szCs w:val="16"/>
              </w:rPr>
            </w:pPr>
            <w:r w:rsidRPr="007100B5">
              <w:rPr>
                <w:sz w:val="16"/>
                <w:szCs w:val="16"/>
              </w:rPr>
              <w:t>24</w:t>
            </w:r>
          </w:p>
        </w:tc>
        <w:tc>
          <w:tcPr>
            <w:tcW w:w="2699" w:type="dxa"/>
            <w:tcBorders>
              <w:top w:val="single" w:sz="12" w:space="0" w:color="4F2D7F" w:themeColor="accent1"/>
              <w:bottom w:val="single" w:sz="8" w:space="0" w:color="4F2D7F" w:themeColor="accent1"/>
            </w:tcBorders>
            <w:vAlign w:val="center"/>
          </w:tcPr>
          <w:p w14:paraId="5195B933" w14:textId="6F65B464" w:rsidR="00961AFF" w:rsidRPr="007100B5" w:rsidRDefault="00FF45F7" w:rsidP="00FF45F7">
            <w:pPr>
              <w:pStyle w:val="BodyText"/>
              <w:spacing w:before="40" w:after="40"/>
              <w:jc w:val="center"/>
              <w:rPr>
                <w:sz w:val="16"/>
                <w:szCs w:val="16"/>
              </w:rPr>
            </w:pPr>
            <w:r w:rsidRPr="007100B5">
              <w:rPr>
                <w:sz w:val="16"/>
                <w:szCs w:val="16"/>
              </w:rPr>
              <w:t>12</w:t>
            </w:r>
          </w:p>
        </w:tc>
        <w:tc>
          <w:tcPr>
            <w:tcW w:w="2699" w:type="dxa"/>
            <w:tcBorders>
              <w:top w:val="single" w:sz="12" w:space="0" w:color="4F2D7F" w:themeColor="accent1"/>
              <w:bottom w:val="single" w:sz="8" w:space="0" w:color="4F2D7F" w:themeColor="accent1"/>
            </w:tcBorders>
            <w:shd w:val="clear" w:color="auto" w:fill="FFFFFF" w:themeFill="background1"/>
            <w:vAlign w:val="center"/>
          </w:tcPr>
          <w:p w14:paraId="77EEBA68" w14:textId="60357A26" w:rsidR="00961AFF" w:rsidRPr="007100B5" w:rsidRDefault="00FF45F7" w:rsidP="00FF45F7">
            <w:pPr>
              <w:pStyle w:val="BodyText"/>
              <w:spacing w:before="40" w:after="40"/>
              <w:jc w:val="center"/>
              <w:rPr>
                <w:b/>
                <w:bCs/>
                <w:sz w:val="16"/>
                <w:szCs w:val="16"/>
              </w:rPr>
            </w:pPr>
            <w:r w:rsidRPr="007100B5">
              <w:rPr>
                <w:b/>
                <w:bCs/>
                <w:sz w:val="16"/>
                <w:szCs w:val="16"/>
              </w:rPr>
              <w:t>5</w:t>
            </w:r>
          </w:p>
        </w:tc>
      </w:tr>
      <w:tr w:rsidR="00961AFF" w14:paraId="1D537AF2" w14:textId="77777777" w:rsidTr="00E432AB">
        <w:tc>
          <w:tcPr>
            <w:tcW w:w="1985" w:type="dxa"/>
            <w:tcBorders>
              <w:top w:val="single" w:sz="8" w:space="0" w:color="4F2D7F" w:themeColor="accent1"/>
              <w:bottom w:val="single" w:sz="8" w:space="0" w:color="4F2D7F" w:themeColor="accent1"/>
            </w:tcBorders>
            <w:vAlign w:val="center"/>
          </w:tcPr>
          <w:p w14:paraId="61A8A966" w14:textId="67C6547A" w:rsidR="00961AFF" w:rsidRPr="007100B5" w:rsidRDefault="00961AFF" w:rsidP="00FF45F7">
            <w:pPr>
              <w:pStyle w:val="BodyText"/>
              <w:spacing w:before="40" w:after="40"/>
              <w:rPr>
                <w:sz w:val="16"/>
                <w:szCs w:val="16"/>
              </w:rPr>
            </w:pPr>
            <w:r w:rsidRPr="007100B5">
              <w:rPr>
                <w:sz w:val="16"/>
                <w:szCs w:val="16"/>
              </w:rPr>
              <w:t>Vložení do krajnice</w:t>
            </w:r>
          </w:p>
        </w:tc>
        <w:tc>
          <w:tcPr>
            <w:tcW w:w="2699" w:type="dxa"/>
            <w:tcBorders>
              <w:top w:val="single" w:sz="8" w:space="0" w:color="4F2D7F" w:themeColor="accent1"/>
              <w:bottom w:val="single" w:sz="8" w:space="0" w:color="4F2D7F" w:themeColor="accent1"/>
            </w:tcBorders>
            <w:vAlign w:val="center"/>
          </w:tcPr>
          <w:p w14:paraId="1E779F80" w14:textId="4ACB71AC" w:rsidR="00961AFF" w:rsidRPr="007100B5" w:rsidRDefault="00FF45F7" w:rsidP="00FF45F7">
            <w:pPr>
              <w:pStyle w:val="BodyText"/>
              <w:spacing w:before="40" w:after="40"/>
              <w:jc w:val="center"/>
              <w:rPr>
                <w:sz w:val="16"/>
                <w:szCs w:val="16"/>
              </w:rPr>
            </w:pPr>
            <w:r w:rsidRPr="007100B5">
              <w:rPr>
                <w:sz w:val="16"/>
                <w:szCs w:val="16"/>
              </w:rPr>
              <w:t>11</w:t>
            </w:r>
          </w:p>
        </w:tc>
        <w:tc>
          <w:tcPr>
            <w:tcW w:w="2699" w:type="dxa"/>
            <w:tcBorders>
              <w:top w:val="single" w:sz="8" w:space="0" w:color="4F2D7F" w:themeColor="accent1"/>
              <w:bottom w:val="single" w:sz="8" w:space="0" w:color="4F2D7F" w:themeColor="accent1"/>
            </w:tcBorders>
            <w:vAlign w:val="center"/>
          </w:tcPr>
          <w:p w14:paraId="6E2EA520" w14:textId="3C398273" w:rsidR="00961AFF" w:rsidRPr="007100B5" w:rsidRDefault="00FF45F7" w:rsidP="00FF45F7">
            <w:pPr>
              <w:pStyle w:val="BodyText"/>
              <w:spacing w:before="40" w:after="40"/>
              <w:jc w:val="center"/>
              <w:rPr>
                <w:sz w:val="16"/>
                <w:szCs w:val="16"/>
              </w:rPr>
            </w:pPr>
            <w:r w:rsidRPr="007100B5">
              <w:rPr>
                <w:sz w:val="16"/>
                <w:szCs w:val="16"/>
              </w:rPr>
              <w:t>5,5</w:t>
            </w:r>
          </w:p>
        </w:tc>
        <w:tc>
          <w:tcPr>
            <w:tcW w:w="2699" w:type="dxa"/>
            <w:tcBorders>
              <w:top w:val="single" w:sz="8" w:space="0" w:color="4F2D7F" w:themeColor="accent1"/>
              <w:bottom w:val="single" w:sz="8" w:space="0" w:color="4F2D7F" w:themeColor="accent1"/>
            </w:tcBorders>
            <w:shd w:val="clear" w:color="auto" w:fill="FFFFFF" w:themeFill="background1"/>
            <w:vAlign w:val="center"/>
          </w:tcPr>
          <w:p w14:paraId="0E819C3D" w14:textId="4B9D25F3" w:rsidR="00961AFF" w:rsidRPr="007100B5" w:rsidRDefault="00FF45F7" w:rsidP="00FF45F7">
            <w:pPr>
              <w:pStyle w:val="BodyText"/>
              <w:spacing w:before="40" w:after="40"/>
              <w:jc w:val="center"/>
              <w:rPr>
                <w:b/>
                <w:bCs/>
                <w:sz w:val="16"/>
                <w:szCs w:val="16"/>
              </w:rPr>
            </w:pPr>
            <w:r w:rsidRPr="007100B5">
              <w:rPr>
                <w:b/>
                <w:bCs/>
                <w:sz w:val="16"/>
                <w:szCs w:val="16"/>
              </w:rPr>
              <w:t>2</w:t>
            </w:r>
          </w:p>
        </w:tc>
      </w:tr>
      <w:tr w:rsidR="00961AFF" w14:paraId="65CC35C2" w14:textId="77777777" w:rsidTr="00E432AB">
        <w:tc>
          <w:tcPr>
            <w:tcW w:w="1985" w:type="dxa"/>
            <w:tcBorders>
              <w:top w:val="single" w:sz="8" w:space="0" w:color="4F2D7F" w:themeColor="accent1"/>
              <w:bottom w:val="single" w:sz="8" w:space="0" w:color="4F2D7F" w:themeColor="accent1"/>
            </w:tcBorders>
            <w:vAlign w:val="center"/>
          </w:tcPr>
          <w:p w14:paraId="26A064E4" w14:textId="0C4497F8" w:rsidR="00961AFF" w:rsidRPr="007100B5" w:rsidRDefault="00961AFF" w:rsidP="00FF45F7">
            <w:pPr>
              <w:pStyle w:val="BodyText"/>
              <w:spacing w:before="40" w:after="40"/>
              <w:rPr>
                <w:sz w:val="16"/>
                <w:szCs w:val="16"/>
              </w:rPr>
            </w:pPr>
            <w:r w:rsidRPr="007100B5">
              <w:rPr>
                <w:sz w:val="16"/>
                <w:szCs w:val="16"/>
              </w:rPr>
              <w:t>Vložení do chodníku</w:t>
            </w:r>
          </w:p>
        </w:tc>
        <w:tc>
          <w:tcPr>
            <w:tcW w:w="2699" w:type="dxa"/>
            <w:tcBorders>
              <w:top w:val="single" w:sz="8" w:space="0" w:color="4F2D7F" w:themeColor="accent1"/>
              <w:bottom w:val="single" w:sz="8" w:space="0" w:color="4F2D7F" w:themeColor="accent1"/>
            </w:tcBorders>
            <w:vAlign w:val="center"/>
          </w:tcPr>
          <w:p w14:paraId="724B4389" w14:textId="518351D6" w:rsidR="00961AFF" w:rsidRPr="007100B5" w:rsidRDefault="00FF45F7" w:rsidP="00FF45F7">
            <w:pPr>
              <w:pStyle w:val="BodyText"/>
              <w:spacing w:before="40" w:after="40"/>
              <w:jc w:val="center"/>
              <w:rPr>
                <w:sz w:val="16"/>
                <w:szCs w:val="16"/>
              </w:rPr>
            </w:pPr>
            <w:r w:rsidRPr="007100B5">
              <w:rPr>
                <w:sz w:val="16"/>
                <w:szCs w:val="16"/>
              </w:rPr>
              <w:t>5</w:t>
            </w:r>
          </w:p>
        </w:tc>
        <w:tc>
          <w:tcPr>
            <w:tcW w:w="2699" w:type="dxa"/>
            <w:tcBorders>
              <w:top w:val="single" w:sz="8" w:space="0" w:color="4F2D7F" w:themeColor="accent1"/>
              <w:bottom w:val="single" w:sz="8" w:space="0" w:color="4F2D7F" w:themeColor="accent1"/>
            </w:tcBorders>
            <w:vAlign w:val="center"/>
          </w:tcPr>
          <w:p w14:paraId="4C6ACE43" w14:textId="754F4930" w:rsidR="00961AFF" w:rsidRPr="007100B5" w:rsidRDefault="00FF45F7" w:rsidP="00FF45F7">
            <w:pPr>
              <w:pStyle w:val="BodyText"/>
              <w:spacing w:before="40" w:after="40"/>
              <w:jc w:val="center"/>
              <w:rPr>
                <w:sz w:val="16"/>
                <w:szCs w:val="16"/>
              </w:rPr>
            </w:pPr>
            <w:r w:rsidRPr="007100B5">
              <w:rPr>
                <w:sz w:val="16"/>
                <w:szCs w:val="16"/>
              </w:rPr>
              <w:t>2,5</w:t>
            </w:r>
          </w:p>
        </w:tc>
        <w:tc>
          <w:tcPr>
            <w:tcW w:w="2699" w:type="dxa"/>
            <w:tcBorders>
              <w:top w:val="single" w:sz="8" w:space="0" w:color="4F2D7F" w:themeColor="accent1"/>
              <w:bottom w:val="single" w:sz="8" w:space="0" w:color="4F2D7F" w:themeColor="accent1"/>
            </w:tcBorders>
            <w:shd w:val="clear" w:color="auto" w:fill="FFFFFF" w:themeFill="background1"/>
            <w:vAlign w:val="center"/>
          </w:tcPr>
          <w:p w14:paraId="3877C4F8" w14:textId="1FB79A9F" w:rsidR="00961AFF" w:rsidRPr="007100B5" w:rsidRDefault="00FF45F7" w:rsidP="00FF45F7">
            <w:pPr>
              <w:pStyle w:val="BodyText"/>
              <w:spacing w:before="40" w:after="40"/>
              <w:jc w:val="center"/>
              <w:rPr>
                <w:b/>
                <w:bCs/>
                <w:sz w:val="16"/>
                <w:szCs w:val="16"/>
              </w:rPr>
            </w:pPr>
            <w:r w:rsidRPr="007100B5">
              <w:rPr>
                <w:b/>
                <w:bCs/>
                <w:sz w:val="16"/>
                <w:szCs w:val="16"/>
              </w:rPr>
              <w:t>2</w:t>
            </w:r>
          </w:p>
        </w:tc>
      </w:tr>
      <w:tr w:rsidR="00961AFF" w14:paraId="145E8CDA" w14:textId="77777777" w:rsidTr="00E432AB">
        <w:tc>
          <w:tcPr>
            <w:tcW w:w="1985" w:type="dxa"/>
            <w:tcBorders>
              <w:top w:val="single" w:sz="8" w:space="0" w:color="4F2D7F" w:themeColor="accent1"/>
              <w:bottom w:val="single" w:sz="8" w:space="0" w:color="4F2D7F" w:themeColor="accent1"/>
            </w:tcBorders>
            <w:vAlign w:val="center"/>
          </w:tcPr>
          <w:p w14:paraId="6637413F" w14:textId="0E658F90" w:rsidR="00961AFF" w:rsidRPr="007100B5" w:rsidRDefault="00961AFF" w:rsidP="00FF45F7">
            <w:pPr>
              <w:pStyle w:val="BodyText"/>
              <w:spacing w:before="40" w:after="40"/>
              <w:rPr>
                <w:sz w:val="16"/>
                <w:szCs w:val="16"/>
              </w:rPr>
            </w:pPr>
            <w:r w:rsidRPr="007100B5">
              <w:rPr>
                <w:sz w:val="16"/>
                <w:szCs w:val="16"/>
              </w:rPr>
              <w:t>Vložení do pomocného silničního pozemku</w:t>
            </w:r>
          </w:p>
        </w:tc>
        <w:tc>
          <w:tcPr>
            <w:tcW w:w="2699" w:type="dxa"/>
            <w:tcBorders>
              <w:top w:val="single" w:sz="8" w:space="0" w:color="4F2D7F" w:themeColor="accent1"/>
              <w:bottom w:val="single" w:sz="8" w:space="0" w:color="4F2D7F" w:themeColor="accent1"/>
            </w:tcBorders>
            <w:vAlign w:val="center"/>
          </w:tcPr>
          <w:p w14:paraId="70CEEBB2" w14:textId="1A4F821D" w:rsidR="00961AFF" w:rsidRPr="007100B5" w:rsidRDefault="00FF45F7" w:rsidP="00FF45F7">
            <w:pPr>
              <w:pStyle w:val="BodyText"/>
              <w:spacing w:before="40" w:after="40"/>
              <w:jc w:val="center"/>
              <w:rPr>
                <w:sz w:val="16"/>
                <w:szCs w:val="16"/>
              </w:rPr>
            </w:pPr>
            <w:r w:rsidRPr="007100B5">
              <w:rPr>
                <w:sz w:val="16"/>
                <w:szCs w:val="16"/>
              </w:rPr>
              <w:t>4</w:t>
            </w:r>
          </w:p>
        </w:tc>
        <w:tc>
          <w:tcPr>
            <w:tcW w:w="2699" w:type="dxa"/>
            <w:tcBorders>
              <w:top w:val="single" w:sz="8" w:space="0" w:color="4F2D7F" w:themeColor="accent1"/>
              <w:bottom w:val="single" w:sz="8" w:space="0" w:color="4F2D7F" w:themeColor="accent1"/>
            </w:tcBorders>
            <w:vAlign w:val="center"/>
          </w:tcPr>
          <w:p w14:paraId="4D34F563" w14:textId="1AFDBBFC" w:rsidR="00961AFF" w:rsidRPr="007100B5" w:rsidRDefault="00FF45F7" w:rsidP="00FF45F7">
            <w:pPr>
              <w:pStyle w:val="BodyText"/>
              <w:spacing w:before="40" w:after="40"/>
              <w:jc w:val="center"/>
              <w:rPr>
                <w:sz w:val="16"/>
                <w:szCs w:val="16"/>
              </w:rPr>
            </w:pPr>
            <w:r w:rsidRPr="007100B5">
              <w:rPr>
                <w:sz w:val="16"/>
                <w:szCs w:val="16"/>
              </w:rPr>
              <w:t>2</w:t>
            </w:r>
          </w:p>
        </w:tc>
        <w:tc>
          <w:tcPr>
            <w:tcW w:w="2699" w:type="dxa"/>
            <w:tcBorders>
              <w:top w:val="single" w:sz="8" w:space="0" w:color="4F2D7F" w:themeColor="accent1"/>
              <w:bottom w:val="single" w:sz="8" w:space="0" w:color="4F2D7F" w:themeColor="accent1"/>
            </w:tcBorders>
            <w:shd w:val="clear" w:color="auto" w:fill="FFFFFF" w:themeFill="background1"/>
            <w:vAlign w:val="center"/>
          </w:tcPr>
          <w:p w14:paraId="03B6BC32" w14:textId="1C6AD709" w:rsidR="00961AFF" w:rsidRPr="007100B5" w:rsidRDefault="00FF45F7" w:rsidP="00FF45F7">
            <w:pPr>
              <w:pStyle w:val="BodyText"/>
              <w:spacing w:before="40" w:after="40"/>
              <w:jc w:val="center"/>
              <w:rPr>
                <w:b/>
                <w:bCs/>
                <w:sz w:val="16"/>
                <w:szCs w:val="16"/>
              </w:rPr>
            </w:pPr>
            <w:r w:rsidRPr="007100B5">
              <w:rPr>
                <w:b/>
                <w:bCs/>
                <w:sz w:val="16"/>
                <w:szCs w:val="16"/>
              </w:rPr>
              <w:t>2</w:t>
            </w:r>
          </w:p>
        </w:tc>
      </w:tr>
      <w:tr w:rsidR="00961AFF" w14:paraId="0FACA3B7" w14:textId="77777777" w:rsidTr="00E432AB">
        <w:tc>
          <w:tcPr>
            <w:tcW w:w="1985" w:type="dxa"/>
            <w:tcBorders>
              <w:top w:val="single" w:sz="8" w:space="0" w:color="4F2D7F" w:themeColor="accent1"/>
              <w:bottom w:val="single" w:sz="8" w:space="0" w:color="4F2D7F" w:themeColor="accent1"/>
            </w:tcBorders>
            <w:vAlign w:val="center"/>
          </w:tcPr>
          <w:p w14:paraId="0A4E5400" w14:textId="3DB26532" w:rsidR="00961AFF" w:rsidRPr="007100B5" w:rsidRDefault="00961AFF" w:rsidP="00FF45F7">
            <w:pPr>
              <w:pStyle w:val="BodyText"/>
              <w:spacing w:before="40" w:after="40"/>
              <w:rPr>
                <w:sz w:val="16"/>
                <w:szCs w:val="16"/>
              </w:rPr>
            </w:pPr>
            <w:r w:rsidRPr="007100B5">
              <w:rPr>
                <w:sz w:val="16"/>
                <w:szCs w:val="16"/>
              </w:rPr>
              <w:t>Překop komunikace</w:t>
            </w:r>
          </w:p>
        </w:tc>
        <w:tc>
          <w:tcPr>
            <w:tcW w:w="2699" w:type="dxa"/>
            <w:tcBorders>
              <w:top w:val="single" w:sz="8" w:space="0" w:color="4F2D7F" w:themeColor="accent1"/>
              <w:bottom w:val="single" w:sz="8" w:space="0" w:color="4F2D7F" w:themeColor="accent1"/>
            </w:tcBorders>
            <w:vAlign w:val="center"/>
          </w:tcPr>
          <w:p w14:paraId="79F93E71" w14:textId="60E18D40" w:rsidR="00961AFF" w:rsidRPr="007100B5" w:rsidRDefault="00FF45F7" w:rsidP="00FF45F7">
            <w:pPr>
              <w:pStyle w:val="BodyText"/>
              <w:spacing w:before="40" w:after="40"/>
              <w:jc w:val="center"/>
              <w:rPr>
                <w:sz w:val="16"/>
                <w:szCs w:val="16"/>
              </w:rPr>
            </w:pPr>
            <w:r w:rsidRPr="007100B5">
              <w:rPr>
                <w:sz w:val="16"/>
                <w:szCs w:val="16"/>
              </w:rPr>
              <w:t>60</w:t>
            </w:r>
          </w:p>
        </w:tc>
        <w:tc>
          <w:tcPr>
            <w:tcW w:w="2699" w:type="dxa"/>
            <w:tcBorders>
              <w:top w:val="single" w:sz="8" w:space="0" w:color="4F2D7F" w:themeColor="accent1"/>
              <w:bottom w:val="single" w:sz="8" w:space="0" w:color="4F2D7F" w:themeColor="accent1"/>
            </w:tcBorders>
            <w:vAlign w:val="center"/>
          </w:tcPr>
          <w:p w14:paraId="69DD68F6" w14:textId="0D83A3CE" w:rsidR="00961AFF" w:rsidRPr="007100B5" w:rsidRDefault="00FF45F7" w:rsidP="00FF45F7">
            <w:pPr>
              <w:pStyle w:val="BodyText"/>
              <w:spacing w:before="40" w:after="40"/>
              <w:jc w:val="center"/>
              <w:rPr>
                <w:sz w:val="16"/>
                <w:szCs w:val="16"/>
              </w:rPr>
            </w:pPr>
            <w:r w:rsidRPr="007100B5">
              <w:rPr>
                <w:sz w:val="16"/>
                <w:szCs w:val="16"/>
              </w:rPr>
              <w:t>40</w:t>
            </w:r>
          </w:p>
        </w:tc>
        <w:tc>
          <w:tcPr>
            <w:tcW w:w="2699" w:type="dxa"/>
            <w:tcBorders>
              <w:top w:val="single" w:sz="8" w:space="0" w:color="4F2D7F" w:themeColor="accent1"/>
              <w:bottom w:val="single" w:sz="8" w:space="0" w:color="4F2D7F" w:themeColor="accent1"/>
            </w:tcBorders>
            <w:shd w:val="clear" w:color="auto" w:fill="FFFFFF" w:themeFill="background1"/>
            <w:vAlign w:val="center"/>
          </w:tcPr>
          <w:p w14:paraId="6E10A591" w14:textId="160C1442" w:rsidR="00961AFF" w:rsidRPr="007100B5" w:rsidRDefault="00FF45F7" w:rsidP="00F7402C">
            <w:pPr>
              <w:pStyle w:val="BodyText"/>
              <w:keepNext/>
              <w:spacing w:before="40" w:after="40"/>
              <w:jc w:val="center"/>
              <w:rPr>
                <w:b/>
                <w:bCs/>
                <w:sz w:val="16"/>
                <w:szCs w:val="16"/>
              </w:rPr>
            </w:pPr>
            <w:r w:rsidRPr="007100B5">
              <w:rPr>
                <w:b/>
                <w:bCs/>
                <w:sz w:val="16"/>
                <w:szCs w:val="16"/>
              </w:rPr>
              <w:t>20</w:t>
            </w:r>
          </w:p>
        </w:tc>
      </w:tr>
    </w:tbl>
    <w:p w14:paraId="1A6C7211" w14:textId="14E23BCD" w:rsidR="00E202BB" w:rsidRDefault="00F7402C" w:rsidP="00F7402C">
      <w:pPr>
        <w:pStyle w:val="Caption"/>
      </w:pPr>
      <w:r>
        <w:t xml:space="preserve">Tabulka </w:t>
      </w:r>
      <w:r w:rsidR="009534F5">
        <w:fldChar w:fldCharType="begin"/>
      </w:r>
      <w:r w:rsidR="009534F5">
        <w:instrText xml:space="preserve"> SEQ Tabulka \* ARABIC </w:instrText>
      </w:r>
      <w:r w:rsidR="009534F5">
        <w:fldChar w:fldCharType="separate"/>
      </w:r>
      <w:r w:rsidR="009534F5">
        <w:rPr>
          <w:noProof/>
        </w:rPr>
        <w:t>2</w:t>
      </w:r>
      <w:r w:rsidR="009534F5">
        <w:fldChar w:fldCharType="end"/>
      </w:r>
      <w:r>
        <w:t xml:space="preserve"> - </w:t>
      </w:r>
      <w:r w:rsidR="00214A40" w:rsidRPr="00214A40">
        <w:t>Koeficienty míry užitku a omezení vlastníka nemovité věci pro zjednodušené ocenění věcných břemen technické infrastruktury</w:t>
      </w:r>
      <w:r w:rsidR="00893F1E">
        <w:t xml:space="preserve"> (Zdroj: Příloha č 22a tabulka č. 1. oceňovací vyhlášky 441/201 Sb.)</w:t>
      </w:r>
    </w:p>
    <w:p w14:paraId="1E867B93" w14:textId="49E407B3" w:rsidR="007728C1" w:rsidRDefault="00E7230C" w:rsidP="0057475C">
      <w:pPr>
        <w:pStyle w:val="BodyText"/>
        <w:spacing w:after="0"/>
        <w:jc w:val="both"/>
      </w:pPr>
      <w:r>
        <w:t>Pro případy</w:t>
      </w:r>
      <w:r w:rsidR="00A4636F">
        <w:t>,</w:t>
      </w:r>
      <w:r w:rsidR="007728C1">
        <w:t xml:space="preserve"> kdy </w:t>
      </w:r>
      <w:r w:rsidR="007728C1" w:rsidRPr="005A2166">
        <w:rPr>
          <w:b/>
        </w:rPr>
        <w:t>nelze použít zjednodušenou metodu</w:t>
      </w:r>
      <w:r w:rsidR="006D125D">
        <w:t xml:space="preserve">, </w:t>
      </w:r>
      <w:r w:rsidR="00AD4C64">
        <w:t>například</w:t>
      </w:r>
      <w:r w:rsidR="008C0FF9">
        <w:t xml:space="preserve"> pokud se</w:t>
      </w:r>
      <w:r w:rsidR="00AD4C64">
        <w:t xml:space="preserve"> </w:t>
      </w:r>
      <w:r w:rsidR="007728C1">
        <w:t>věcné břemeno zřizuje na dobu určitou nebo se jedná o nadzemní vedení</w:t>
      </w:r>
      <w:r w:rsidR="008C0FF9">
        <w:t>,</w:t>
      </w:r>
      <w:r w:rsidR="00AD4C64">
        <w:t xml:space="preserve"> metodik</w:t>
      </w:r>
      <w:r w:rsidR="003B6ACD">
        <w:t>y</w:t>
      </w:r>
      <w:r w:rsidR="00BE4964">
        <w:t xml:space="preserve"> standardně obsahují </w:t>
      </w:r>
      <w:r w:rsidR="00BE4964" w:rsidRPr="005A2166">
        <w:rPr>
          <w:b/>
        </w:rPr>
        <w:t>dodatečný ceník</w:t>
      </w:r>
      <w:r w:rsidR="003B6ACD">
        <w:t>. Pokud</w:t>
      </w:r>
      <w:r w:rsidR="00D155E5">
        <w:t xml:space="preserve"> nedojde k dohodě o ceně</w:t>
      </w:r>
      <w:r w:rsidR="00D42474">
        <w:t xml:space="preserve"> za zřízení věcného břemene /</w:t>
      </w:r>
      <w:r w:rsidR="00D155E5">
        <w:t xml:space="preserve"> služebnosti</w:t>
      </w:r>
      <w:r w:rsidR="00E26597">
        <w:t xml:space="preserve">, je cena stanovena na základě </w:t>
      </w:r>
      <w:r w:rsidR="00E26597" w:rsidRPr="00DE1975">
        <w:rPr>
          <w:b/>
        </w:rPr>
        <w:t>znaleckého posudku</w:t>
      </w:r>
      <w:r w:rsidR="00E26597">
        <w:t>.</w:t>
      </w:r>
    </w:p>
    <w:p w14:paraId="7849260C" w14:textId="1A7A57AD" w:rsidR="001C3FB7" w:rsidRDefault="001A0958" w:rsidP="00DB0BFE">
      <w:pPr>
        <w:pStyle w:val="Heading3"/>
      </w:pPr>
      <w:bookmarkStart w:id="9" w:name="_Toc106622211"/>
      <w:r>
        <w:t>Návrh doporučení</w:t>
      </w:r>
      <w:bookmarkEnd w:id="9"/>
    </w:p>
    <w:p w14:paraId="20FED21C" w14:textId="5459CD93" w:rsidR="0079110D" w:rsidRDefault="0079110D" w:rsidP="0057475C">
      <w:pPr>
        <w:pStyle w:val="BodyText"/>
        <w:jc w:val="both"/>
      </w:pPr>
      <w:r>
        <w:t xml:space="preserve">Na základě </w:t>
      </w:r>
      <w:r w:rsidRPr="00E432AB">
        <w:rPr>
          <w:i/>
          <w:iCs/>
        </w:rPr>
        <w:t>Souhrnného stanoviska</w:t>
      </w:r>
      <w:r w:rsidR="00F22098" w:rsidRPr="00E432AB">
        <w:rPr>
          <w:i/>
          <w:iCs/>
        </w:rPr>
        <w:t xml:space="preserve"> k věcným břemenům na majetku obcí</w:t>
      </w:r>
      <w:r w:rsidR="00F22098">
        <w:t xml:space="preserve"> a </w:t>
      </w:r>
      <w:r w:rsidR="0067218E">
        <w:t xml:space="preserve">v současnosti existujících </w:t>
      </w:r>
      <w:r w:rsidR="00F22098">
        <w:t xml:space="preserve">příkladů z běžné praxe doporučujeme implementovat jako primární metodu </w:t>
      </w:r>
      <w:r w:rsidR="00E02C40">
        <w:t>výpočtu</w:t>
      </w:r>
      <w:r w:rsidR="00F22098">
        <w:t xml:space="preserve"> výše </w:t>
      </w:r>
      <w:r w:rsidR="00E721E0">
        <w:t>služebnosti</w:t>
      </w:r>
      <w:r w:rsidR="00F22098">
        <w:t xml:space="preserve"> </w:t>
      </w:r>
      <w:r w:rsidR="00037FCC" w:rsidRPr="00E721E0">
        <w:rPr>
          <w:b/>
        </w:rPr>
        <w:t>zjednodušenou metodu ocenění věcného břemene</w:t>
      </w:r>
      <w:r w:rsidR="00037FCC">
        <w:t xml:space="preserve"> dle</w:t>
      </w:r>
      <w:r w:rsidR="00562C3D">
        <w:t xml:space="preserve"> </w:t>
      </w:r>
      <w:r w:rsidR="00562C3D" w:rsidRPr="00F93FF3">
        <w:t>§ 39b</w:t>
      </w:r>
      <w:r w:rsidR="00562C3D">
        <w:t xml:space="preserve"> </w:t>
      </w:r>
      <w:r w:rsidR="00790666">
        <w:t>V</w:t>
      </w:r>
      <w:r w:rsidR="00562C3D">
        <w:t>yhlášky</w:t>
      </w:r>
      <w:r w:rsidR="00562C3D" w:rsidRPr="00562C3D">
        <w:t xml:space="preserve"> č. 441/2013 Sb.</w:t>
      </w:r>
      <w:r w:rsidR="00790666">
        <w:t xml:space="preserve"> </w:t>
      </w:r>
      <w:r w:rsidR="00170ED7">
        <w:t>Jedn</w:t>
      </w:r>
      <w:r w:rsidR="00F1578F">
        <w:t>á se o postup, který je již aplikován v případě en</w:t>
      </w:r>
      <w:r w:rsidR="00767198">
        <w:t>ergetického sektoru</w:t>
      </w:r>
      <w:r w:rsidR="00C9647B">
        <w:t xml:space="preserve"> a </w:t>
      </w:r>
      <w:r w:rsidR="008310BC">
        <w:t xml:space="preserve">dle Souhrnného stanoviska by měl </w:t>
      </w:r>
      <w:r w:rsidR="00437FC7">
        <w:t xml:space="preserve">být </w:t>
      </w:r>
      <w:r w:rsidR="008310BC">
        <w:t>aplikován i v</w:t>
      </w:r>
      <w:r w:rsidR="00437FC7">
        <w:t> </w:t>
      </w:r>
      <w:r w:rsidR="008310BC">
        <w:t>případě</w:t>
      </w:r>
      <w:r w:rsidR="00437FC7">
        <w:t xml:space="preserve"> elektronických komunikací.</w:t>
      </w:r>
      <w:r w:rsidR="00F211BE">
        <w:t xml:space="preserve"> </w:t>
      </w:r>
      <w:r w:rsidR="00790666">
        <w:t>V</w:t>
      </w:r>
      <w:r w:rsidR="00B15838">
        <w:t> </w:t>
      </w:r>
      <w:r w:rsidR="00790666">
        <w:t>případech</w:t>
      </w:r>
      <w:r w:rsidR="00B15838">
        <w:t>,</w:t>
      </w:r>
      <w:r w:rsidR="00790666">
        <w:t xml:space="preserve"> kdy nelze </w:t>
      </w:r>
      <w:r w:rsidR="00E57223">
        <w:t xml:space="preserve">navrhovanou </w:t>
      </w:r>
      <w:r w:rsidR="00790666">
        <w:t>zjednodušenou metodu použít lze</w:t>
      </w:r>
      <w:r w:rsidR="00B15838">
        <w:t xml:space="preserve"> </w:t>
      </w:r>
      <w:r w:rsidR="00DA6B23">
        <w:t>využít</w:t>
      </w:r>
      <w:r w:rsidR="00B15838">
        <w:t xml:space="preserve"> stávající ceník</w:t>
      </w:r>
      <w:r w:rsidR="004F59D4">
        <w:t>.</w:t>
      </w:r>
    </w:p>
    <w:p w14:paraId="4D3ADA74" w14:textId="32C30A13" w:rsidR="003A7C07" w:rsidRDefault="003A7C07" w:rsidP="0057475C">
      <w:pPr>
        <w:pStyle w:val="BodyText"/>
        <w:jc w:val="both"/>
      </w:pPr>
      <w:r>
        <w:t xml:space="preserve">Ve srovnání postup </w:t>
      </w:r>
      <w:r w:rsidR="00D3096D">
        <w:t xml:space="preserve">výpočtu výše věcného břemene dle </w:t>
      </w:r>
      <w:r w:rsidR="00D3096D" w:rsidRPr="00F93FF3">
        <w:t>§39b</w:t>
      </w:r>
      <w:r w:rsidR="00D3096D">
        <w:t xml:space="preserve"> Vyhlášky</w:t>
      </w:r>
      <w:r w:rsidR="00D3096D" w:rsidRPr="00562C3D">
        <w:t xml:space="preserve"> č. 441/2013 Sb</w:t>
      </w:r>
      <w:r w:rsidR="00D3096D">
        <w:t>.</w:t>
      </w:r>
      <w:r w:rsidR="00746ED1">
        <w:t xml:space="preserve">, tak jak ji doporučuje a podporuje </w:t>
      </w:r>
      <w:r w:rsidR="00746ED1" w:rsidRPr="00746ED1">
        <w:rPr>
          <w:i/>
          <w:iCs/>
        </w:rPr>
        <w:t>Souhrnné stanovisko</w:t>
      </w:r>
      <w:r w:rsidR="00746ED1">
        <w:t xml:space="preserve"> je standardní metodou. </w:t>
      </w:r>
      <w:r w:rsidR="00746ED1" w:rsidRPr="007C76DE">
        <w:t xml:space="preserve">Současný ceník je ve srovnání s jinými </w:t>
      </w:r>
      <w:r w:rsidR="00E57223" w:rsidRPr="007C76DE">
        <w:t xml:space="preserve">v některých ohledech vyšší a může zamezovat </w:t>
      </w:r>
      <w:r w:rsidR="0068099D" w:rsidRPr="007C76DE">
        <w:t xml:space="preserve">rozvoji sítí elektronických komunikací a je i v tomto ohledu doporučena aktualizace s ohledem na nárůst cen stavebních prací a </w:t>
      </w:r>
      <w:r w:rsidR="00293302" w:rsidRPr="007C76DE">
        <w:t>zejména účel využívání věcných břemen.</w:t>
      </w:r>
      <w:r w:rsidR="00B34C73">
        <w:t xml:space="preserve"> Případné minimum by bylo srovnání relevantních položek ceníků s ostatními veřejnými ceníky.</w:t>
      </w:r>
    </w:p>
    <w:p w14:paraId="2C25A1B0" w14:textId="789A7239" w:rsidR="00BF7D02" w:rsidRDefault="00BF7D02" w:rsidP="0057475C">
      <w:pPr>
        <w:pStyle w:val="BodyText"/>
        <w:jc w:val="both"/>
      </w:pPr>
      <w:r>
        <w:t>Pro situace, kdy nedojde</w:t>
      </w:r>
      <w:r w:rsidR="004A4889">
        <w:t xml:space="preserve"> mezi stranami k dohodě na</w:t>
      </w:r>
      <w:r w:rsidR="00DF0A7A">
        <w:t xml:space="preserve"> výši náhrady</w:t>
      </w:r>
      <w:r w:rsidR="004A4889">
        <w:t xml:space="preserve"> za zřízení věcného břemen</w:t>
      </w:r>
      <w:r w:rsidR="00DF0A7A">
        <w:t>e</w:t>
      </w:r>
      <w:r w:rsidR="004A4889">
        <w:t xml:space="preserve">, navrhujeme doplnit </w:t>
      </w:r>
      <w:r w:rsidR="00E14973">
        <w:t>stanovení výše náhrady</w:t>
      </w:r>
      <w:r w:rsidR="00CE5630">
        <w:t xml:space="preserve"> za zřízení věcného břemene</w:t>
      </w:r>
      <w:r w:rsidR="00E14973">
        <w:t xml:space="preserve"> prostřednictvím znaleckého posudku</w:t>
      </w:r>
      <w:r w:rsidR="00DC7D55">
        <w:t>. Tato stanovená cena by poté byla vnímána jako maximální cena</w:t>
      </w:r>
      <w:r w:rsidR="00FD399D">
        <w:t>.</w:t>
      </w:r>
      <w:r w:rsidR="00096FCE">
        <w:t xml:space="preserve"> Viz kapitola </w:t>
      </w:r>
      <w:r w:rsidR="00096FCE" w:rsidRPr="00130832">
        <w:t>4.</w:t>
      </w:r>
      <w:r w:rsidR="00130832" w:rsidRPr="00130832">
        <w:t>4</w:t>
      </w:r>
      <w:r w:rsidR="00096FCE" w:rsidRPr="00130832">
        <w:t>.</w:t>
      </w:r>
    </w:p>
    <w:p w14:paraId="5B164315" w14:textId="46B1BFE5" w:rsidR="00940DF6" w:rsidRDefault="002E708C" w:rsidP="0057475C">
      <w:pPr>
        <w:pStyle w:val="BodyText"/>
        <w:jc w:val="both"/>
      </w:pPr>
      <w:r>
        <w:t xml:space="preserve">Jedním z podstatných aspektů v rámci stanovení výše služebnosti je mimo jiné </w:t>
      </w:r>
      <w:r w:rsidR="00272E81">
        <w:t>její inkaso, tedy moment, ke kterému je jaká část ceny služebnosti splatná. Je tak zejména s ohledem na „rezervaci“ trasy</w:t>
      </w:r>
      <w:r w:rsidR="00A630FA">
        <w:t xml:space="preserve"> (záloha)</w:t>
      </w:r>
      <w:r w:rsidR="00272E81">
        <w:t xml:space="preserve">, stejně jako motivátor k uskutečnění výstavby v co nejkratší době a nedopouštění se konkurenčně nekalého jednání. Ve věci zálohy </w:t>
      </w:r>
      <w:r w:rsidR="00AC3CDF">
        <w:t xml:space="preserve">viz kapitola </w:t>
      </w:r>
      <w:r w:rsidR="00AC3CDF" w:rsidRPr="00AE6A70">
        <w:t>4.3.</w:t>
      </w:r>
    </w:p>
    <w:p w14:paraId="6CC8AF36" w14:textId="104A7884" w:rsidR="004F68E6" w:rsidRDefault="00F55D4B" w:rsidP="00DB0BFE">
      <w:pPr>
        <w:pStyle w:val="Heading2"/>
      </w:pPr>
      <w:bookmarkStart w:id="10" w:name="_Toc106622212"/>
      <w:bookmarkEnd w:id="2"/>
      <w:r>
        <w:t>N</w:t>
      </w:r>
      <w:r w:rsidR="00365C9F">
        <w:t>astavení pravidel a povinn</w:t>
      </w:r>
      <w:r w:rsidR="00331145">
        <w:t>ostí pro nájemce či vlastníky datových sítí</w:t>
      </w:r>
      <w:bookmarkEnd w:id="10"/>
    </w:p>
    <w:p w14:paraId="1C548E8F" w14:textId="77777777" w:rsidR="00FA008F" w:rsidRDefault="00FA008F" w:rsidP="00FA008F">
      <w:pPr>
        <w:pStyle w:val="Heading3"/>
      </w:pPr>
      <w:bookmarkStart w:id="11" w:name="_Toc106622213"/>
      <w:r>
        <w:t>Běžná praxe</w:t>
      </w:r>
      <w:bookmarkEnd w:id="11"/>
    </w:p>
    <w:p w14:paraId="1EA4B384" w14:textId="48022704" w:rsidR="001D3F4C" w:rsidRDefault="00D9392A" w:rsidP="0057475C">
      <w:pPr>
        <w:jc w:val="both"/>
      </w:pPr>
      <w:r>
        <w:t>V současnosti nastavené pravidla a povinnosti</w:t>
      </w:r>
      <w:r w:rsidR="007775FA">
        <w:t xml:space="preserve"> (</w:t>
      </w:r>
      <w:r w:rsidR="000449C9">
        <w:t>úhrada faktury, zaměření objektu, zápis do katastru nemovitostí)</w:t>
      </w:r>
      <w:r>
        <w:t xml:space="preserve"> v zásadě reflektují běžnou praxi</w:t>
      </w:r>
      <w:r w:rsidR="000449C9">
        <w:t xml:space="preserve"> a ne</w:t>
      </w:r>
      <w:r w:rsidR="00A91968">
        <w:t>ní potřeba je výrazně upravovat.</w:t>
      </w:r>
      <w:r w:rsidR="001D3F4C" w:rsidRPr="001D3F4C">
        <w:t xml:space="preserve"> </w:t>
      </w:r>
    </w:p>
    <w:p w14:paraId="24EC8963" w14:textId="074AFB3A" w:rsidR="007B1879" w:rsidRDefault="001D3F4C" w:rsidP="0057475C">
      <w:pPr>
        <w:jc w:val="both"/>
        <w:rPr>
          <w:color w:val="auto"/>
        </w:rPr>
      </w:pPr>
      <w:r>
        <w:t>V případě pře</w:t>
      </w:r>
      <w:r w:rsidR="00D357AA">
        <w:t>kládek</w:t>
      </w:r>
      <w:r>
        <w:t xml:space="preserve"> doporučujeme postupovat dle běžné praxe a povinnost úhrady pře</w:t>
      </w:r>
      <w:r w:rsidR="00C57BF6">
        <w:t>kládky</w:t>
      </w:r>
      <w:r>
        <w:t xml:space="preserve"> by se měla vztahovat na subjekt, který pře</w:t>
      </w:r>
      <w:r w:rsidR="00C57BF6">
        <w:t>kládku</w:t>
      </w:r>
      <w:r>
        <w:t xml:space="preserve"> vyvolal. Ceník by měl zároveň umožnit snížení ceny služebnosti v případech, kdy se žadatel rozhodne přebrat na sebe povinnost úhrady pře</w:t>
      </w:r>
      <w:r w:rsidR="00C57BF6">
        <w:t>kládky</w:t>
      </w:r>
      <w:r>
        <w:t xml:space="preserve"> po dobu životnosti infrastruktury (doby trvání služebnosti). </w:t>
      </w:r>
      <w:r w:rsidR="006D2739">
        <w:t xml:space="preserve">Za </w:t>
      </w:r>
      <w:r w:rsidR="008D1554">
        <w:t>alikvotní</w:t>
      </w:r>
      <w:r w:rsidR="006D2739">
        <w:t xml:space="preserve"> snížení nákladů služebnosti v návaznosti na převzetí závazku považujeme </w:t>
      </w:r>
      <w:r w:rsidR="00EA190D">
        <w:t>40</w:t>
      </w:r>
      <w:r w:rsidR="007B1879">
        <w:t>-</w:t>
      </w:r>
      <w:r w:rsidR="00EA190D">
        <w:t>60</w:t>
      </w:r>
      <w:r w:rsidR="006D2739">
        <w:t xml:space="preserve"> % z</w:t>
      </w:r>
      <w:r w:rsidR="008D1554">
        <w:t> ceníkové/či metodikou vypočtené ceny služebnosti</w:t>
      </w:r>
      <w:r w:rsidR="000C387C">
        <w:t xml:space="preserve"> </w:t>
      </w:r>
      <w:r w:rsidR="000C387C" w:rsidRPr="00AE6A70">
        <w:t>(</w:t>
      </w:r>
      <w:r w:rsidRPr="00AE6A70">
        <w:rPr>
          <w:color w:val="auto"/>
        </w:rPr>
        <w:t>Viz stanovení minimální ceny v kapitole 4.</w:t>
      </w:r>
      <w:r w:rsidR="00780098" w:rsidRPr="00AE6A70">
        <w:rPr>
          <w:color w:val="auto"/>
        </w:rPr>
        <w:t>4</w:t>
      </w:r>
      <w:r w:rsidR="000C387C" w:rsidRPr="00AE6A70">
        <w:rPr>
          <w:color w:val="auto"/>
        </w:rPr>
        <w:t>)</w:t>
      </w:r>
      <w:r w:rsidR="000C387C">
        <w:rPr>
          <w:color w:val="auto"/>
        </w:rPr>
        <w:t xml:space="preserve"> </w:t>
      </w:r>
    </w:p>
    <w:p w14:paraId="1EDC0F5B" w14:textId="7741A5E3" w:rsidR="00AD0876" w:rsidRDefault="000C387C" w:rsidP="0057475C">
      <w:pPr>
        <w:jc w:val="both"/>
        <w:rPr>
          <w:color w:val="auto"/>
        </w:rPr>
      </w:pPr>
      <w:r>
        <w:rPr>
          <w:color w:val="auto"/>
        </w:rPr>
        <w:t>Takový post</w:t>
      </w:r>
      <w:r w:rsidR="001715E3">
        <w:rPr>
          <w:color w:val="auto"/>
        </w:rPr>
        <w:t>up je ovšem v současnosti v rozporu se Z</w:t>
      </w:r>
      <w:r w:rsidR="00827541">
        <w:rPr>
          <w:color w:val="auto"/>
        </w:rPr>
        <w:t>ákonem o elektronických komunikacích</w:t>
      </w:r>
      <w:r w:rsidR="0000131D">
        <w:rPr>
          <w:color w:val="auto"/>
        </w:rPr>
        <w:t>, který v</w:t>
      </w:r>
      <w:r w:rsidR="00A575DC">
        <w:rPr>
          <w:color w:val="auto"/>
        </w:rPr>
        <w:t xml:space="preserve"> rámci</w:t>
      </w:r>
      <w:r w:rsidR="0000131D">
        <w:rPr>
          <w:color w:val="auto"/>
        </w:rPr>
        <w:t xml:space="preserve"> </w:t>
      </w:r>
      <w:r w:rsidR="009A63D9" w:rsidRPr="009A63D9">
        <w:rPr>
          <w:color w:val="auto"/>
        </w:rPr>
        <w:t>§ 104</w:t>
      </w:r>
      <w:r w:rsidR="00A575DC">
        <w:rPr>
          <w:color w:val="auto"/>
        </w:rPr>
        <w:t xml:space="preserve"> bod 17 stanovuje,</w:t>
      </w:r>
      <w:r w:rsidR="00E66EA4">
        <w:rPr>
          <w:color w:val="auto"/>
        </w:rPr>
        <w:t xml:space="preserve"> že „</w:t>
      </w:r>
      <w:r w:rsidR="00E66EA4" w:rsidRPr="007B1879">
        <w:rPr>
          <w:i/>
          <w:iCs/>
          <w:color w:val="auto"/>
        </w:rPr>
        <w:t>stavebník, který vyvolal překládku nadzemního nebo podzemního vedení veřejné komunikační sítě elektronických komunikací, nese náklady nezbytné úpravy dotčeného úseku vedení sítě elektronických komunikací, a to na úrovni stávajícího technického řešení</w:t>
      </w:r>
      <w:r w:rsidR="000E2FB0">
        <w:rPr>
          <w:color w:val="auto"/>
        </w:rPr>
        <w:t>“</w:t>
      </w:r>
      <w:r w:rsidR="008C49F4">
        <w:rPr>
          <w:color w:val="auto"/>
        </w:rPr>
        <w:t>. V případě, že by například technick</w:t>
      </w:r>
      <w:r w:rsidR="00867D3C">
        <w:rPr>
          <w:color w:val="auto"/>
        </w:rPr>
        <w:t>á</w:t>
      </w:r>
      <w:r w:rsidR="008C49F4">
        <w:rPr>
          <w:color w:val="auto"/>
        </w:rPr>
        <w:t xml:space="preserve"> novel</w:t>
      </w:r>
      <w:r w:rsidR="00867D3C">
        <w:rPr>
          <w:color w:val="auto"/>
        </w:rPr>
        <w:t>a</w:t>
      </w:r>
      <w:r w:rsidR="001975F2">
        <w:rPr>
          <w:color w:val="auto"/>
        </w:rPr>
        <w:t xml:space="preserve"> Zákona o elektronických komunikacích umožnila</w:t>
      </w:r>
      <w:r w:rsidR="00867D3C">
        <w:rPr>
          <w:color w:val="auto"/>
        </w:rPr>
        <w:t xml:space="preserve"> povinnost pře</w:t>
      </w:r>
      <w:r w:rsidR="00C57BF6">
        <w:rPr>
          <w:color w:val="auto"/>
        </w:rPr>
        <w:t>kládky</w:t>
      </w:r>
      <w:r w:rsidR="00EC44DD">
        <w:rPr>
          <w:color w:val="auto"/>
        </w:rPr>
        <w:t xml:space="preserve"> </w:t>
      </w:r>
      <w:r w:rsidR="002416E0">
        <w:rPr>
          <w:color w:val="auto"/>
        </w:rPr>
        <w:t>(</w:t>
      </w:r>
      <w:r w:rsidR="00EC44DD">
        <w:rPr>
          <w:color w:val="auto"/>
        </w:rPr>
        <w:t>dle daného paragrafu</w:t>
      </w:r>
      <w:r w:rsidR="002416E0">
        <w:rPr>
          <w:color w:val="auto"/>
        </w:rPr>
        <w:t>)</w:t>
      </w:r>
      <w:r w:rsidR="00867D3C">
        <w:rPr>
          <w:color w:val="auto"/>
        </w:rPr>
        <w:t xml:space="preserve"> přenést</w:t>
      </w:r>
      <w:r w:rsidR="001C162F">
        <w:rPr>
          <w:color w:val="auto"/>
        </w:rPr>
        <w:t xml:space="preserve"> na</w:t>
      </w:r>
      <w:r w:rsidR="00D80070">
        <w:rPr>
          <w:color w:val="auto"/>
        </w:rPr>
        <w:t xml:space="preserve"> </w:t>
      </w:r>
      <w:r w:rsidR="000761FB">
        <w:rPr>
          <w:color w:val="auto"/>
        </w:rPr>
        <w:t>Ž</w:t>
      </w:r>
      <w:r w:rsidR="00D80070">
        <w:rPr>
          <w:color w:val="auto"/>
        </w:rPr>
        <w:t>adatele, doporučujeme</w:t>
      </w:r>
      <w:r w:rsidR="00AD2994">
        <w:rPr>
          <w:color w:val="auto"/>
        </w:rPr>
        <w:t xml:space="preserve"> uplatnit postup v rozsahu popsaném výše.</w:t>
      </w:r>
    </w:p>
    <w:p w14:paraId="4A23A595" w14:textId="6B47FA2C" w:rsidR="00D3023B" w:rsidRPr="00D3023B" w:rsidDel="001A7AB4" w:rsidRDefault="00A202D8" w:rsidP="0057475C">
      <w:pPr>
        <w:jc w:val="both"/>
      </w:pPr>
      <w:r>
        <w:t xml:space="preserve">V případě smlouvy budoucí o zřízení služebnosti je v některých případech požadováno </w:t>
      </w:r>
      <w:r w:rsidR="004E4B9A">
        <w:t xml:space="preserve">uhrazení zálohy ve výši </w:t>
      </w:r>
      <w:r w:rsidR="001B2FCE">
        <w:t xml:space="preserve">ceny </w:t>
      </w:r>
      <w:r w:rsidR="004E4B9A">
        <w:t>služebnosti</w:t>
      </w:r>
      <w:r w:rsidR="00A656DF">
        <w:t>, přičemž</w:t>
      </w:r>
      <w:r w:rsidR="00AE7122">
        <w:t xml:space="preserve"> </w:t>
      </w:r>
      <w:r w:rsidR="00A656DF">
        <w:t>z</w:t>
      </w:r>
      <w:r w:rsidR="00AE7122">
        <w:t xml:space="preserve">áloha je poté zúčtována při uzavření </w:t>
      </w:r>
      <w:r w:rsidR="000734D7">
        <w:t xml:space="preserve">konkrétní </w:t>
      </w:r>
      <w:r w:rsidR="00AE7122">
        <w:t xml:space="preserve">smlouvy o zřízení </w:t>
      </w:r>
      <w:r w:rsidR="000734D7">
        <w:t>služebnosti.</w:t>
      </w:r>
      <w:r w:rsidR="00481B96">
        <w:t xml:space="preserve"> </w:t>
      </w:r>
      <w:r w:rsidR="00481B96" w:rsidRPr="007B1879">
        <w:t>Standardně</w:t>
      </w:r>
      <w:r w:rsidR="00481B96">
        <w:t xml:space="preserve"> je ovšem náhrada za zřízení služebnosti svázána až </w:t>
      </w:r>
      <w:r w:rsidR="00481B96" w:rsidRPr="007B1879">
        <w:t>s podáním návrhu na vklad do katastru nemovitostí</w:t>
      </w:r>
      <w:r w:rsidR="00481B96">
        <w:t>.</w:t>
      </w:r>
      <w:r w:rsidR="00D25FBD">
        <w:t xml:space="preserve"> </w:t>
      </w:r>
      <w:r w:rsidR="004C5FFA">
        <w:t>Postup</w:t>
      </w:r>
      <w:r w:rsidR="00D25FBD">
        <w:t xml:space="preserve"> Středočeského kraje</w:t>
      </w:r>
      <w:r w:rsidR="004C5FFA">
        <w:t xml:space="preserve"> je tak do jisté míry nestandardní</w:t>
      </w:r>
      <w:r w:rsidR="006C303E">
        <w:t xml:space="preserve"> a může být vnímán jako překážka pro rozvoj elektronických komunikací na území kraje</w:t>
      </w:r>
      <w:r w:rsidR="0059036E">
        <w:t>.</w:t>
      </w:r>
      <w:r w:rsidR="00CE2252">
        <w:t xml:space="preserve"> </w:t>
      </w:r>
      <w:r w:rsidR="00072622">
        <w:t>Platba</w:t>
      </w:r>
      <w:r w:rsidR="001C34A4">
        <w:t xml:space="preserve"> (části)</w:t>
      </w:r>
      <w:r w:rsidR="00072622">
        <w:t xml:space="preserve"> služebnosti předem není apriori nevhodný postup, doporučujeme ovšem</w:t>
      </w:r>
      <w:r w:rsidR="00CC2689">
        <w:t xml:space="preserve"> </w:t>
      </w:r>
      <w:r w:rsidR="0059036E">
        <w:t>opustit princip platby</w:t>
      </w:r>
      <w:r w:rsidR="00CF5D2F">
        <w:t xml:space="preserve"> služebnosti předem v plné výši a zavést zálohovou platbu</w:t>
      </w:r>
      <w:r w:rsidR="00CB72C6">
        <w:t xml:space="preserve"> ve výši </w:t>
      </w:r>
      <w:r w:rsidR="007B1879">
        <w:t>40</w:t>
      </w:r>
      <w:r w:rsidR="00CB72C6">
        <w:t xml:space="preserve"> až </w:t>
      </w:r>
      <w:r w:rsidR="007B1879">
        <w:t>60</w:t>
      </w:r>
      <w:r w:rsidR="00CB72C6">
        <w:t xml:space="preserve"> % z celkové ceny služebnosti</w:t>
      </w:r>
      <w:r w:rsidR="00655C14">
        <w:t xml:space="preserve">, čímž </w:t>
      </w:r>
      <w:r w:rsidR="00B9699A">
        <w:t>se sníží objem finančních prostředk</w:t>
      </w:r>
      <w:r w:rsidR="001A30FD">
        <w:t>ů</w:t>
      </w:r>
      <w:r w:rsidR="00B9699A">
        <w:t>,</w:t>
      </w:r>
      <w:r w:rsidR="006A0A64">
        <w:t xml:space="preserve"> které mají subjekty navázány na úplatu služebnosti</w:t>
      </w:r>
      <w:r w:rsidR="00655C14">
        <w:t>.</w:t>
      </w:r>
      <w:r w:rsidR="00007096">
        <w:t xml:space="preserve"> To ve výsledku povede k zatraktivnění celého procesu a akceleraci rozvoje sítí elektronických komunikací.</w:t>
      </w:r>
      <w:r w:rsidR="007B1879" w:rsidDel="001A7AB4">
        <w:t xml:space="preserve"> </w:t>
      </w:r>
    </w:p>
    <w:p w14:paraId="02C3CC7B" w14:textId="267019EF" w:rsidR="0080511C" w:rsidRPr="0080511C" w:rsidRDefault="0080511C" w:rsidP="0080511C">
      <w:pPr>
        <w:pStyle w:val="Heading3"/>
      </w:pPr>
      <w:bookmarkStart w:id="12" w:name="_Toc106622214"/>
      <w:r>
        <w:t>Návrh doporučení</w:t>
      </w:r>
      <w:bookmarkEnd w:id="12"/>
    </w:p>
    <w:p w14:paraId="4C80CEA0" w14:textId="4FB5C3B3" w:rsidR="0080511C" w:rsidRPr="00335975" w:rsidRDefault="0080511C" w:rsidP="0057475C">
      <w:pPr>
        <w:pStyle w:val="BodyText"/>
        <w:jc w:val="both"/>
      </w:pPr>
      <w:r w:rsidRPr="00335975">
        <w:t xml:space="preserve">Metodika/ceník by měla být upravena tak, aby </w:t>
      </w:r>
      <w:r w:rsidR="001A4929" w:rsidRPr="00335975">
        <w:t>náklad spojený s pře</w:t>
      </w:r>
      <w:r w:rsidR="00C57BF6">
        <w:t>kládkou</w:t>
      </w:r>
      <w:r w:rsidR="001A4929" w:rsidRPr="00335975">
        <w:t xml:space="preserve"> byl hrazen tím, kým je př</w:t>
      </w:r>
      <w:r w:rsidR="00692CE1">
        <w:t>ekládka</w:t>
      </w:r>
      <w:r w:rsidR="001A4929" w:rsidRPr="00335975">
        <w:t xml:space="preserve"> vyvolána. Současně</w:t>
      </w:r>
      <w:r w:rsidR="00DC29E7" w:rsidRPr="00335975">
        <w:t xml:space="preserve"> je </w:t>
      </w:r>
      <w:r w:rsidR="00CC01A3" w:rsidRPr="00335975">
        <w:t xml:space="preserve">doporučeno umožnit pro sítě (infrastrukturu) elektronických komunikací </w:t>
      </w:r>
      <w:r w:rsidR="00AF62AF">
        <w:t>(pokud to technická novela Zákona o elektronických komunikacích umožní)</w:t>
      </w:r>
      <w:r w:rsidR="00CC01A3" w:rsidRPr="00335975">
        <w:t xml:space="preserve"> </w:t>
      </w:r>
      <w:r w:rsidR="006E57AA" w:rsidRPr="00335975">
        <w:t>převzetí povinnosti úhrady nákladů pře</w:t>
      </w:r>
      <w:r w:rsidR="00692CE1">
        <w:t>kládky</w:t>
      </w:r>
      <w:r w:rsidR="00193EA3">
        <w:t>,</w:t>
      </w:r>
      <w:r w:rsidR="00774718" w:rsidRPr="00335975">
        <w:t xml:space="preserve"> </w:t>
      </w:r>
      <w:r w:rsidR="00335975" w:rsidRPr="00335975">
        <w:t xml:space="preserve">výměnou za </w:t>
      </w:r>
      <w:r w:rsidR="007B1879">
        <w:t>40-60</w:t>
      </w:r>
      <w:r w:rsidR="00DF7FE2">
        <w:t xml:space="preserve"> </w:t>
      </w:r>
      <w:r w:rsidR="00335975" w:rsidRPr="00AE6A70">
        <w:t>%</w:t>
      </w:r>
      <w:r w:rsidR="00335975" w:rsidRPr="00335975">
        <w:t xml:space="preserve"> snížení ceny služebnosti, tak jak je vypočtena podle metodiky/ceníku (včetně výše zmíněných doporučení).</w:t>
      </w:r>
    </w:p>
    <w:p w14:paraId="1F88CF90" w14:textId="56D6924D" w:rsidR="00D8204F" w:rsidRDefault="00D8204F" w:rsidP="0057475C">
      <w:pPr>
        <w:pStyle w:val="BodyText"/>
        <w:jc w:val="both"/>
      </w:pPr>
      <w:r>
        <w:t>Metodika/ceník by měla reflektovat</w:t>
      </w:r>
      <w:r w:rsidR="0043467B">
        <w:t xml:space="preserve"> </w:t>
      </w:r>
      <w:r w:rsidR="008811FE">
        <w:t>situaci žadatelů</w:t>
      </w:r>
      <w:r w:rsidR="00857CBD">
        <w:t xml:space="preserve"> při zřizování služebnosti</w:t>
      </w:r>
      <w:r w:rsidR="008811FE">
        <w:t xml:space="preserve"> a z tohoto důvodu dopo</w:t>
      </w:r>
      <w:r w:rsidR="00C4740F">
        <w:t>ručujeme snížení platby předem</w:t>
      </w:r>
      <w:r w:rsidR="0012294A">
        <w:t xml:space="preserve"> / zálohy na </w:t>
      </w:r>
      <w:r w:rsidR="00764B92">
        <w:t>40</w:t>
      </w:r>
      <w:r w:rsidR="0012294A">
        <w:t xml:space="preserve"> až </w:t>
      </w:r>
      <w:r w:rsidR="00764B92">
        <w:t>60</w:t>
      </w:r>
      <w:r w:rsidR="0012294A">
        <w:t xml:space="preserve"> % celkové ceny služebnosti</w:t>
      </w:r>
      <w:r w:rsidR="003264EF">
        <w:t>, aby subjekty ne</w:t>
      </w:r>
      <w:r w:rsidR="00D22FE9">
        <w:t>čelily</w:t>
      </w:r>
      <w:r w:rsidR="003264EF">
        <w:t xml:space="preserve"> přílišn</w:t>
      </w:r>
      <w:r w:rsidR="00D22FE9">
        <w:t>ému</w:t>
      </w:r>
      <w:r w:rsidR="003264EF">
        <w:t xml:space="preserve"> finančn</w:t>
      </w:r>
      <w:r w:rsidR="00D22FE9">
        <w:t>ímu</w:t>
      </w:r>
      <w:r w:rsidR="003264EF">
        <w:t xml:space="preserve"> zatížen</w:t>
      </w:r>
      <w:r w:rsidR="00D22FE9">
        <w:t>í</w:t>
      </w:r>
      <w:r w:rsidR="005105DC">
        <w:t xml:space="preserve"> </w:t>
      </w:r>
      <w:r w:rsidR="004136C0">
        <w:t xml:space="preserve">ve formě </w:t>
      </w:r>
      <w:r w:rsidR="00960448">
        <w:t>úhrady služebnosti</w:t>
      </w:r>
      <w:r w:rsidR="004136C0">
        <w:t xml:space="preserve"> předem v plné výši</w:t>
      </w:r>
      <w:r w:rsidR="00B40152">
        <w:t xml:space="preserve"> služebnosti.</w:t>
      </w:r>
      <w:r w:rsidR="00FC3A47">
        <w:t xml:space="preserve"> Zbylá částka by byla doúčtována podle konkrétního geometrického zaměření dané stavby.</w:t>
      </w:r>
      <w:r w:rsidR="00BF2384">
        <w:t xml:space="preserve"> V návaznosti na splacení zbývající částky by bylo umožněno využ</w:t>
      </w:r>
      <w:r w:rsidR="00B60C5A">
        <w:t>ívání dané infrastruktury.</w:t>
      </w:r>
    </w:p>
    <w:p w14:paraId="0F674BB4" w14:textId="5CA9D227" w:rsidR="00331145" w:rsidRDefault="00945575" w:rsidP="00DB0BFE">
      <w:pPr>
        <w:pStyle w:val="Heading2"/>
      </w:pPr>
      <w:bookmarkStart w:id="13" w:name="_Toc106622215"/>
      <w:r>
        <w:t>Maximální výše ceny za zřízení služebnosti</w:t>
      </w:r>
      <w:bookmarkEnd w:id="13"/>
    </w:p>
    <w:p w14:paraId="5826A492" w14:textId="77777777" w:rsidR="00FA008F" w:rsidRDefault="00FA008F" w:rsidP="00FA008F">
      <w:pPr>
        <w:pStyle w:val="Heading3"/>
      </w:pPr>
      <w:bookmarkStart w:id="14" w:name="_Toc106622216"/>
      <w:r>
        <w:t>Běžná praxe</w:t>
      </w:r>
      <w:bookmarkEnd w:id="14"/>
    </w:p>
    <w:p w14:paraId="223FF16A" w14:textId="4F7DD394" w:rsidR="00C350E4" w:rsidRDefault="0016215A" w:rsidP="0057475C">
      <w:pPr>
        <w:jc w:val="both"/>
      </w:pPr>
      <w:r>
        <w:t xml:space="preserve">Metodiky standardně </w:t>
      </w:r>
      <w:r w:rsidRPr="00B558EF">
        <w:t>obsahují</w:t>
      </w:r>
      <w:r w:rsidR="001A25D6" w:rsidRPr="00B558EF">
        <w:t xml:space="preserve"> cenu minimální, která </w:t>
      </w:r>
      <w:r w:rsidRPr="00B558EF">
        <w:t xml:space="preserve">zajistí </w:t>
      </w:r>
      <w:r w:rsidR="001A25D6" w:rsidRPr="00B558EF">
        <w:t>pokr</w:t>
      </w:r>
      <w:r w:rsidRPr="00B558EF">
        <w:t>ytí</w:t>
      </w:r>
      <w:r w:rsidR="001A25D6" w:rsidRPr="00B558EF">
        <w:t xml:space="preserve"> administrativní</w:t>
      </w:r>
      <w:r w:rsidRPr="00B558EF">
        <w:t>ch</w:t>
      </w:r>
      <w:r w:rsidR="001A25D6" w:rsidRPr="00B558EF">
        <w:t xml:space="preserve"> a jin</w:t>
      </w:r>
      <w:r w:rsidRPr="00B558EF">
        <w:t>ých</w:t>
      </w:r>
      <w:r w:rsidR="001A25D6" w:rsidRPr="00B558EF">
        <w:t xml:space="preserve"> náklad</w:t>
      </w:r>
      <w:r w:rsidRPr="00B558EF">
        <w:t>ů</w:t>
      </w:r>
      <w:r w:rsidR="001A25D6" w:rsidRPr="00B558EF">
        <w:t xml:space="preserve"> spojen</w:t>
      </w:r>
      <w:r w:rsidRPr="00B558EF">
        <w:t>ých</w:t>
      </w:r>
      <w:r w:rsidR="001A25D6" w:rsidRPr="00B558EF">
        <w:t xml:space="preserve"> </w:t>
      </w:r>
      <w:r w:rsidR="00A4648E" w:rsidRPr="00B558EF">
        <w:t>se zřízením služebnosti.</w:t>
      </w:r>
      <w:r w:rsidR="00A94FF1" w:rsidRPr="00B558EF">
        <w:t xml:space="preserve"> </w:t>
      </w:r>
      <w:r w:rsidR="006D2887" w:rsidRPr="00B558EF">
        <w:t>Aplikace případné slevy ze služebnosti by měla vždy</w:t>
      </w:r>
      <w:r w:rsidR="00942898" w:rsidRPr="00B558EF">
        <w:t xml:space="preserve"> brát v potaz </w:t>
      </w:r>
      <w:r w:rsidR="008D23CE" w:rsidRPr="00B558EF">
        <w:t xml:space="preserve">minimální cenu, aby bylo zajištěno pokrytí </w:t>
      </w:r>
      <w:r w:rsidR="00290C5C" w:rsidRPr="00B558EF">
        <w:t xml:space="preserve">přidružených </w:t>
      </w:r>
      <w:r w:rsidR="00730FD2" w:rsidRPr="00B558EF">
        <w:t xml:space="preserve">minimálních </w:t>
      </w:r>
      <w:r w:rsidR="00290C5C" w:rsidRPr="00B558EF">
        <w:t>nákladů.</w:t>
      </w:r>
      <w:r w:rsidR="00117A7E" w:rsidRPr="00B558EF">
        <w:t xml:space="preserve"> Tedy u minimální ceny</w:t>
      </w:r>
      <w:r w:rsidR="00C350E4" w:rsidRPr="00B558EF">
        <w:t xml:space="preserve"> je podstatn</w:t>
      </w:r>
      <w:r w:rsidR="00117A7E" w:rsidRPr="00B558EF">
        <w:t xml:space="preserve">é, aby </w:t>
      </w:r>
      <w:r w:rsidR="00C350E4" w:rsidRPr="00B558EF">
        <w:t>jakákoliv sleva by</w:t>
      </w:r>
      <w:r w:rsidR="00117A7E" w:rsidRPr="00B558EF">
        <w:t xml:space="preserve">la </w:t>
      </w:r>
      <w:r w:rsidR="00C350E4" w:rsidRPr="00B558EF">
        <w:t xml:space="preserve">aplikována před </w:t>
      </w:r>
      <w:r w:rsidR="00515C4F" w:rsidRPr="00B558EF">
        <w:t>použití</w:t>
      </w:r>
      <w:r w:rsidR="00AA05B8" w:rsidRPr="00B558EF">
        <w:t>m</w:t>
      </w:r>
      <w:r w:rsidR="00C350E4" w:rsidRPr="00B558EF">
        <w:t xml:space="preserve"> pravidla minimální</w:t>
      </w:r>
      <w:r w:rsidR="00AA05B8" w:rsidRPr="00B558EF">
        <w:t xml:space="preserve"> ceny</w:t>
      </w:r>
      <w:r w:rsidR="00C10257" w:rsidRPr="00B558EF">
        <w:t>.</w:t>
      </w:r>
    </w:p>
    <w:p w14:paraId="44471607" w14:textId="77777777" w:rsidR="00491129" w:rsidRDefault="00A1113C" w:rsidP="0057475C">
      <w:pPr>
        <w:jc w:val="both"/>
      </w:pPr>
      <w:r>
        <w:t>Maximální výše jednorázové náhrady je</w:t>
      </w:r>
      <w:r w:rsidR="00D92699">
        <w:t xml:space="preserve"> standardně </w:t>
      </w:r>
      <w:r w:rsidR="00142A38">
        <w:t>určena oceňovací vyhláškou</w:t>
      </w:r>
      <w:r w:rsidR="001F0B32">
        <w:t>. Pokud</w:t>
      </w:r>
      <w:r w:rsidR="00014616">
        <w:t xml:space="preserve"> nastane situace, kdy</w:t>
      </w:r>
      <w:r w:rsidR="001F0B32">
        <w:t xml:space="preserve"> žadatel jakožto budoucí oprávněný se stanovenou výší</w:t>
      </w:r>
      <w:r w:rsidR="00C318D0">
        <w:t xml:space="preserve"> náhrady za zřízení služebnosti</w:t>
      </w:r>
      <w:r w:rsidR="001F0B32">
        <w:t xml:space="preserve"> nesouhlasí</w:t>
      </w:r>
      <w:r w:rsidR="00027632">
        <w:t xml:space="preserve"> a </w:t>
      </w:r>
      <w:r w:rsidR="008E4D62">
        <w:t xml:space="preserve">mezi stranami </w:t>
      </w:r>
      <w:r w:rsidR="00027632">
        <w:t>nedojde</w:t>
      </w:r>
      <w:r w:rsidR="008E4D62">
        <w:t xml:space="preserve"> </w:t>
      </w:r>
      <w:r w:rsidR="003C6A2E">
        <w:t xml:space="preserve">k dohodě, </w:t>
      </w:r>
      <w:r w:rsidR="00DE6725">
        <w:t>doporučujeme</w:t>
      </w:r>
      <w:r w:rsidR="00C05B26">
        <w:t xml:space="preserve"> v</w:t>
      </w:r>
      <w:r w:rsidR="00491129">
        <w:t xml:space="preserve"> zavedení možnosti stanovení ceny posudkem. </w:t>
      </w:r>
    </w:p>
    <w:p w14:paraId="71677DFA" w14:textId="6C96470B" w:rsidR="00E10AB8" w:rsidRDefault="00D50E16" w:rsidP="0057475C">
      <w:pPr>
        <w:jc w:val="both"/>
      </w:pPr>
      <w:r>
        <w:t xml:space="preserve">Vypracovaný nestranný a objektivní posudek bude sloužit jako možnost </w:t>
      </w:r>
      <w:r w:rsidR="00C05B26">
        <w:t>stanovení</w:t>
      </w:r>
      <w:r w:rsidR="00FB7C21">
        <w:t xml:space="preserve"> </w:t>
      </w:r>
      <w:r w:rsidR="009020EF">
        <w:t>výše náhrady</w:t>
      </w:r>
      <w:r>
        <w:t xml:space="preserve">. Žadatel je v tomto případě povinen si posudek na své </w:t>
      </w:r>
      <w:r w:rsidR="005D2CC3">
        <w:t xml:space="preserve">vlastní náklady zpracovat. V takovém případě by posudek určoval cenu rozhodnou a maximální pro </w:t>
      </w:r>
      <w:r w:rsidR="00AA04CF">
        <w:t>tento úč</w:t>
      </w:r>
      <w:r w:rsidR="00E10AB8">
        <w:t>el. Stále bude povinné naplnit minimální cenu dle metodiky/ceníku ve smyslu pokrytí administrativních předpokladů.</w:t>
      </w:r>
    </w:p>
    <w:p w14:paraId="254DE5BC" w14:textId="77777777" w:rsidR="00780098" w:rsidRDefault="00780098" w:rsidP="00780098">
      <w:pPr>
        <w:pStyle w:val="Heading3"/>
      </w:pPr>
      <w:bookmarkStart w:id="15" w:name="_Toc106622217"/>
      <w:r>
        <w:t>Návrh doporučení</w:t>
      </w:r>
      <w:bookmarkEnd w:id="15"/>
    </w:p>
    <w:p w14:paraId="45ABF9FF" w14:textId="34A8A251" w:rsidR="00780098" w:rsidRDefault="00FA008F" w:rsidP="0057475C">
      <w:pPr>
        <w:jc w:val="both"/>
      </w:pPr>
      <w:r>
        <w:t xml:space="preserve">Navrhovanou změnou je zavedení možnosti určení ceny </w:t>
      </w:r>
      <w:r w:rsidR="009B62DF">
        <w:t>služebnosti znaleckým posudkem, jehož náklad na vypracování na sebe bere žadatel</w:t>
      </w:r>
      <w:r w:rsidR="00183C31">
        <w:t xml:space="preserve">. Tato cena by byla cenou rozhodnou. Současně je však vždy na závěr aplikován požadavek minimální ceny </w:t>
      </w:r>
      <w:r w:rsidR="00BD170B">
        <w:t xml:space="preserve">pro pokrytí administrativních </w:t>
      </w:r>
      <w:r w:rsidR="00D034DD">
        <w:t>nákladů</w:t>
      </w:r>
      <w:r w:rsidR="00BD170B">
        <w:t>.</w:t>
      </w:r>
    </w:p>
    <w:p w14:paraId="0C86E329" w14:textId="6B3F796F" w:rsidR="007A7C68" w:rsidRDefault="00FD775D" w:rsidP="007A7C68">
      <w:pPr>
        <w:pStyle w:val="Heading2"/>
      </w:pPr>
      <w:bookmarkStart w:id="16" w:name="_Toc106622218"/>
      <w:r>
        <w:t>Dvojí zpoplatnění</w:t>
      </w:r>
      <w:bookmarkEnd w:id="16"/>
    </w:p>
    <w:p w14:paraId="6CE8F482" w14:textId="5113BD15" w:rsidR="00FD775D" w:rsidRDefault="00FD775D" w:rsidP="0008457A">
      <w:pPr>
        <w:pStyle w:val="Heading3"/>
      </w:pPr>
      <w:bookmarkStart w:id="17" w:name="_Toc106622219"/>
      <w:r>
        <w:t>Běžná praxe</w:t>
      </w:r>
      <w:bookmarkEnd w:id="17"/>
    </w:p>
    <w:p w14:paraId="35E6B3F7" w14:textId="6FE2A7AB" w:rsidR="00FD775D" w:rsidRPr="00FD775D" w:rsidRDefault="00FD775D" w:rsidP="0057475C">
      <w:pPr>
        <w:jc w:val="both"/>
      </w:pPr>
      <w:r>
        <w:t>V mnoha případech může docháze</w:t>
      </w:r>
      <w:r w:rsidR="00FB3175">
        <w:t xml:space="preserve">t k situaci, </w:t>
      </w:r>
      <w:r w:rsidR="00F16493">
        <w:t>kdy samotná komunikace</w:t>
      </w:r>
      <w:r w:rsidR="00CC0FDC">
        <w:t xml:space="preserve"> (cesta jakožto stavba)</w:t>
      </w:r>
      <w:r w:rsidR="0040792A">
        <w:t xml:space="preserve"> spadá</w:t>
      </w:r>
      <w:r w:rsidR="00F16493">
        <w:t xml:space="preserve"> </w:t>
      </w:r>
      <w:r w:rsidR="0040792A">
        <w:t>do</w:t>
      </w:r>
      <w:r w:rsidR="00F16493">
        <w:t xml:space="preserve"> vlastnictví </w:t>
      </w:r>
      <w:r w:rsidR="00551FB1">
        <w:t>k</w:t>
      </w:r>
      <w:r w:rsidR="00F16493">
        <w:t>raje,</w:t>
      </w:r>
      <w:r w:rsidR="0040792A">
        <w:t xml:space="preserve"> ale</w:t>
      </w:r>
      <w:r w:rsidR="00F16493">
        <w:t xml:space="preserve"> pozemek pod komunikací je</w:t>
      </w:r>
      <w:r w:rsidR="005928EC">
        <w:t xml:space="preserve"> ve</w:t>
      </w:r>
      <w:r w:rsidR="00F16493">
        <w:t xml:space="preserve"> vlastnictví obce</w:t>
      </w:r>
      <w:r w:rsidR="00117D6E">
        <w:t xml:space="preserve"> či soukromého subjektu</w:t>
      </w:r>
      <w:r w:rsidR="00F16493">
        <w:t>.</w:t>
      </w:r>
      <w:r w:rsidR="0047383C">
        <w:t xml:space="preserve"> V případě Středočeského kraje</w:t>
      </w:r>
      <w:r w:rsidR="00310816">
        <w:t>, na rozdíl od běžné praxe,</w:t>
      </w:r>
      <w:r w:rsidR="0047383C">
        <w:t xml:space="preserve"> je</w:t>
      </w:r>
      <w:r w:rsidR="00C62231">
        <w:t xml:space="preserve"> </w:t>
      </w:r>
      <w:r w:rsidR="005A4629">
        <w:t>ovšem</w:t>
      </w:r>
      <w:r w:rsidR="00432A9B">
        <w:t xml:space="preserve"> </w:t>
      </w:r>
      <w:r w:rsidR="0047383C">
        <w:t>ž</w:t>
      </w:r>
      <w:r w:rsidR="00432A9B">
        <w:t>adatel nucen</w:t>
      </w:r>
      <w:r w:rsidR="00D41E36">
        <w:t xml:space="preserve"> platit</w:t>
      </w:r>
      <w:r w:rsidR="00EA1248">
        <w:t xml:space="preserve"> jednak</w:t>
      </w:r>
      <w:r w:rsidR="00D41E36">
        <w:t xml:space="preserve"> </w:t>
      </w:r>
      <w:r w:rsidR="00622334">
        <w:t xml:space="preserve">náhradu za zřízení </w:t>
      </w:r>
      <w:r w:rsidR="00D41E36">
        <w:t>služebnost</w:t>
      </w:r>
      <w:r w:rsidR="00622334">
        <w:t>i</w:t>
      </w:r>
      <w:r w:rsidR="00D41E36">
        <w:t xml:space="preserve"> </w:t>
      </w:r>
      <w:r w:rsidR="00EA1248">
        <w:t xml:space="preserve">majiteli pozemku, tak </w:t>
      </w:r>
      <w:r w:rsidR="00B94DB0">
        <w:t>náhradu za omezení užívání silnice</w:t>
      </w:r>
      <w:r w:rsidR="00581474">
        <w:t xml:space="preserve"> kra</w:t>
      </w:r>
      <w:r w:rsidR="006C0969">
        <w:t>ji</w:t>
      </w:r>
      <w:r w:rsidR="00B94DB0">
        <w:t>, čímž</w:t>
      </w:r>
      <w:r w:rsidR="00D41E36">
        <w:t xml:space="preserve"> dochází k</w:t>
      </w:r>
      <w:r w:rsidR="003B4585">
        <w:t> nadměrné finanční zátěži.</w:t>
      </w:r>
      <w:r w:rsidR="00622334">
        <w:t xml:space="preserve"> Cena služebnosti </w:t>
      </w:r>
      <w:r w:rsidR="009463DE">
        <w:t xml:space="preserve">tvoří velkou část nákladů (v některých případech </w:t>
      </w:r>
      <w:r w:rsidR="000818F5">
        <w:t>může tvořit až 50 %</w:t>
      </w:r>
      <w:r w:rsidR="009463DE">
        <w:t xml:space="preserve"> investičních náklad</w:t>
      </w:r>
      <w:r w:rsidR="00551FB1">
        <w:t>ů) a může rozhodovat o realizaci či nerealizaci samotného projektu.</w:t>
      </w:r>
      <w:r w:rsidR="006C0969">
        <w:t xml:space="preserve"> Dvojí zpoplatnění</w:t>
      </w:r>
      <w:r w:rsidR="00FF3006">
        <w:t xml:space="preserve"> představuje </w:t>
      </w:r>
      <w:r w:rsidR="00E25060">
        <w:t>zbytečnou bariéru rozvoje sítí elektronických komunikací</w:t>
      </w:r>
      <w:r w:rsidR="00355D33">
        <w:t xml:space="preserve"> a doporučujeme</w:t>
      </w:r>
      <w:r w:rsidR="006F2E01">
        <w:t xml:space="preserve"> při stanovení výše náhrady za omezené užívání silnice</w:t>
      </w:r>
      <w:r w:rsidR="006431E6">
        <w:t xml:space="preserve"> ponížit výslednou sumu o </w:t>
      </w:r>
      <w:r w:rsidR="00BD5548">
        <w:t>náhradu za zřízení služebnosti, kterou již žadatel platí majiteli pozemku.</w:t>
      </w:r>
    </w:p>
    <w:p w14:paraId="7C26FD11" w14:textId="1ABB6B44" w:rsidR="00FA7356" w:rsidRDefault="00FA7356" w:rsidP="0008457A">
      <w:pPr>
        <w:pStyle w:val="Heading3"/>
      </w:pPr>
      <w:bookmarkStart w:id="18" w:name="_Toc106622220"/>
      <w:r>
        <w:t>Návrh doporučení</w:t>
      </w:r>
      <w:bookmarkEnd w:id="18"/>
    </w:p>
    <w:p w14:paraId="2BB07805" w14:textId="105F5BB4" w:rsidR="00FA7356" w:rsidRDefault="008C7ECA" w:rsidP="0057475C">
      <w:pPr>
        <w:jc w:val="both"/>
      </w:pPr>
      <w:r>
        <w:t>N</w:t>
      </w:r>
      <w:r w:rsidR="00C40E46">
        <w:t>a</w:t>
      </w:r>
      <w:r>
        <w:t>vrh</w:t>
      </w:r>
      <w:r w:rsidR="00C40E46">
        <w:t>ovaným</w:t>
      </w:r>
      <w:r>
        <w:t xml:space="preserve"> doporučení</w:t>
      </w:r>
      <w:r w:rsidR="00F97DD3">
        <w:t>m</w:t>
      </w:r>
      <w:r>
        <w:t xml:space="preserve"> je zde</w:t>
      </w:r>
      <w:r w:rsidR="004849A7">
        <w:t xml:space="preserve"> reflektovat</w:t>
      </w:r>
      <w:r w:rsidR="001112A9">
        <w:t xml:space="preserve"> nadměrnou</w:t>
      </w:r>
      <w:r w:rsidR="003D61C2">
        <w:t xml:space="preserve"> (dvojitou)</w:t>
      </w:r>
      <w:r w:rsidR="001112A9">
        <w:t xml:space="preserve"> finanční zátěž na straně investora</w:t>
      </w:r>
      <w:r w:rsidR="000244B3">
        <w:t xml:space="preserve"> a náhradu za omezení užívání silnice kraji snížit o cenu </w:t>
      </w:r>
      <w:r w:rsidR="00764E20">
        <w:t xml:space="preserve">služebnosti, kterou subjekt </w:t>
      </w:r>
      <w:r w:rsidR="008672DD">
        <w:t xml:space="preserve">již </w:t>
      </w:r>
      <w:r w:rsidR="003D61C2" w:rsidRPr="00B303A7">
        <w:rPr>
          <w:b/>
          <w:bCs/>
        </w:rPr>
        <w:t>prokazatelně</w:t>
      </w:r>
      <w:r w:rsidR="003D61C2">
        <w:t xml:space="preserve"> </w:t>
      </w:r>
      <w:r w:rsidR="00764E20">
        <w:t>hradí majiteli pozemku.</w:t>
      </w:r>
    </w:p>
    <w:p w14:paraId="02EE3B50" w14:textId="77777777" w:rsidR="002E51E1" w:rsidRPr="00FD775D" w:rsidRDefault="002E51E1" w:rsidP="00FD775D"/>
    <w:p w14:paraId="75A84B01" w14:textId="2FB4398C" w:rsidR="004F68E6" w:rsidRPr="001B1408" w:rsidRDefault="000F7B89" w:rsidP="003E55E4">
      <w:pPr>
        <w:pStyle w:val="Heading1"/>
        <w:framePr w:h="2373" w:hRule="exact" w:wrap="around"/>
        <w:ind w:left="709" w:hanging="709"/>
      </w:pPr>
      <w:bookmarkStart w:id="19" w:name="_Toc106622221"/>
      <w:r w:rsidRPr="001B1408">
        <w:t>Závěr</w:t>
      </w:r>
      <w:r w:rsidR="003E55E4">
        <w:t>, včetně indikace konkrétních změn</w:t>
      </w:r>
      <w:bookmarkEnd w:id="19"/>
    </w:p>
    <w:p w14:paraId="5E743A2B" w14:textId="3A328320" w:rsidR="00F14B5C" w:rsidRDefault="00ED11D9" w:rsidP="0057475C">
      <w:pPr>
        <w:jc w:val="both"/>
      </w:pPr>
      <w:r w:rsidRPr="00C2169C">
        <w:t xml:space="preserve">Cílem projektu </w:t>
      </w:r>
      <w:r w:rsidR="0097734E">
        <w:t>bylo</w:t>
      </w:r>
      <w:r w:rsidRPr="00C2169C">
        <w:t xml:space="preserve"> vytvoření metodiky, která by definovala a </w:t>
      </w:r>
      <w:r w:rsidR="00C9364B">
        <w:t>stanovovala</w:t>
      </w:r>
      <w:r w:rsidRPr="00C2169C">
        <w:t xml:space="preserve"> postup pro přístup ke služebnosti ze strany Středočeského kraje</w:t>
      </w:r>
      <w:r w:rsidR="0097734E">
        <w:t>.</w:t>
      </w:r>
      <w:r w:rsidR="00D254AB">
        <w:t xml:space="preserve"> Dokument je strukturován na úvodní analýzu stávajícího ceníku</w:t>
      </w:r>
      <w:r w:rsidR="001851FA">
        <w:t xml:space="preserve"> a </w:t>
      </w:r>
      <w:r w:rsidR="00031A33">
        <w:t>návrh doporučení pro metodiku přístupu ke služebnosti.</w:t>
      </w:r>
      <w:r w:rsidR="004B3F99">
        <w:t xml:space="preserve"> Doporučení </w:t>
      </w:r>
      <w:r w:rsidR="0006385C">
        <w:t xml:space="preserve">pokrývají 3 hlavní </w:t>
      </w:r>
      <w:r w:rsidR="00E772BE">
        <w:t xml:space="preserve">oblasti jimiž jsou výpočet ceny služebnosti, nastavení pravidel a povinnosti pro </w:t>
      </w:r>
      <w:r w:rsidR="00E772BE" w:rsidRPr="004025CD">
        <w:t>nájemce či vlastníky datových sítí</w:t>
      </w:r>
      <w:r w:rsidR="00FD4F16">
        <w:t xml:space="preserve"> a definici maximální výše ceny za zřízení služebnosti.</w:t>
      </w:r>
      <w:r w:rsidR="009C5575">
        <w:t xml:space="preserve"> Tím </w:t>
      </w:r>
      <w:r w:rsidR="001C4F11">
        <w:t xml:space="preserve">metodika naplňuje </w:t>
      </w:r>
      <w:r w:rsidR="003E704D">
        <w:t xml:space="preserve">účel a kroky plnění tak jak je stanovil </w:t>
      </w:r>
      <w:r w:rsidR="003E704D" w:rsidRPr="00C2169C">
        <w:t>Akční plán rozvoje sítí elektronických komunikací na území Středočeského kraje</w:t>
      </w:r>
      <w:r w:rsidR="003E704D">
        <w:t>.</w:t>
      </w:r>
    </w:p>
    <w:p w14:paraId="15C8B6F1" w14:textId="05B46585" w:rsidR="00875816" w:rsidRPr="00B6157B" w:rsidRDefault="00875816" w:rsidP="004F68E6">
      <w:pPr>
        <w:rPr>
          <w:b/>
          <w:bCs/>
          <w:u w:val="single"/>
        </w:rPr>
      </w:pPr>
      <w:r w:rsidRPr="00B6157B">
        <w:rPr>
          <w:b/>
          <w:bCs/>
          <w:u w:val="single"/>
        </w:rPr>
        <w:t xml:space="preserve">Aplikace doporučeného postupu podle Stanoviska MV, MPO a </w:t>
      </w:r>
      <w:r w:rsidR="00B6157B" w:rsidRPr="00B6157B">
        <w:rPr>
          <w:b/>
          <w:bCs/>
          <w:u w:val="single"/>
        </w:rPr>
        <w:t>MF</w:t>
      </w:r>
    </w:p>
    <w:p w14:paraId="4808DDB3" w14:textId="77777777" w:rsidR="00112706" w:rsidRDefault="00705A99" w:rsidP="0057475C">
      <w:pPr>
        <w:jc w:val="both"/>
      </w:pPr>
      <w:r>
        <w:t>Z pohledu stanovení ceny služebnosti je nejzásadněj</w:t>
      </w:r>
      <w:r w:rsidR="002A0B55">
        <w:t>ší změnou doporučení</w:t>
      </w:r>
      <w:r w:rsidR="00114E87">
        <w:t xml:space="preserve"> </w:t>
      </w:r>
      <w:r w:rsidR="00B46231">
        <w:t xml:space="preserve">využít při určení výše ceny služebnosti </w:t>
      </w:r>
      <w:r w:rsidR="0005691C" w:rsidRPr="0005691C">
        <w:t>zjednodušenou metodu ocenění věcného břemene dle §39b</w:t>
      </w:r>
      <w:r w:rsidR="00060017">
        <w:t xml:space="preserve"> v</w:t>
      </w:r>
      <w:r w:rsidR="00060017" w:rsidRPr="00060017">
        <w:t>yhlášk</w:t>
      </w:r>
      <w:r w:rsidR="005B634E">
        <w:t xml:space="preserve">y </w:t>
      </w:r>
      <w:r w:rsidR="005B634E" w:rsidRPr="005B634E">
        <w:t>č. 441/2013 Sb.</w:t>
      </w:r>
      <w:r w:rsidR="005B634E">
        <w:t xml:space="preserve"> </w:t>
      </w:r>
      <w:r w:rsidR="00060017" w:rsidRPr="00060017">
        <w:t xml:space="preserve"> k provedení zákona o oceňování majetku</w:t>
      </w:r>
      <w:r w:rsidR="005B634E">
        <w:t>.</w:t>
      </w:r>
      <w:r w:rsidR="0052169E">
        <w:t xml:space="preserve"> Jedná se o běžnou praxi, kterou lze nalézt v již existujících metodikách a doporučuje ji jak Souhrnné stanovisko </w:t>
      </w:r>
      <w:r w:rsidR="0052169E" w:rsidRPr="0052169E">
        <w:t>Ministerstva financí, Ministerstva vnitra a Ministerstva průmyslu a obchodu ke zřizování a oceňování věcných břemen na majetku obcí</w:t>
      </w:r>
      <w:r w:rsidR="00224D4A">
        <w:t>, tak</w:t>
      </w:r>
      <w:r w:rsidR="0052169E" w:rsidRPr="0052169E">
        <w:t xml:space="preserve"> </w:t>
      </w:r>
      <w:r w:rsidR="00224D4A">
        <w:t>S</w:t>
      </w:r>
      <w:r w:rsidR="0052169E" w:rsidRPr="0052169E">
        <w:t xml:space="preserve">tanovisko </w:t>
      </w:r>
      <w:r w:rsidR="00224D4A">
        <w:t>M</w:t>
      </w:r>
      <w:r w:rsidR="0052169E" w:rsidRPr="0052169E">
        <w:t>inisterstva financí ze dne 6.1.2022</w:t>
      </w:r>
      <w:r w:rsidR="00224D4A">
        <w:t>.</w:t>
      </w:r>
      <w:r w:rsidR="000E4717">
        <w:t xml:space="preserve"> Stávající ceník navíc</w:t>
      </w:r>
      <w:r w:rsidR="00B04CCA">
        <w:t xml:space="preserve"> tenhle postup již uplatňuje v případě energetického sektoru.</w:t>
      </w:r>
      <w:r w:rsidR="00DE726E">
        <w:t xml:space="preserve"> </w:t>
      </w:r>
    </w:p>
    <w:p w14:paraId="29685FD6" w14:textId="08310A3C" w:rsidR="006523BC" w:rsidRDefault="00E66012" w:rsidP="00112706">
      <w:pPr>
        <w:jc w:val="center"/>
        <w:rPr>
          <w:b/>
          <w:bCs/>
        </w:rPr>
      </w:pPr>
      <w:r>
        <w:rPr>
          <w:b/>
          <w:bCs/>
        </w:rPr>
        <w:t>Popis v</w:t>
      </w:r>
      <w:r w:rsidR="00DE726E" w:rsidRPr="004B5BD3">
        <w:rPr>
          <w:b/>
          <w:bCs/>
        </w:rPr>
        <w:t>ýpoč</w:t>
      </w:r>
      <w:r>
        <w:rPr>
          <w:b/>
          <w:bCs/>
        </w:rPr>
        <w:t>tu</w:t>
      </w:r>
      <w:r w:rsidR="00DE726E" w:rsidRPr="004B5BD3">
        <w:rPr>
          <w:b/>
          <w:bCs/>
        </w:rPr>
        <w:t xml:space="preserve"> dle §</w:t>
      </w:r>
      <w:r w:rsidR="00610B8D">
        <w:rPr>
          <w:b/>
          <w:bCs/>
        </w:rPr>
        <w:t xml:space="preserve"> </w:t>
      </w:r>
      <w:r w:rsidR="00DE726E" w:rsidRPr="004B5BD3">
        <w:rPr>
          <w:b/>
          <w:bCs/>
        </w:rPr>
        <w:t>39b vyhlášky včetně příslušného vzorce doporučujeme za</w:t>
      </w:r>
      <w:r w:rsidR="004B1690" w:rsidRPr="004B5BD3">
        <w:rPr>
          <w:b/>
          <w:bCs/>
        </w:rPr>
        <w:t xml:space="preserve">pracovat do části </w:t>
      </w:r>
      <w:r w:rsidR="004B1690" w:rsidRPr="00112706">
        <w:rPr>
          <w:b/>
          <w:bCs/>
          <w:i/>
          <w:iCs/>
          <w:color w:val="4F2D7F" w:themeColor="accent1"/>
        </w:rPr>
        <w:t>B.2</w:t>
      </w:r>
      <w:r w:rsidR="002F099B" w:rsidRPr="00112706">
        <w:rPr>
          <w:b/>
          <w:bCs/>
          <w:i/>
          <w:iCs/>
          <w:color w:val="4F2D7F" w:themeColor="accent1"/>
        </w:rPr>
        <w:t>. Jednorázová náhrada za omezení užívání silnice a za zřízení věcného břemene dle § 25 odst. 6 písm. d)</w:t>
      </w:r>
      <w:r w:rsidR="00075B10" w:rsidRPr="00112706">
        <w:rPr>
          <w:b/>
          <w:bCs/>
          <w:i/>
          <w:iCs/>
          <w:color w:val="4F2D7F" w:themeColor="accent1"/>
        </w:rPr>
        <w:t xml:space="preserve"> </w:t>
      </w:r>
      <w:r w:rsidR="00075B10" w:rsidRPr="004B5BD3">
        <w:rPr>
          <w:b/>
          <w:bCs/>
        </w:rPr>
        <w:t>a umístit ho před stávající tabulkový ceník</w:t>
      </w:r>
      <w:r w:rsidR="00051247">
        <w:rPr>
          <w:b/>
          <w:bCs/>
        </w:rPr>
        <w:t xml:space="preserve"> v plné formě</w:t>
      </w:r>
      <w:r w:rsidR="002A1096">
        <w:rPr>
          <w:b/>
          <w:bCs/>
        </w:rPr>
        <w:t xml:space="preserve"> jako primární metodu oceňování pro účel liniových staveb (infrastrukturních staveb)</w:t>
      </w:r>
      <w:r w:rsidR="00F16294">
        <w:rPr>
          <w:b/>
          <w:bCs/>
        </w:rPr>
        <w:t>.</w:t>
      </w:r>
      <w:r w:rsidR="008D0389">
        <w:rPr>
          <w:rStyle w:val="FootnoteReference"/>
          <w:b/>
          <w:bCs/>
        </w:rPr>
        <w:footnoteReference w:id="6"/>
      </w:r>
    </w:p>
    <w:p w14:paraId="534DF392" w14:textId="1134B216" w:rsidR="00B6157B" w:rsidRPr="00B337FC" w:rsidRDefault="005031C9" w:rsidP="0057475C">
      <w:pPr>
        <w:jc w:val="both"/>
        <w:rPr>
          <w:b/>
          <w:bCs/>
          <w:u w:val="single"/>
        </w:rPr>
      </w:pPr>
      <w:r>
        <w:rPr>
          <w:b/>
          <w:bCs/>
          <w:u w:val="single"/>
        </w:rPr>
        <w:t>Revize cen a m</w:t>
      </w:r>
      <w:r w:rsidR="00B6157B" w:rsidRPr="00B337FC">
        <w:rPr>
          <w:b/>
          <w:bCs/>
          <w:u w:val="single"/>
        </w:rPr>
        <w:t xml:space="preserve">ožnost využití </w:t>
      </w:r>
      <w:r w:rsidR="00B337FC" w:rsidRPr="00B337FC">
        <w:rPr>
          <w:b/>
          <w:bCs/>
          <w:u w:val="single"/>
        </w:rPr>
        <w:t>znaleckého posudku</w:t>
      </w:r>
    </w:p>
    <w:p w14:paraId="136BE449" w14:textId="501867AB" w:rsidR="00112706" w:rsidRDefault="003E56D7" w:rsidP="0057475C">
      <w:pPr>
        <w:jc w:val="both"/>
      </w:pPr>
      <w:r>
        <w:t>Ve srovnání s běžnou praxí</w:t>
      </w:r>
      <w:r w:rsidR="00E616D9">
        <w:t xml:space="preserve"> a jinými </w:t>
      </w:r>
      <w:r w:rsidR="00A6372B">
        <w:t>metodikami</w:t>
      </w:r>
      <w:r w:rsidR="00E616D9">
        <w:t xml:space="preserve"> je stávající </w:t>
      </w:r>
      <w:r w:rsidR="00E616D9" w:rsidRPr="00583034">
        <w:t>ceník v</w:t>
      </w:r>
      <w:r w:rsidR="00A6372B" w:rsidRPr="00583034">
        <w:t> </w:t>
      </w:r>
      <w:r w:rsidR="00E616D9" w:rsidRPr="00583034">
        <w:t>některých</w:t>
      </w:r>
      <w:r w:rsidR="00A6372B" w:rsidRPr="00583034">
        <w:t xml:space="preserve"> </w:t>
      </w:r>
      <w:r w:rsidR="00C056E4" w:rsidRPr="00583034">
        <w:t>oblastech nadsazený</w:t>
      </w:r>
      <w:r w:rsidR="00C658D2" w:rsidRPr="00583034">
        <w:t>, což může bránit</w:t>
      </w:r>
      <w:r w:rsidR="00E60F6A" w:rsidRPr="00583034">
        <w:t xml:space="preserve"> rozvoji sítí elektronických komunikací a doporučujeme zde revizi </w:t>
      </w:r>
      <w:r w:rsidR="007D1C6D" w:rsidRPr="00583034">
        <w:t>vybraných</w:t>
      </w:r>
      <w:r w:rsidR="007555DC" w:rsidRPr="00583034">
        <w:t xml:space="preserve"> saze</w:t>
      </w:r>
      <w:r w:rsidR="00EB2EDD" w:rsidRPr="00583034">
        <w:t>b, přičemž minimum lze</w:t>
      </w:r>
      <w:r w:rsidR="003F5FF3" w:rsidRPr="00583034">
        <w:t xml:space="preserve"> stanovit srovnáním relevantních položek s ostatními veřejnými ceníky.</w:t>
      </w:r>
      <w:r w:rsidR="00EF6979" w:rsidRPr="00583034">
        <w:t xml:space="preserve"> V případech, kd</w:t>
      </w:r>
      <w:r w:rsidR="00120C04" w:rsidRPr="00583034">
        <w:t>y</w:t>
      </w:r>
      <w:r w:rsidR="005A1FCF" w:rsidRPr="00583034">
        <w:t xml:space="preserve"> mezi stranami</w:t>
      </w:r>
      <w:r w:rsidR="00EF6979" w:rsidRPr="00583034">
        <w:t xml:space="preserve"> neb</w:t>
      </w:r>
      <w:r w:rsidR="00120C04" w:rsidRPr="00583034">
        <w:t>ude</w:t>
      </w:r>
      <w:r w:rsidR="00EF6979" w:rsidRPr="00583034">
        <w:t xml:space="preserve"> nalezena shoda</w:t>
      </w:r>
      <w:r w:rsidR="005A1FCF" w:rsidRPr="00583034">
        <w:t xml:space="preserve"> na výši náhrady za zřízení služebnosti,</w:t>
      </w:r>
      <w:r w:rsidR="00120C04" w:rsidRPr="00583034">
        <w:t xml:space="preserve"> doporučujeme umožnit stanov</w:t>
      </w:r>
      <w:r w:rsidR="00BB7A69" w:rsidRPr="00583034">
        <w:t>ení</w:t>
      </w:r>
      <w:r w:rsidR="001C0BBD" w:rsidRPr="00583034">
        <w:t xml:space="preserve"> </w:t>
      </w:r>
      <w:r w:rsidR="00BB7A69" w:rsidRPr="00583034">
        <w:t xml:space="preserve">výše náhrady prostřednictvím znaleckého posudku, zpracovaného na náklady Žadatele. </w:t>
      </w:r>
      <w:r w:rsidR="00351024" w:rsidRPr="00583034">
        <w:t>Cena stanovená pomocí</w:t>
      </w:r>
      <w:r w:rsidR="00351024">
        <w:t xml:space="preserve"> znaleckého posudku bude zároveň</w:t>
      </w:r>
      <w:r w:rsidR="007D1C6D">
        <w:t xml:space="preserve"> cenou maximální.</w:t>
      </w:r>
      <w:r w:rsidR="00EF4093">
        <w:t xml:space="preserve"> </w:t>
      </w:r>
    </w:p>
    <w:p w14:paraId="0403EF5B" w14:textId="41E29B58" w:rsidR="00626C5B" w:rsidRPr="00CA199C" w:rsidRDefault="00A1281D" w:rsidP="00112706">
      <w:pPr>
        <w:jc w:val="center"/>
        <w:rPr>
          <w:b/>
          <w:bCs/>
        </w:rPr>
      </w:pPr>
      <w:r>
        <w:rPr>
          <w:b/>
          <w:bCs/>
        </w:rPr>
        <w:t>Revizi cen doporučujeme provést v</w:t>
      </w:r>
      <w:r w:rsidR="00A0047A">
        <w:rPr>
          <w:b/>
          <w:bCs/>
        </w:rPr>
        <w:t> rámci stávajícího tabulkového ceníku a d</w:t>
      </w:r>
      <w:r w:rsidR="00982279" w:rsidRPr="00583034">
        <w:rPr>
          <w:b/>
          <w:bCs/>
        </w:rPr>
        <w:t>odatek zavádějící možnost využití znaleckého po</w:t>
      </w:r>
      <w:r w:rsidR="00804AD5" w:rsidRPr="00583034">
        <w:rPr>
          <w:b/>
          <w:bCs/>
        </w:rPr>
        <w:t xml:space="preserve">sudku doporučujeme umístit na závěr části </w:t>
      </w:r>
      <w:r w:rsidR="00804AD5" w:rsidRPr="0050540F">
        <w:rPr>
          <w:b/>
          <w:bCs/>
          <w:i/>
          <w:iCs/>
          <w:color w:val="4F2D7F" w:themeColor="accent1"/>
        </w:rPr>
        <w:t>B.2. Jednorázová náhrada za omezení užívání silnice a za zřízení věcného břemene dle § 25 odst. 6 písm. d).</w:t>
      </w:r>
    </w:p>
    <w:p w14:paraId="4F377C6E" w14:textId="335DA5AB" w:rsidR="00B337FC" w:rsidRPr="006662DD" w:rsidRDefault="008E1031" w:rsidP="004F68E6">
      <w:pPr>
        <w:rPr>
          <w:b/>
          <w:bCs/>
          <w:u w:val="single"/>
        </w:rPr>
      </w:pPr>
      <w:r w:rsidRPr="006662DD">
        <w:rPr>
          <w:b/>
          <w:bCs/>
          <w:u w:val="single"/>
        </w:rPr>
        <w:t xml:space="preserve">Zpřesnění ve věci </w:t>
      </w:r>
      <w:r w:rsidR="00F95C89" w:rsidRPr="006662DD">
        <w:rPr>
          <w:b/>
          <w:bCs/>
          <w:u w:val="single"/>
        </w:rPr>
        <w:t xml:space="preserve">překládky a </w:t>
      </w:r>
      <w:r w:rsidR="006662DD" w:rsidRPr="006662DD">
        <w:rPr>
          <w:b/>
          <w:bCs/>
          <w:u w:val="single"/>
        </w:rPr>
        <w:t>úprava v případě novelizace Zákona o elektronických komunikacích</w:t>
      </w:r>
    </w:p>
    <w:p w14:paraId="46468045" w14:textId="3729DDA5" w:rsidR="0050540F" w:rsidRDefault="00B37566" w:rsidP="0057475C">
      <w:pPr>
        <w:jc w:val="both"/>
      </w:pPr>
      <w:r>
        <w:t>V případě pře</w:t>
      </w:r>
      <w:r w:rsidR="00507FB5">
        <w:t>kládek</w:t>
      </w:r>
      <w:r>
        <w:t xml:space="preserve"> doporučujeme</w:t>
      </w:r>
      <w:r w:rsidR="00D20843">
        <w:t xml:space="preserve"> </w:t>
      </w:r>
      <w:r w:rsidR="005578B3">
        <w:t>dvě úpravy. První úpravou je potvrdit</w:t>
      </w:r>
      <w:r w:rsidR="008D5EA9">
        <w:t xml:space="preserve"> postup v souladu se</w:t>
      </w:r>
      <w:r w:rsidR="00D20843">
        <w:t xml:space="preserve"> </w:t>
      </w:r>
      <w:r w:rsidR="008D5EA9">
        <w:t>Zákonem o elektronických komunikacích</w:t>
      </w:r>
      <w:r w:rsidR="0070510C">
        <w:t xml:space="preserve">, který v </w:t>
      </w:r>
      <w:r w:rsidR="0070510C" w:rsidRPr="009A63D9">
        <w:rPr>
          <w:color w:val="auto"/>
        </w:rPr>
        <w:t>§ 104</w:t>
      </w:r>
      <w:r w:rsidR="0070510C">
        <w:rPr>
          <w:color w:val="auto"/>
        </w:rPr>
        <w:t xml:space="preserve"> bod 17</w:t>
      </w:r>
      <w:r w:rsidR="00283D04">
        <w:t xml:space="preserve"> stanovuje, že náklady spojené s</w:t>
      </w:r>
      <w:r w:rsidR="00FC4C59">
        <w:t> </w:t>
      </w:r>
      <w:r w:rsidR="00283D04">
        <w:t>překládkou</w:t>
      </w:r>
      <w:r w:rsidR="00FC4C59">
        <w:t xml:space="preserve"> nese stavebník, který ji vyvolal.</w:t>
      </w:r>
      <w:r w:rsidR="009A78DA">
        <w:t xml:space="preserve"> Současné znění v ceníku může být </w:t>
      </w:r>
      <w:r w:rsidR="001701C7">
        <w:t>zavádějící/matoucí</w:t>
      </w:r>
      <w:r w:rsidR="009A78DA">
        <w:t>.</w:t>
      </w:r>
      <w:r w:rsidR="001701C7">
        <w:t xml:space="preserve"> Zároveň</w:t>
      </w:r>
      <w:r w:rsidR="005578B3">
        <w:t xml:space="preserve">, druhou úpravou </w:t>
      </w:r>
      <w:r w:rsidR="00D63575">
        <w:t>je,</w:t>
      </w:r>
      <w:r w:rsidR="00552446" w:rsidDel="001701C7">
        <w:t xml:space="preserve"> </w:t>
      </w:r>
      <w:r w:rsidR="001701C7">
        <w:t>p</w:t>
      </w:r>
      <w:r w:rsidR="00552446">
        <w:t>okud</w:t>
      </w:r>
      <w:r w:rsidR="00B44E4A">
        <w:t xml:space="preserve"> </w:t>
      </w:r>
      <w:r w:rsidR="003F3467">
        <w:t xml:space="preserve">by </w:t>
      </w:r>
      <w:r w:rsidR="0008453C">
        <w:t xml:space="preserve">např. </w:t>
      </w:r>
      <w:r w:rsidR="00197C06">
        <w:t>technick</w:t>
      </w:r>
      <w:r w:rsidR="0008453C">
        <w:t>á</w:t>
      </w:r>
      <w:r w:rsidR="00197C06">
        <w:t xml:space="preserve"> nove</w:t>
      </w:r>
      <w:r w:rsidR="0008453C">
        <w:t>la</w:t>
      </w:r>
      <w:r w:rsidR="00197C06">
        <w:t xml:space="preserve"> Zákona o elektronických komunikací</w:t>
      </w:r>
      <w:r w:rsidR="0008453C">
        <w:t xml:space="preserve"> umožnila přenesení</w:t>
      </w:r>
      <w:r w:rsidR="000001AB">
        <w:t xml:space="preserve"> povinnosti</w:t>
      </w:r>
      <w:r w:rsidR="0008453C">
        <w:t xml:space="preserve"> pře</w:t>
      </w:r>
      <w:r w:rsidR="00507FB5">
        <w:t>kládky</w:t>
      </w:r>
      <w:r w:rsidR="000001AB">
        <w:t xml:space="preserve">, navrhujeme </w:t>
      </w:r>
      <w:r w:rsidR="00B44E4A">
        <w:t>do metodiky doplnit možnost snížení ceny služebnosti o 40-60 %</w:t>
      </w:r>
      <w:r w:rsidR="00E77ED0">
        <w:t xml:space="preserve"> v situaci, kdy se Žadatel rozhodne povinnost pře</w:t>
      </w:r>
      <w:r w:rsidR="00507FB5">
        <w:t>kládky</w:t>
      </w:r>
      <w:r w:rsidR="00E77ED0">
        <w:t xml:space="preserve"> přebrat na sebe</w:t>
      </w:r>
      <w:r w:rsidR="00A60485">
        <w:t>.</w:t>
      </w:r>
    </w:p>
    <w:p w14:paraId="7F2EB65F" w14:textId="77777777" w:rsidR="00F808DE" w:rsidRDefault="0026690E" w:rsidP="0050540F">
      <w:pPr>
        <w:jc w:val="center"/>
        <w:rPr>
          <w:b/>
          <w:bCs/>
          <w:i/>
          <w:iCs/>
          <w:color w:val="4F2D7F" w:themeColor="accent1"/>
        </w:rPr>
      </w:pPr>
      <w:r w:rsidRPr="00AD2626">
        <w:rPr>
          <w:b/>
          <w:bCs/>
        </w:rPr>
        <w:t xml:space="preserve">V případě </w:t>
      </w:r>
      <w:r w:rsidR="002257F5" w:rsidRPr="00AD2626">
        <w:rPr>
          <w:b/>
          <w:bCs/>
        </w:rPr>
        <w:t xml:space="preserve">povinnosti </w:t>
      </w:r>
      <w:r w:rsidRPr="00AD2626">
        <w:rPr>
          <w:b/>
          <w:bCs/>
        </w:rPr>
        <w:t>pře</w:t>
      </w:r>
      <w:r w:rsidR="00507FB5">
        <w:rPr>
          <w:b/>
          <w:bCs/>
        </w:rPr>
        <w:t>kládky</w:t>
      </w:r>
      <w:r w:rsidRPr="00AD2626">
        <w:rPr>
          <w:b/>
          <w:bCs/>
        </w:rPr>
        <w:t xml:space="preserve"> doporučujeme upravit</w:t>
      </w:r>
      <w:r w:rsidR="00973813" w:rsidRPr="00AD2626">
        <w:rPr>
          <w:b/>
          <w:bCs/>
        </w:rPr>
        <w:t xml:space="preserve"> současnou</w:t>
      </w:r>
      <w:r w:rsidRPr="00AD2626">
        <w:rPr>
          <w:b/>
          <w:bCs/>
        </w:rPr>
        <w:t xml:space="preserve"> formulaci ve stávajícím </w:t>
      </w:r>
      <w:r w:rsidR="002257F5" w:rsidRPr="00AD2626">
        <w:rPr>
          <w:b/>
          <w:bCs/>
        </w:rPr>
        <w:t>ceníku</w:t>
      </w:r>
      <w:r w:rsidR="00B84BB9" w:rsidRPr="00AD2626">
        <w:rPr>
          <w:b/>
          <w:bCs/>
        </w:rPr>
        <w:t xml:space="preserve"> </w:t>
      </w:r>
      <w:r w:rsidR="00BB35C0" w:rsidRPr="00AD2626">
        <w:rPr>
          <w:b/>
          <w:bCs/>
        </w:rPr>
        <w:t xml:space="preserve">a umístit ji </w:t>
      </w:r>
      <w:r w:rsidR="006F39C1" w:rsidRPr="00AD2626">
        <w:rPr>
          <w:b/>
          <w:bCs/>
        </w:rPr>
        <w:t xml:space="preserve">do části </w:t>
      </w:r>
      <w:r w:rsidR="006F39C1" w:rsidRPr="009A78DA">
        <w:rPr>
          <w:b/>
          <w:bCs/>
          <w:i/>
          <w:iCs/>
          <w:color w:val="4F2D7F" w:themeColor="accent1"/>
        </w:rPr>
        <w:t>B.2. Jednorázová náhrada za omezení užívání silnice a za zřízení věcného břemene dle § 25 odst. 6 písm. d)</w:t>
      </w:r>
      <w:r w:rsidR="001733A6">
        <w:rPr>
          <w:b/>
          <w:bCs/>
          <w:i/>
          <w:iCs/>
          <w:color w:val="4F2D7F" w:themeColor="accent1"/>
        </w:rPr>
        <w:t xml:space="preserve">. </w:t>
      </w:r>
      <w:r w:rsidR="00C515EB">
        <w:rPr>
          <w:b/>
          <w:bCs/>
          <w:i/>
          <w:iCs/>
          <w:color w:val="4F2D7F" w:themeColor="accent1"/>
        </w:rPr>
        <w:t>Informace</w:t>
      </w:r>
      <w:r w:rsidR="002B1A98">
        <w:rPr>
          <w:b/>
          <w:bCs/>
          <w:i/>
          <w:iCs/>
          <w:color w:val="4F2D7F" w:themeColor="accent1"/>
        </w:rPr>
        <w:t xml:space="preserve"> by zároveň měla být v metodice umístěna</w:t>
      </w:r>
      <w:r w:rsidR="006F39C1" w:rsidRPr="009A78DA">
        <w:rPr>
          <w:b/>
          <w:bCs/>
          <w:i/>
          <w:iCs/>
          <w:color w:val="4F2D7F" w:themeColor="accent1"/>
        </w:rPr>
        <w:t xml:space="preserve"> </w:t>
      </w:r>
      <w:r w:rsidR="00C6397F">
        <w:rPr>
          <w:b/>
          <w:bCs/>
          <w:i/>
          <w:iCs/>
          <w:color w:val="4F2D7F" w:themeColor="accent1"/>
        </w:rPr>
        <w:t>/ komunikována</w:t>
      </w:r>
      <w:r w:rsidR="006F39C1" w:rsidRPr="009A78DA">
        <w:rPr>
          <w:b/>
          <w:bCs/>
          <w:i/>
          <w:iCs/>
          <w:color w:val="4F2D7F" w:themeColor="accent1"/>
        </w:rPr>
        <w:t xml:space="preserve"> tak, aby bylo jasné</w:t>
      </w:r>
      <w:r w:rsidR="00AD2626" w:rsidRPr="009A78DA">
        <w:rPr>
          <w:b/>
          <w:bCs/>
          <w:i/>
          <w:iCs/>
          <w:color w:val="4F2D7F" w:themeColor="accent1"/>
        </w:rPr>
        <w:t>, že se jedná o obecný postup platný pro všechny žadatele.</w:t>
      </w:r>
      <w:r w:rsidR="00EC6DDD">
        <w:rPr>
          <w:b/>
          <w:bCs/>
          <w:i/>
          <w:iCs/>
          <w:color w:val="4F2D7F" w:themeColor="accent1"/>
        </w:rPr>
        <w:t xml:space="preserve"> </w:t>
      </w:r>
    </w:p>
    <w:p w14:paraId="673059F3" w14:textId="5C0E3710" w:rsidR="006F39C1" w:rsidRPr="00000479" w:rsidRDefault="00EC6DDD" w:rsidP="0050540F">
      <w:pPr>
        <w:jc w:val="center"/>
        <w:rPr>
          <w:color w:val="4F2D7F" w:themeColor="accent1"/>
        </w:rPr>
      </w:pPr>
      <w:r w:rsidRPr="00000479">
        <w:t>V</w:t>
      </w:r>
      <w:r w:rsidR="0008457A">
        <w:t> </w:t>
      </w:r>
      <w:r w:rsidRPr="00000479">
        <w:t>případě</w:t>
      </w:r>
      <w:r w:rsidR="0008457A">
        <w:t>,</w:t>
      </w:r>
      <w:r w:rsidRPr="00000479">
        <w:t xml:space="preserve"> </w:t>
      </w:r>
      <w:r w:rsidR="0008457A">
        <w:t>kdy změna legislativy</w:t>
      </w:r>
      <w:r w:rsidR="00810F17" w:rsidRPr="00000479">
        <w:t xml:space="preserve"> </w:t>
      </w:r>
      <w:r w:rsidR="009B2CC8" w:rsidRPr="00000479">
        <w:t>(díky například technické novele</w:t>
      </w:r>
      <w:r w:rsidR="002E596C" w:rsidRPr="00000479">
        <w:t xml:space="preserve"> Zákona o elektronických komunikacích</w:t>
      </w:r>
      <w:r w:rsidR="009B2CC8" w:rsidRPr="00000479">
        <w:t xml:space="preserve">) </w:t>
      </w:r>
      <w:r w:rsidR="0008457A">
        <w:t xml:space="preserve">umožní </w:t>
      </w:r>
      <w:r w:rsidR="00DE4D8F" w:rsidRPr="00000479">
        <w:t xml:space="preserve">přenesení </w:t>
      </w:r>
      <w:r w:rsidR="00477CE3" w:rsidRPr="00000479">
        <w:t>povinnosti</w:t>
      </w:r>
      <w:r w:rsidR="00DE4D8F" w:rsidRPr="00000479">
        <w:t xml:space="preserve"> překládky, zahrnout obecn</w:t>
      </w:r>
      <w:r w:rsidR="00F978ED" w:rsidRPr="00000479">
        <w:t xml:space="preserve">ý postup platný pro všechny žadatele, který </w:t>
      </w:r>
      <w:r w:rsidR="009E573B" w:rsidRPr="00000479">
        <w:t xml:space="preserve">byl umístěn do části </w:t>
      </w:r>
      <w:r w:rsidR="00000479" w:rsidRPr="00000479">
        <w:rPr>
          <w:i/>
          <w:iCs/>
          <w:color w:val="4F2D7F" w:themeColor="accent1"/>
        </w:rPr>
        <w:t>B.2. Jednorázová náhrada za omezení užívání silnice a za zřízení věcného břemene dle § 25 odst. 6 písm. d). Informace by zároveň měla být v metodice umístěna / komunikována tak, aby bylo jasné, že se jedná o obecný postup platný pro všechny žadatele.</w:t>
      </w:r>
    </w:p>
    <w:p w14:paraId="23A11A05" w14:textId="77F43398" w:rsidR="00A930C0" w:rsidRPr="00A930C0" w:rsidRDefault="00A930C0" w:rsidP="00A930C0">
      <w:pPr>
        <w:keepNext/>
        <w:rPr>
          <w:b/>
          <w:bCs/>
          <w:u w:val="single"/>
        </w:rPr>
      </w:pPr>
      <w:r w:rsidRPr="00A930C0">
        <w:rPr>
          <w:b/>
          <w:bCs/>
          <w:u w:val="single"/>
        </w:rPr>
        <w:t>Zálohová platba</w:t>
      </w:r>
      <w:r>
        <w:rPr>
          <w:b/>
          <w:bCs/>
          <w:u w:val="single"/>
        </w:rPr>
        <w:t xml:space="preserve"> – Platba předem</w:t>
      </w:r>
    </w:p>
    <w:p w14:paraId="111A021A" w14:textId="14B5F5BD" w:rsidR="009E14ED" w:rsidRDefault="00CD653D" w:rsidP="0057475C">
      <w:pPr>
        <w:jc w:val="both"/>
      </w:pPr>
      <w:r>
        <w:t>V rámci práv a povinnost</w:t>
      </w:r>
      <w:r w:rsidR="009E09AC">
        <w:t>í Žadatele</w:t>
      </w:r>
      <w:r>
        <w:t xml:space="preserve"> </w:t>
      </w:r>
      <w:r w:rsidR="00E018A7">
        <w:t>dále</w:t>
      </w:r>
      <w:r>
        <w:t xml:space="preserve"> doporučujeme</w:t>
      </w:r>
      <w:r w:rsidR="008D61DA">
        <w:t xml:space="preserve"> </w:t>
      </w:r>
      <w:r w:rsidR="00080E80">
        <w:t xml:space="preserve">upravit povinnost úhrady </w:t>
      </w:r>
      <w:r w:rsidR="001603E5">
        <w:t>služebnosti předem v plné výši</w:t>
      </w:r>
      <w:r w:rsidR="00D72F82">
        <w:t xml:space="preserve"> a zavést zálohovou platbu ve výši</w:t>
      </w:r>
      <w:r w:rsidR="00E244FB">
        <w:t xml:space="preserve"> 40 až 60 %</w:t>
      </w:r>
      <w:r w:rsidR="00EE1099">
        <w:t xml:space="preserve"> služebnosti.</w:t>
      </w:r>
      <w:r w:rsidR="00335023">
        <w:t xml:space="preserve"> Úhrada služebnosti předem v plné výši je v širším srovnání</w:t>
      </w:r>
      <w:r w:rsidR="00C46894">
        <w:t xml:space="preserve"> metodik spíše</w:t>
      </w:r>
      <w:r w:rsidR="00335023">
        <w:t xml:space="preserve"> nestandardním postup</w:t>
      </w:r>
      <w:r w:rsidR="00C46894">
        <w:t>em a</w:t>
      </w:r>
      <w:r w:rsidR="00D27BD9">
        <w:t xml:space="preserve"> představuje</w:t>
      </w:r>
      <w:r w:rsidR="00AB6A5D">
        <w:t xml:space="preserve"> tak</w:t>
      </w:r>
      <w:r w:rsidR="00D27BD9">
        <w:t xml:space="preserve"> bariéru</w:t>
      </w:r>
      <w:r w:rsidR="00C46894">
        <w:t xml:space="preserve"> p</w:t>
      </w:r>
      <w:r w:rsidR="00FE490A">
        <w:t>ro rozvoj sítí elektronických komunikac</w:t>
      </w:r>
      <w:r w:rsidR="00805590">
        <w:t>í. Na uhrazení zbylé části služebnosti by poté bylo navázáno</w:t>
      </w:r>
      <w:r w:rsidR="00335677">
        <w:t xml:space="preserve"> umožnění </w:t>
      </w:r>
      <w:r w:rsidR="00171248">
        <w:t>využívání dané infrastruktury</w:t>
      </w:r>
      <w:r w:rsidR="009E14ED">
        <w:t>, jakožto mitigace rizika neuhrazení zbylé části</w:t>
      </w:r>
      <w:r w:rsidR="00171248">
        <w:t xml:space="preserve">. </w:t>
      </w:r>
    </w:p>
    <w:p w14:paraId="06684A84" w14:textId="49D525DA" w:rsidR="00CD653D" w:rsidRPr="002178B2" w:rsidRDefault="00171248" w:rsidP="0008457A">
      <w:pPr>
        <w:jc w:val="center"/>
        <w:rPr>
          <w:i/>
          <w:iCs/>
        </w:rPr>
      </w:pPr>
      <w:r w:rsidRPr="002178B2">
        <w:rPr>
          <w:b/>
          <w:bCs/>
        </w:rPr>
        <w:t>V rámci stávajícího ceníku tedy navrh</w:t>
      </w:r>
      <w:r w:rsidR="00F26DEA" w:rsidRPr="002178B2">
        <w:rPr>
          <w:b/>
          <w:bCs/>
        </w:rPr>
        <w:t>ujeme upravit současnou formulaci bodu e) v</w:t>
      </w:r>
      <w:r w:rsidR="002178B2" w:rsidRPr="002178B2">
        <w:rPr>
          <w:b/>
          <w:bCs/>
        </w:rPr>
        <w:t> </w:t>
      </w:r>
      <w:r w:rsidR="00F26DEA" w:rsidRPr="002178B2">
        <w:rPr>
          <w:b/>
          <w:bCs/>
        </w:rPr>
        <w:t>rámci</w:t>
      </w:r>
      <w:r w:rsidR="002178B2" w:rsidRPr="002178B2">
        <w:rPr>
          <w:b/>
          <w:bCs/>
        </w:rPr>
        <w:t xml:space="preserve"> části </w:t>
      </w:r>
      <w:r w:rsidR="002178B2" w:rsidRPr="0008457A">
        <w:rPr>
          <w:b/>
          <w:bCs/>
          <w:i/>
          <w:iCs/>
          <w:color w:val="4F2D7F" w:themeColor="accent1"/>
        </w:rPr>
        <w:t>I. Obecné zásady při uzavírání smluvních vztahů a účinnosti ceníku</w:t>
      </w:r>
      <w:r w:rsidR="00FB0D81" w:rsidRPr="0008457A">
        <w:rPr>
          <w:b/>
          <w:bCs/>
          <w:i/>
          <w:iCs/>
          <w:color w:val="4F2D7F" w:themeColor="accent1"/>
        </w:rPr>
        <w:t xml:space="preserve"> </w:t>
      </w:r>
      <w:r w:rsidR="00FB0D81" w:rsidRPr="00FB0D81">
        <w:rPr>
          <w:b/>
          <w:bCs/>
        </w:rPr>
        <w:t>dle našeho doporučení</w:t>
      </w:r>
      <w:r w:rsidR="00FB0D81">
        <w:rPr>
          <w:b/>
          <w:bCs/>
        </w:rPr>
        <w:t>.</w:t>
      </w:r>
    </w:p>
    <w:p w14:paraId="1BA8168A" w14:textId="2AE070DA" w:rsidR="00A930C0" w:rsidRPr="00A930C0" w:rsidRDefault="00A930C0" w:rsidP="004F68E6">
      <w:pPr>
        <w:rPr>
          <w:b/>
          <w:bCs/>
          <w:u w:val="single"/>
        </w:rPr>
      </w:pPr>
      <w:r w:rsidRPr="00A930C0">
        <w:rPr>
          <w:b/>
          <w:bCs/>
          <w:u w:val="single"/>
        </w:rPr>
        <w:t>Dvojí zpoplatnění</w:t>
      </w:r>
    </w:p>
    <w:p w14:paraId="58252FD6" w14:textId="74C744D2" w:rsidR="009E14ED" w:rsidRDefault="004132F3" w:rsidP="0057475C">
      <w:pPr>
        <w:jc w:val="both"/>
      </w:pPr>
      <w:r>
        <w:t>Poslední navrhovan</w:t>
      </w:r>
      <w:r w:rsidR="0050417A">
        <w:t>á</w:t>
      </w:r>
      <w:r>
        <w:t xml:space="preserve"> změn</w:t>
      </w:r>
      <w:r w:rsidR="0050417A">
        <w:t>a řeší situaci dvojího zpoplatnění</w:t>
      </w:r>
      <w:r w:rsidR="00F33E84">
        <w:t xml:space="preserve"> Žadatele, která vzniká v</w:t>
      </w:r>
      <w:r w:rsidR="007E3128">
        <w:t> případech kdy je</w:t>
      </w:r>
      <w:r w:rsidR="00F33E84">
        <w:t xml:space="preserve"> pozemek pod krajskou komunikací</w:t>
      </w:r>
      <w:r w:rsidR="00A36CB8">
        <w:t xml:space="preserve"> ve vlastnictví jiného subjektu (obec, soukromník)</w:t>
      </w:r>
      <w:r w:rsidR="00AD6390">
        <w:t xml:space="preserve"> a Žadatel je v případě Středočeského kraje nucen platit jak za zřízení věcného břemene</w:t>
      </w:r>
      <w:r w:rsidR="00826687">
        <w:t>,</w:t>
      </w:r>
      <w:r w:rsidR="00676057">
        <w:t xml:space="preserve"> tak</w:t>
      </w:r>
      <w:r w:rsidR="00CA3149">
        <w:t xml:space="preserve"> náhradu</w:t>
      </w:r>
      <w:r w:rsidR="00676057">
        <w:t xml:space="preserve"> za omezené užívání silnice.</w:t>
      </w:r>
      <w:r w:rsidR="006448F1">
        <w:t xml:space="preserve"> Jako řešení zde navrhujeme</w:t>
      </w:r>
      <w:r w:rsidR="00CA3149">
        <w:t xml:space="preserve"> snížit výši náhrady</w:t>
      </w:r>
      <w:r w:rsidR="006444AF">
        <w:t xml:space="preserve"> za omezené užívání o cenu služebnosti</w:t>
      </w:r>
      <w:r w:rsidR="009E14ED">
        <w:t xml:space="preserve"> hrazenou majiteli pozemku na niž je krajská stavba</w:t>
      </w:r>
      <w:r w:rsidR="006444AF">
        <w:t>.</w:t>
      </w:r>
      <w:r w:rsidR="00236D40">
        <w:t xml:space="preserve"> </w:t>
      </w:r>
    </w:p>
    <w:p w14:paraId="67152243" w14:textId="37F1F3DD" w:rsidR="004B5BD3" w:rsidRPr="004B5BD3" w:rsidRDefault="00236D40" w:rsidP="0008457A">
      <w:pPr>
        <w:jc w:val="center"/>
      </w:pPr>
      <w:r w:rsidRPr="00236D40">
        <w:rPr>
          <w:b/>
          <w:bCs/>
        </w:rPr>
        <w:t xml:space="preserve">Dodatek řešící dvojí zpoplatnění doporučujeme zapracovat do části </w:t>
      </w:r>
      <w:r w:rsidRPr="0008457A">
        <w:rPr>
          <w:b/>
          <w:bCs/>
          <w:i/>
          <w:iCs/>
          <w:color w:val="4F2D7F" w:themeColor="accent1"/>
        </w:rPr>
        <w:t>B.2. Jednorázová náhrada za omezení užívání silnice a za zřízení věcného břemene dle § 25 odst. 6 písm. d).</w:t>
      </w:r>
    </w:p>
    <w:p w14:paraId="12631E7D" w14:textId="77777777" w:rsidR="0057475C" w:rsidRDefault="0057475C">
      <w:pPr>
        <w:spacing w:before="0" w:after="0"/>
        <w:rPr>
          <w:sz w:val="40"/>
        </w:rPr>
      </w:pPr>
      <w:r>
        <w:rPr>
          <w:sz w:val="40"/>
        </w:rPr>
        <w:br w:type="page"/>
      </w:r>
    </w:p>
    <w:p w14:paraId="6D6ED030" w14:textId="396FD5A0" w:rsidR="00DC5244" w:rsidRPr="007A0BA3" w:rsidRDefault="00DC5244" w:rsidP="006031FC">
      <w:pPr>
        <w:rPr>
          <w:sz w:val="40"/>
        </w:rPr>
      </w:pPr>
      <w:r w:rsidRPr="007A0BA3">
        <w:rPr>
          <w:noProof/>
          <w:sz w:val="40"/>
        </w:rPr>
        <mc:AlternateContent>
          <mc:Choice Requires="wps">
            <w:drawing>
              <wp:anchor distT="0" distB="0" distL="114300" distR="114300" simplePos="0" relativeHeight="251658240" behindDoc="0" locked="1" layoutInCell="1" allowOverlap="0" wp14:anchorId="5B87FD56" wp14:editId="0B0EB0E0">
                <wp:simplePos x="0" y="0"/>
                <wp:positionH relativeFrom="margin">
                  <wp:align>right</wp:align>
                </wp:positionH>
                <wp:positionV relativeFrom="page">
                  <wp:posOffset>5868670</wp:posOffset>
                </wp:positionV>
                <wp:extent cx="6602730" cy="4182745"/>
                <wp:effectExtent l="0" t="0" r="7620" b="825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4182745"/>
                        </a:xfrm>
                        <a:prstGeom prst="rect">
                          <a:avLst/>
                        </a:prstGeom>
                        <a:solidFill>
                          <a:schemeClr val="bg1"/>
                        </a:solidFill>
                        <a:ln>
                          <a:noFill/>
                        </a:ln>
                      </wps:spPr>
                      <wps:txbx>
                        <w:txbxContent>
                          <w:tbl>
                            <w:tblPr>
                              <w:tblW w:w="4986" w:type="pct"/>
                              <w:tblCellMar>
                                <w:left w:w="0" w:type="dxa"/>
                                <w:right w:w="0" w:type="dxa"/>
                              </w:tblCellMar>
                              <w:tblLook w:val="04A0" w:firstRow="1" w:lastRow="0" w:firstColumn="1" w:lastColumn="0" w:noHBand="0" w:noVBand="1"/>
                            </w:tblPr>
                            <w:tblGrid>
                              <w:gridCol w:w="3657"/>
                              <w:gridCol w:w="426"/>
                              <w:gridCol w:w="6301"/>
                            </w:tblGrid>
                            <w:tr w:rsidR="004805D0" w14:paraId="5D9917E1" w14:textId="77777777" w:rsidTr="004805D0">
                              <w:trPr>
                                <w:trHeight w:val="514"/>
                              </w:trPr>
                              <w:tc>
                                <w:tcPr>
                                  <w:tcW w:w="1761" w:type="pct"/>
                                  <w:tcBorders>
                                    <w:bottom w:val="single" w:sz="12" w:space="0" w:color="4F2D7F" w:themeColor="accent1"/>
                                  </w:tcBorders>
                                  <w:vAlign w:val="bottom"/>
                                </w:tcPr>
                                <w:p w14:paraId="4139C79A" w14:textId="77777777" w:rsidR="004805D0" w:rsidRDefault="004805D0" w:rsidP="004805D0">
                                  <w:r>
                                    <w:rPr>
                                      <w:noProof/>
                                    </w:rPr>
                                    <w:drawing>
                                      <wp:inline distT="0" distB="0" distL="0" distR="0" wp14:anchorId="155EDA16" wp14:editId="72E13A4F">
                                        <wp:extent cx="2120400" cy="393788"/>
                                        <wp:effectExtent l="0" t="0" r="0" b="6350"/>
                                        <wp:docPr id="1" name="Picture 7"/>
                                        <wp:cNvGraphicFramePr/>
                                        <a:graphic xmlns:a="http://schemas.openxmlformats.org/drawingml/2006/main">
                                          <a:graphicData uri="http://schemas.openxmlformats.org/drawingml/2006/picture">
                                            <pic:pic xmlns:pic="http://schemas.openxmlformats.org/drawingml/2006/picture">
                                              <pic:nvPicPr>
                                                <pic:cNvPr id="3" name="Picture 7"/>
                                                <pic:cNvPicPr/>
                                              </pic:nvPicPr>
                                              <pic:blipFill>
                                                <a:blip r:embed="rId17"/>
                                                <a:stretch>
                                                  <a:fillRect/>
                                                </a:stretch>
                                              </pic:blipFill>
                                              <pic:spPr>
                                                <a:xfrm>
                                                  <a:off x="0" y="0"/>
                                                  <a:ext cx="2120400" cy="393788"/>
                                                </a:xfrm>
                                                <a:prstGeom prst="rect">
                                                  <a:avLst/>
                                                </a:prstGeom>
                                              </pic:spPr>
                                            </pic:pic>
                                          </a:graphicData>
                                        </a:graphic>
                                      </wp:inline>
                                    </w:drawing>
                                  </w:r>
                                </w:p>
                              </w:tc>
                              <w:tc>
                                <w:tcPr>
                                  <w:tcW w:w="205" w:type="pct"/>
                                  <w:vAlign w:val="bottom"/>
                                </w:tcPr>
                                <w:p w14:paraId="60AB3629" w14:textId="77777777" w:rsidR="004805D0" w:rsidRDefault="004805D0" w:rsidP="004805D0"/>
                              </w:tc>
                              <w:tc>
                                <w:tcPr>
                                  <w:tcW w:w="3034" w:type="pct"/>
                                </w:tcPr>
                                <w:p w14:paraId="2349AD38" w14:textId="77777777" w:rsidR="004805D0" w:rsidRDefault="004805D0" w:rsidP="004805D0">
                                  <w:pPr>
                                    <w:pStyle w:val="Letterfooter"/>
                                    <w:rPr>
                                      <w:lang w:val="en-GB"/>
                                    </w:rPr>
                                  </w:pPr>
                                </w:p>
                                <w:p w14:paraId="5C870D84" w14:textId="201E0536" w:rsidR="004805D0" w:rsidRPr="00F35E45" w:rsidRDefault="004805D0" w:rsidP="004805D0">
                                  <w:pPr>
                                    <w:pStyle w:val="Letterfooter"/>
                                  </w:pPr>
                                  <w:r w:rsidRPr="00F35E45">
                                    <w:rPr>
                                      <w:lang w:val="en-GB"/>
                                    </w:rPr>
                                    <w:t>©</w:t>
                                  </w:r>
                                  <w:r w:rsidRPr="00F35E45">
                                    <w:t xml:space="preserve"> </w:t>
                                  </w:r>
                                  <w:r w:rsidRPr="00F35E45">
                                    <w:rPr>
                                      <w:lang w:val="en-GB"/>
                                    </w:rPr>
                                    <w:t>20</w:t>
                                  </w:r>
                                  <w:r>
                                    <w:rPr>
                                      <w:lang w:val="en-GB"/>
                                    </w:rPr>
                                    <w:t>2</w:t>
                                  </w:r>
                                  <w:r w:rsidR="00961E5F">
                                    <w:rPr>
                                      <w:lang w:val="en-GB"/>
                                    </w:rPr>
                                    <w:t>2</w:t>
                                  </w:r>
                                  <w:r w:rsidRPr="00F35E45">
                                    <w:rPr>
                                      <w:lang w:val="en-GB"/>
                                    </w:rPr>
                                    <w:t xml:space="preserve"> Grant Thornton </w:t>
                                  </w:r>
                                  <w:r w:rsidRPr="00F35E45">
                                    <w:t>Advisory s.r.o.</w:t>
                                  </w:r>
                                  <w:r>
                                    <w:t xml:space="preserve"> </w:t>
                                  </w:r>
                                  <w:r w:rsidRPr="00F35E45">
                                    <w:rPr>
                                      <w:lang w:val="en-GB"/>
                                    </w:rPr>
                                    <w:t>All rights reserved.</w:t>
                                  </w:r>
                                </w:p>
                                <w:p w14:paraId="441E686E" w14:textId="77777777" w:rsidR="004805D0" w:rsidRPr="00F35E45" w:rsidRDefault="004805D0" w:rsidP="004805D0">
                                  <w:pPr>
                                    <w:pStyle w:val="Disclaimer"/>
                                    <w:rPr>
                                      <w:lang w:val="cs-CZ"/>
                                    </w:rPr>
                                  </w:pPr>
                                  <w:r w:rsidRPr="00F35E45">
                                    <w:t>Grant Thornton Advisory s.r.o. je členská firma Grant Thornton International Ltd. (Grant Thornton International). Odkazy na Grant Thornton se vztahují ke Grant Thornton International nebo ke členským firmám. Grant Thornton International a členské firmy nejsou mezinárodním partnerstvím. Služby jsou nezávisle poskytovány jednotlivými členskými firmami.</w:t>
                                  </w:r>
                                </w:p>
                              </w:tc>
                            </w:tr>
                            <w:tr w:rsidR="004805D0" w14:paraId="71D0A7E8" w14:textId="77777777" w:rsidTr="004805D0">
                              <w:tc>
                                <w:tcPr>
                                  <w:tcW w:w="1761" w:type="pct"/>
                                  <w:tcBorders>
                                    <w:top w:val="single" w:sz="12" w:space="0" w:color="4F2D7F" w:themeColor="accent1"/>
                                  </w:tcBorders>
                                </w:tcPr>
                                <w:p w14:paraId="5535FD5C" w14:textId="77777777" w:rsidR="004805D0" w:rsidRDefault="004805D0" w:rsidP="004805D0">
                                  <w:pPr>
                                    <w:pStyle w:val="ReportFooterURL"/>
                                  </w:pPr>
                                  <w:r>
                                    <w:t>www.</w:t>
                                  </w:r>
                                  <w:r w:rsidRPr="004966B5">
                                    <w:t>grantthornton.</w:t>
                                  </w:r>
                                  <w:r>
                                    <w:t>cz</w:t>
                                  </w:r>
                                </w:p>
                              </w:tc>
                              <w:tc>
                                <w:tcPr>
                                  <w:tcW w:w="205" w:type="pct"/>
                                  <w:vAlign w:val="bottom"/>
                                </w:tcPr>
                                <w:p w14:paraId="13459E79" w14:textId="77777777" w:rsidR="004805D0" w:rsidRDefault="004805D0" w:rsidP="004805D0"/>
                              </w:tc>
                              <w:tc>
                                <w:tcPr>
                                  <w:tcW w:w="3034" w:type="pct"/>
                                  <w:vAlign w:val="bottom"/>
                                </w:tcPr>
                                <w:p w14:paraId="70DD3895" w14:textId="77777777" w:rsidR="004805D0" w:rsidRDefault="004805D0" w:rsidP="004805D0"/>
                              </w:tc>
                            </w:tr>
                          </w:tbl>
                          <w:p w14:paraId="6CC6722E" w14:textId="77777777" w:rsidR="000F7B89" w:rsidRDefault="000F7B89" w:rsidP="006031F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7FD56" id="_x0000_t202" coordsize="21600,21600" o:spt="202" path="m,l,21600r21600,l21600,xe">
                <v:stroke joinstyle="miter"/>
                <v:path gradientshapeok="t" o:connecttype="rect"/>
              </v:shapetype>
              <v:shape id="Text Box 5" o:spid="_x0000_s1026" type="#_x0000_t202" style="position:absolute;margin-left:468.7pt;margin-top:462.1pt;width:519.9pt;height:329.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" o:allowoverlap="f" fillcolor="white [3212]" stroked="f">
                <v:textbox inset="0,0,0,0">
                  <w:txbxContent>
                    <w:tbl>
                      <w:tblPr>
                        <w:tblW w:w="4986" w:type="pct"/>
                        <w:tblCellMar>
                          <w:left w:w="0" w:type="dxa"/>
                          <w:right w:w="0" w:type="dxa"/>
                        </w:tblCellMar>
                        <w:tblLook w:val="04A0" w:firstRow="1" w:lastRow="0" w:firstColumn="1" w:lastColumn="0" w:noHBand="0" w:noVBand="1"/>
                      </w:tblPr>
                      <w:tblGrid>
                        <w:gridCol w:w="3657"/>
                        <w:gridCol w:w="426"/>
                        <w:gridCol w:w="6301"/>
                      </w:tblGrid>
                      <w:tr w:rsidR="004805D0" w14:paraId="5D9917E1" w14:textId="77777777" w:rsidTr="004805D0">
                        <w:trPr>
                          <w:trHeight w:val="514"/>
                        </w:trPr>
                        <w:tc>
                          <w:tcPr>
                            <w:tcW w:w="1761" w:type="pct"/>
                            <w:tcBorders>
                              <w:bottom w:val="single" w:sz="12" w:space="0" w:color="4F2D7F" w:themeColor="accent1"/>
                            </w:tcBorders>
                            <w:vAlign w:val="bottom"/>
                          </w:tcPr>
                          <w:p w14:paraId="4139C79A" w14:textId="77777777" w:rsidR="004805D0" w:rsidRDefault="004805D0" w:rsidP="004805D0">
                            <w:r>
                              <w:rPr>
                                <w:noProof/>
                              </w:rPr>
                              <w:drawing>
                                <wp:inline distT="0" distB="0" distL="0" distR="0" wp14:anchorId="155EDA16" wp14:editId="72E13A4F">
                                  <wp:extent cx="2120400" cy="393788"/>
                                  <wp:effectExtent l="0" t="0" r="0" b="6350"/>
                                  <wp:docPr id="1" name="Picture 7"/>
                                  <wp:cNvGraphicFramePr/>
                                  <a:graphic xmlns:a="http://schemas.openxmlformats.org/drawingml/2006/main">
                                    <a:graphicData uri="http://schemas.openxmlformats.org/drawingml/2006/picture">
                                      <pic:pic xmlns:pic="http://schemas.openxmlformats.org/drawingml/2006/picture">
                                        <pic:nvPicPr>
                                          <pic:cNvPr id="3" name="Picture 7"/>
                                          <pic:cNvPicPr/>
                                        </pic:nvPicPr>
                                        <pic:blipFill>
                                          <a:blip r:embed="rId17"/>
                                          <a:stretch>
                                            <a:fillRect/>
                                          </a:stretch>
                                        </pic:blipFill>
                                        <pic:spPr>
                                          <a:xfrm>
                                            <a:off x="0" y="0"/>
                                            <a:ext cx="2120400" cy="393788"/>
                                          </a:xfrm>
                                          <a:prstGeom prst="rect">
                                            <a:avLst/>
                                          </a:prstGeom>
                                        </pic:spPr>
                                      </pic:pic>
                                    </a:graphicData>
                                  </a:graphic>
                                </wp:inline>
                              </w:drawing>
                            </w:r>
                          </w:p>
                        </w:tc>
                        <w:tc>
                          <w:tcPr>
                            <w:tcW w:w="205" w:type="pct"/>
                            <w:vAlign w:val="bottom"/>
                          </w:tcPr>
                          <w:p w14:paraId="60AB3629" w14:textId="77777777" w:rsidR="004805D0" w:rsidRDefault="004805D0" w:rsidP="004805D0"/>
                        </w:tc>
                        <w:tc>
                          <w:tcPr>
                            <w:tcW w:w="3034" w:type="pct"/>
                          </w:tcPr>
                          <w:p w14:paraId="2349AD38" w14:textId="77777777" w:rsidR="004805D0" w:rsidRDefault="004805D0" w:rsidP="004805D0">
                            <w:pPr>
                              <w:pStyle w:val="Letterfooter"/>
                              <w:rPr>
                                <w:lang w:val="en-GB"/>
                              </w:rPr>
                            </w:pPr>
                          </w:p>
                          <w:p w14:paraId="5C870D84" w14:textId="201E0536" w:rsidR="004805D0" w:rsidRPr="00F35E45" w:rsidRDefault="004805D0" w:rsidP="004805D0">
                            <w:pPr>
                              <w:pStyle w:val="Letterfooter"/>
                            </w:pPr>
                            <w:r w:rsidRPr="00F35E45">
                              <w:rPr>
                                <w:lang w:val="en-GB"/>
                              </w:rPr>
                              <w:t>©</w:t>
                            </w:r>
                            <w:r w:rsidRPr="00F35E45">
                              <w:t xml:space="preserve"> </w:t>
                            </w:r>
                            <w:r w:rsidRPr="00F35E45">
                              <w:rPr>
                                <w:lang w:val="en-GB"/>
                              </w:rPr>
                              <w:t>20</w:t>
                            </w:r>
                            <w:r>
                              <w:rPr>
                                <w:lang w:val="en-GB"/>
                              </w:rPr>
                              <w:t>2</w:t>
                            </w:r>
                            <w:r w:rsidR="00961E5F">
                              <w:rPr>
                                <w:lang w:val="en-GB"/>
                              </w:rPr>
                              <w:t>2</w:t>
                            </w:r>
                            <w:r w:rsidRPr="00F35E45">
                              <w:rPr>
                                <w:lang w:val="en-GB"/>
                              </w:rPr>
                              <w:t xml:space="preserve"> Grant Thornton </w:t>
                            </w:r>
                            <w:r w:rsidRPr="00F35E45">
                              <w:t>Advisory s.r.o.</w:t>
                            </w:r>
                            <w:r>
                              <w:t xml:space="preserve"> </w:t>
                            </w:r>
                            <w:r w:rsidRPr="00F35E45">
                              <w:rPr>
                                <w:lang w:val="en-GB"/>
                              </w:rPr>
                              <w:t>All rights reserved.</w:t>
                            </w:r>
                          </w:p>
                          <w:p w14:paraId="441E686E" w14:textId="77777777" w:rsidR="004805D0" w:rsidRPr="00F35E45" w:rsidRDefault="004805D0" w:rsidP="004805D0">
                            <w:pPr>
                              <w:pStyle w:val="Disclaimer"/>
                              <w:rPr>
                                <w:lang w:val="cs-CZ"/>
                              </w:rPr>
                            </w:pPr>
                            <w:r w:rsidRPr="00F35E45">
                              <w:t>Grant Thornton Advisory s.r.o. je členská firma Grant Thornton International Ltd. (Grant Thornton International). Odkazy na Grant Thornton se vztahují ke Grant Thornton International nebo ke členským firmám. Grant Thornton International a členské firmy nejsou mezinárodním partnerstvím. Služby jsou nezávisle poskytovány jednotlivými členskými firmami.</w:t>
                            </w:r>
                          </w:p>
                        </w:tc>
                      </w:tr>
                      <w:tr w:rsidR="004805D0" w14:paraId="71D0A7E8" w14:textId="77777777" w:rsidTr="004805D0">
                        <w:tc>
                          <w:tcPr>
                            <w:tcW w:w="1761" w:type="pct"/>
                            <w:tcBorders>
                              <w:top w:val="single" w:sz="12" w:space="0" w:color="4F2D7F" w:themeColor="accent1"/>
                            </w:tcBorders>
                          </w:tcPr>
                          <w:p w14:paraId="5535FD5C" w14:textId="77777777" w:rsidR="004805D0" w:rsidRDefault="004805D0" w:rsidP="004805D0">
                            <w:pPr>
                              <w:pStyle w:val="ReportFooterURL"/>
                            </w:pPr>
                            <w:r>
                              <w:t>www.</w:t>
                            </w:r>
                            <w:r w:rsidRPr="004966B5">
                              <w:t>grantthornton.</w:t>
                            </w:r>
                            <w:r>
                              <w:t>cz</w:t>
                            </w:r>
                          </w:p>
                        </w:tc>
                        <w:tc>
                          <w:tcPr>
                            <w:tcW w:w="205" w:type="pct"/>
                            <w:vAlign w:val="bottom"/>
                          </w:tcPr>
                          <w:p w14:paraId="13459E79" w14:textId="77777777" w:rsidR="004805D0" w:rsidRDefault="004805D0" w:rsidP="004805D0"/>
                        </w:tc>
                        <w:tc>
                          <w:tcPr>
                            <w:tcW w:w="3034" w:type="pct"/>
                            <w:vAlign w:val="bottom"/>
                          </w:tcPr>
                          <w:p w14:paraId="70DD3895" w14:textId="77777777" w:rsidR="004805D0" w:rsidRDefault="004805D0" w:rsidP="004805D0"/>
                        </w:tc>
                      </w:tr>
                    </w:tbl>
                    <w:p w14:paraId="6CC6722E" w14:textId="77777777" w:rsidR="000F7B89" w:rsidRDefault="000F7B89" w:rsidP="006031FC"/>
                  </w:txbxContent>
                </v:textbox>
                <w10:wrap anchorx="margin" anchory="page"/>
                <w10:anchorlock/>
              </v:shape>
            </w:pict>
          </mc:Fallback>
        </mc:AlternateContent>
      </w:r>
    </w:p>
    <w:sectPr w:rsidR="00DC5244" w:rsidRPr="007A0BA3" w:rsidSect="005F408C">
      <w:headerReference w:type="default" r:id="rId18"/>
      <w:footerReference w:type="default" r:id="rId19"/>
      <w:pgSz w:w="11906" w:h="16838" w:code="9"/>
      <w:pgMar w:top="1134" w:right="907" w:bottom="1134" w:left="907" w:header="284" w:footer="28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1BC9" w14:textId="77777777" w:rsidR="00990647" w:rsidRDefault="00990647" w:rsidP="006031FC">
      <w:r>
        <w:separator/>
      </w:r>
    </w:p>
    <w:p w14:paraId="518B9582" w14:textId="77777777" w:rsidR="00990647" w:rsidRDefault="00990647" w:rsidP="006031FC"/>
    <w:p w14:paraId="72F36B7F" w14:textId="77777777" w:rsidR="00990647" w:rsidRDefault="00990647" w:rsidP="006031FC"/>
    <w:p w14:paraId="7F6FEE14" w14:textId="77777777" w:rsidR="00990647" w:rsidRDefault="00990647" w:rsidP="006031FC"/>
    <w:p w14:paraId="040D7AB8" w14:textId="77777777" w:rsidR="00990647" w:rsidRDefault="00990647" w:rsidP="006031FC"/>
    <w:p w14:paraId="1429854A" w14:textId="77777777" w:rsidR="00990647" w:rsidRDefault="00990647"/>
  </w:endnote>
  <w:endnote w:type="continuationSeparator" w:id="0">
    <w:p w14:paraId="35429F07" w14:textId="77777777" w:rsidR="00990647" w:rsidRDefault="00990647" w:rsidP="006031FC">
      <w:r>
        <w:continuationSeparator/>
      </w:r>
    </w:p>
    <w:p w14:paraId="57DBB1B3" w14:textId="77777777" w:rsidR="00990647" w:rsidRDefault="00990647" w:rsidP="006031FC"/>
    <w:p w14:paraId="223CF7EC" w14:textId="77777777" w:rsidR="00990647" w:rsidRDefault="00990647" w:rsidP="006031FC"/>
    <w:p w14:paraId="17FFCEAF" w14:textId="77777777" w:rsidR="00990647" w:rsidRDefault="00990647" w:rsidP="006031FC"/>
    <w:p w14:paraId="4BA8E105" w14:textId="77777777" w:rsidR="00990647" w:rsidRDefault="00990647" w:rsidP="006031FC"/>
    <w:p w14:paraId="28CD67AA" w14:textId="77777777" w:rsidR="00990647" w:rsidRDefault="00990647"/>
  </w:endnote>
  <w:endnote w:type="continuationNotice" w:id="1">
    <w:p w14:paraId="2FCF83F6" w14:textId="77777777" w:rsidR="00990647" w:rsidRDefault="0099064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GT Walsheim Pro Bold">
    <w:charset w:val="EE"/>
    <w:family w:val="auto"/>
    <w:pitch w:val="variable"/>
    <w:sig w:usb0="00000207" w:usb1="00000001" w:usb2="00000000" w:usb3="00000000" w:csb0="00000097" w:csb1="00000000"/>
  </w:font>
  <w:font w:name="GT Walsheim Pro Light">
    <w:charset w:val="EE"/>
    <w:family w:val="auto"/>
    <w:pitch w:val="variable"/>
    <w:sig w:usb0="00000207" w:usb1="00000001" w:usb2="00000000" w:usb3="00000000" w:csb0="00000097" w:csb1="00000000"/>
  </w:font>
  <w:font w:name="GT Walsheim Pro Regular">
    <w:altName w:val="Calibri"/>
    <w:panose1 w:val="00000000000000000000"/>
    <w:charset w:val="00"/>
    <w:family w:val="modern"/>
    <w:notTrueType/>
    <w:pitch w:val="variable"/>
    <w:sig w:usb0="A00002AF" w:usb1="5000206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96DD" w14:textId="7167C976" w:rsidR="000F7B89" w:rsidRPr="001B68C6" w:rsidRDefault="0092349B" w:rsidP="006031FC">
    <w:pPr>
      <w:pStyle w:val="Footer"/>
      <w:rPr>
        <w:noProof/>
        <w:lang w:val="en-US"/>
      </w:rPr>
    </w:pPr>
    <w:r>
      <w:rPr>
        <w:bCs/>
        <w:noProof/>
        <w:lang w:val="en-US"/>
      </w:rPr>
      <w:fldChar w:fldCharType="begin"/>
    </w:r>
    <w:r>
      <w:rPr>
        <w:bCs/>
        <w:noProof/>
        <w:lang w:val="en-US"/>
      </w:rPr>
      <w:instrText xml:space="preserve"> STYLEREF  "Cover Title"  \* MERGEFORMAT </w:instrText>
    </w:r>
    <w:r>
      <w:rPr>
        <w:bCs/>
        <w:noProof/>
        <w:lang w:val="en-US"/>
      </w:rPr>
      <w:fldChar w:fldCharType="separate"/>
    </w:r>
    <w:r w:rsidR="00F639C8">
      <w:rPr>
        <w:bCs/>
        <w:noProof/>
        <w:lang w:val="en-US"/>
      </w:rPr>
      <w:t>Metodika rozvoje sítí elektronických komunikací na území Středočeského kraje</w:t>
    </w:r>
    <w:r>
      <w:rPr>
        <w:bCs/>
        <w:noProof/>
        <w:lang w:val="en-US"/>
      </w:rPr>
      <w:fldChar w:fldCharType="end"/>
    </w:r>
    <w:r w:rsidR="000F7B89">
      <w:t> </w:t>
    </w:r>
    <w:r w:rsidR="000F7B89" w:rsidRPr="00B7180E">
      <w:rPr>
        <w:rStyle w:val="PageNumber1"/>
        <w:rFonts w:eastAsiaTheme="majorEastAsia"/>
        <w:b/>
      </w:rPr>
      <w:fldChar w:fldCharType="begin"/>
    </w:r>
    <w:r w:rsidR="000F7B89" w:rsidRPr="00B7180E">
      <w:rPr>
        <w:rStyle w:val="PageNumber1"/>
        <w:rFonts w:eastAsiaTheme="majorEastAsia"/>
        <w:b/>
      </w:rPr>
      <w:instrText xml:space="preserve"> PAGE </w:instrText>
    </w:r>
    <w:r w:rsidR="000F7B89" w:rsidRPr="00B7180E">
      <w:rPr>
        <w:rStyle w:val="PageNumber1"/>
        <w:rFonts w:eastAsiaTheme="majorEastAsia"/>
        <w:b/>
      </w:rPr>
      <w:fldChar w:fldCharType="separate"/>
    </w:r>
    <w:r w:rsidR="000F7B89">
      <w:rPr>
        <w:rStyle w:val="PageNumber1"/>
        <w:rFonts w:eastAsiaTheme="majorEastAsia"/>
        <w:b/>
        <w:noProof/>
      </w:rPr>
      <w:t>4</w:t>
    </w:r>
    <w:r w:rsidR="000F7B89" w:rsidRPr="00B7180E">
      <w:rPr>
        <w:rStyle w:val="PageNumber1"/>
        <w:rFonts w:eastAsiaTheme="majorEastAsia"/>
        <w:b/>
      </w:rPr>
      <w:fldChar w:fldCharType="end"/>
    </w:r>
    <w:r w:rsidR="000F7B89" w:rsidRPr="001B55E7">
      <w:rPr>
        <w:noProof/>
      </w:rPr>
      <mc:AlternateContent>
        <mc:Choice Requires="wps">
          <w:drawing>
            <wp:anchor distT="0" distB="0" distL="114300" distR="114300" simplePos="0" relativeHeight="251658244" behindDoc="1" locked="1" layoutInCell="1" allowOverlap="1" wp14:anchorId="530678B9" wp14:editId="3A523F94">
              <wp:simplePos x="0" y="0"/>
              <wp:positionH relativeFrom="character">
                <wp:posOffset>-1894840</wp:posOffset>
              </wp:positionH>
              <wp:positionV relativeFrom="paragraph">
                <wp:posOffset>-75565</wp:posOffset>
              </wp:positionV>
              <wp:extent cx="1932940" cy="0"/>
              <wp:effectExtent l="0" t="0" r="29210" b="19050"/>
              <wp:wrapNone/>
              <wp:docPr id="24" name="Straight Connector 24"/>
              <wp:cNvGraphicFramePr/>
              <a:graphic xmlns:a="http://schemas.openxmlformats.org/drawingml/2006/main">
                <a:graphicData uri="http://schemas.microsoft.com/office/word/2010/wordprocessingShape">
                  <wps:wsp>
                    <wps:cNvCnPr/>
                    <wps:spPr>
                      <a:xfrm>
                        <a:off x="0" y="0"/>
                        <a:ext cx="193294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AC3EB" id="Straight Connector 24" o:spid="_x0000_s1026" style="position:absolute;z-index:-2516582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 from="-149.2pt,-5.95pt" to="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" strokecolor="#4f2d7f [3204]" strokeweight="1.5pt">
              <w10:anchorlock/>
            </v:line>
          </w:pict>
        </mc:Fallback>
      </mc:AlternateContent>
    </w:r>
  </w:p>
  <w:p w14:paraId="278B724E" w14:textId="77777777" w:rsidR="000F7B89" w:rsidRPr="007C5EAD" w:rsidRDefault="000F7B89" w:rsidP="00603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B702" w14:textId="77777777" w:rsidR="000F7B89" w:rsidRPr="00DD7770" w:rsidRDefault="000F7B89" w:rsidP="006031FC">
    <w:pPr>
      <w:pStyle w:val="Footer"/>
    </w:pPr>
    <w:r w:rsidRPr="00F00E7B">
      <w:rPr>
        <w:noProof/>
        <w:sz w:val="18"/>
        <w:lang w:val="en-US"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999999" w:themeColor="text1" w:themeTint="66"/>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70"/>
      <w:gridCol w:w="159"/>
      <w:gridCol w:w="2063"/>
    </w:tblGrid>
    <w:tr w:rsidR="000F7B89" w:rsidRPr="00932527" w14:paraId="3B2152F2" w14:textId="77777777" w:rsidTr="009613DE">
      <w:tc>
        <w:tcPr>
          <w:tcW w:w="3899" w:type="pct"/>
          <w:tcBorders>
            <w:top w:val="single" w:sz="12" w:space="0" w:color="4F2D7F" w:themeColor="accent1"/>
          </w:tcBorders>
        </w:tcPr>
        <w:p w14:paraId="0F0946DD" w14:textId="77777777" w:rsidR="000F7B89" w:rsidRPr="00E13BF1" w:rsidRDefault="000F7B89" w:rsidP="006031FC">
          <w:pPr>
            <w:pStyle w:val="NoSpacing"/>
          </w:pPr>
        </w:p>
      </w:tc>
      <w:tc>
        <w:tcPr>
          <w:tcW w:w="79" w:type="pct"/>
          <w:tcBorders>
            <w:top w:val="nil"/>
          </w:tcBorders>
        </w:tcPr>
        <w:p w14:paraId="71F0460D" w14:textId="77777777" w:rsidR="000F7B89" w:rsidRPr="00E13BF1" w:rsidRDefault="000F7B89" w:rsidP="006031FC">
          <w:pPr>
            <w:pStyle w:val="NoSpacing"/>
          </w:pPr>
        </w:p>
      </w:tc>
      <w:tc>
        <w:tcPr>
          <w:tcW w:w="1022" w:type="pct"/>
          <w:tcBorders>
            <w:top w:val="single" w:sz="12" w:space="0" w:color="4F2D7F" w:themeColor="accent1"/>
          </w:tcBorders>
        </w:tcPr>
        <w:p w14:paraId="29BC62A6" w14:textId="77777777" w:rsidR="000F7B89" w:rsidRPr="00E13BF1" w:rsidRDefault="000F7B89" w:rsidP="006031FC">
          <w:pPr>
            <w:pStyle w:val="NoSpacing"/>
          </w:pPr>
        </w:p>
      </w:tc>
    </w:tr>
    <w:tr w:rsidR="000F7B89" w:rsidRPr="00932527" w14:paraId="694AC514" w14:textId="77777777" w:rsidTr="009613DE">
      <w:tc>
        <w:tcPr>
          <w:tcW w:w="3899" w:type="pct"/>
        </w:tcPr>
        <w:p w14:paraId="0877E330" w14:textId="77777777" w:rsidR="000F7B89" w:rsidRPr="00C62864" w:rsidRDefault="000F7B89" w:rsidP="006031FC">
          <w:pPr>
            <w:pStyle w:val="Letterfooter"/>
          </w:pPr>
          <w:r w:rsidRPr="006D0777">
            <w:t>Grant Thornton International Ltd</w:t>
          </w:r>
          <w:r w:rsidRPr="006D0777">
            <w:br/>
            <w:t>VAT reg 888 0195 82. Registered in England. Company number</w:t>
          </w:r>
          <w:r>
            <w:t xml:space="preserve"> </w:t>
          </w:r>
          <w:r w:rsidRPr="006D0777">
            <w:t xml:space="preserve">05523714 </w:t>
          </w:r>
          <w:r w:rsidRPr="006D0777">
            <w:br/>
            <w:t>Grant Thornton International Ltd (GTIL) and the member firms are not a worldwide partnership. GTIL and each member firm is a separate legal entity. Services are delivered independently by the member firms. GTIL does not provide services to clients. GTIL and its member firms are not agents of, and do not obligate, one another and are not liable for one another’s acts or omissions.</w:t>
          </w:r>
        </w:p>
      </w:tc>
      <w:tc>
        <w:tcPr>
          <w:tcW w:w="1101" w:type="pct"/>
          <w:gridSpan w:val="2"/>
          <w:vAlign w:val="bottom"/>
        </w:tcPr>
        <w:p w14:paraId="7A5350AC" w14:textId="77777777" w:rsidR="000F7B89" w:rsidRPr="00CE1F87" w:rsidRDefault="000F7B89" w:rsidP="006031FC">
          <w:pPr>
            <w:pStyle w:val="ReportFooterURL"/>
          </w:pPr>
          <w:r w:rsidRPr="00CE1F87">
            <w:t>grantthornton. global</w:t>
          </w:r>
        </w:p>
      </w:tc>
    </w:tr>
  </w:tbl>
  <w:p w14:paraId="74776DFF" w14:textId="77777777" w:rsidR="000F7B89" w:rsidRPr="000860EA" w:rsidRDefault="000F7B89" w:rsidP="006031FC">
    <w:pPr>
      <w:pStyle w:val="NoSpacing"/>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17564"/>
      <w:docPartObj>
        <w:docPartGallery w:val="Page Numbers (Bottom of Page)"/>
        <w:docPartUnique/>
      </w:docPartObj>
    </w:sdtPr>
    <w:sdtEndPr>
      <w:rPr>
        <w:noProof/>
      </w:rPr>
    </w:sdtEndPr>
    <w:sdtContent>
      <w:p w14:paraId="4CAE7E98" w14:textId="7BA379D0" w:rsidR="00686067" w:rsidRDefault="00686067">
        <w:pPr>
          <w:pStyle w:val="Footer"/>
        </w:pPr>
        <w:r>
          <w:fldChar w:fldCharType="begin"/>
        </w:r>
        <w:r>
          <w:instrText xml:space="preserve"> PAGE   \* MERGEFORMAT </w:instrText>
        </w:r>
        <w:r>
          <w:fldChar w:fldCharType="separate"/>
        </w:r>
        <w:r>
          <w:rPr>
            <w:noProof/>
          </w:rPr>
          <w:t>2</w:t>
        </w:r>
        <w:r>
          <w:rPr>
            <w:noProof/>
          </w:rPr>
          <w:fldChar w:fldCharType="end"/>
        </w:r>
      </w:p>
    </w:sdtContent>
  </w:sdt>
  <w:p w14:paraId="29D01344" w14:textId="77777777" w:rsidR="000F7B89" w:rsidRPr="000860EA" w:rsidRDefault="000F7B89" w:rsidP="006031FC">
    <w:pPr>
      <w:pStyle w:val="NoSpacing"/>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98362"/>
      <w:docPartObj>
        <w:docPartGallery w:val="Page Numbers (Bottom of Page)"/>
        <w:docPartUnique/>
      </w:docPartObj>
    </w:sdtPr>
    <w:sdtEndPr>
      <w:rPr>
        <w:noProof/>
      </w:rPr>
    </w:sdtEndPr>
    <w:sdtContent>
      <w:p w14:paraId="48AA7FC2" w14:textId="2C2E3B67" w:rsidR="00686067" w:rsidRDefault="00686067">
        <w:pPr>
          <w:pStyle w:val="Footer"/>
        </w:pPr>
        <w:r>
          <w:fldChar w:fldCharType="begin"/>
        </w:r>
        <w:r>
          <w:instrText xml:space="preserve"> PAGE   \* MERGEFORMAT </w:instrText>
        </w:r>
        <w:r>
          <w:fldChar w:fldCharType="separate"/>
        </w:r>
        <w:r>
          <w:rPr>
            <w:noProof/>
          </w:rPr>
          <w:t>2</w:t>
        </w:r>
        <w:r>
          <w:rPr>
            <w:noProof/>
          </w:rPr>
          <w:fldChar w:fldCharType="end"/>
        </w:r>
      </w:p>
    </w:sdtContent>
  </w:sdt>
  <w:p w14:paraId="230E5810" w14:textId="77777777" w:rsidR="000F7B89" w:rsidRPr="00961B53" w:rsidRDefault="000F7B89" w:rsidP="00603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CBE4" w14:textId="77777777" w:rsidR="00990647" w:rsidRDefault="00990647" w:rsidP="006031FC">
      <w:r>
        <w:separator/>
      </w:r>
    </w:p>
    <w:p w14:paraId="74C1D319" w14:textId="77777777" w:rsidR="00990647" w:rsidRDefault="00990647"/>
  </w:footnote>
  <w:footnote w:type="continuationSeparator" w:id="0">
    <w:p w14:paraId="1FAAA29D" w14:textId="77777777" w:rsidR="00990647" w:rsidRDefault="00990647" w:rsidP="006031FC">
      <w:r>
        <w:continuationSeparator/>
      </w:r>
    </w:p>
    <w:p w14:paraId="702D2FB5" w14:textId="77777777" w:rsidR="00990647" w:rsidRDefault="00990647" w:rsidP="006031FC"/>
    <w:p w14:paraId="108C2852" w14:textId="77777777" w:rsidR="00990647" w:rsidRDefault="00990647" w:rsidP="006031FC"/>
    <w:p w14:paraId="6BF3851D" w14:textId="77777777" w:rsidR="00990647" w:rsidRDefault="00990647" w:rsidP="006031FC"/>
    <w:p w14:paraId="784693A1" w14:textId="77777777" w:rsidR="00990647" w:rsidRDefault="00990647" w:rsidP="006031FC"/>
    <w:p w14:paraId="469A8F7C" w14:textId="77777777" w:rsidR="00990647" w:rsidRDefault="00990647"/>
  </w:footnote>
  <w:footnote w:type="continuationNotice" w:id="1">
    <w:p w14:paraId="5A03A858" w14:textId="77777777" w:rsidR="00990647" w:rsidRDefault="00990647">
      <w:pPr>
        <w:spacing w:before="0" w:after="0"/>
      </w:pPr>
    </w:p>
  </w:footnote>
  <w:footnote w:id="2">
    <w:p w14:paraId="7E54AED2" w14:textId="763592E3" w:rsidR="001B395A" w:rsidRDefault="001B395A">
      <w:pPr>
        <w:pStyle w:val="FootnoteText"/>
      </w:pPr>
      <w:r>
        <w:rPr>
          <w:rStyle w:val="FootnoteReference"/>
        </w:rPr>
        <w:footnoteRef/>
      </w:r>
      <w:r>
        <w:t xml:space="preserve"> Slouží pro zápis do katastru.</w:t>
      </w:r>
    </w:p>
  </w:footnote>
  <w:footnote w:id="3">
    <w:p w14:paraId="2AC75919" w14:textId="77777777" w:rsidR="00E05196" w:rsidRDefault="00E05196" w:rsidP="00E05196">
      <w:pPr>
        <w:pStyle w:val="FootnoteText"/>
      </w:pPr>
      <w:r>
        <w:rPr>
          <w:rStyle w:val="FootnoteReference"/>
        </w:rPr>
        <w:footnoteRef/>
      </w:r>
      <w:r>
        <w:t xml:space="preserve"> P</w:t>
      </w:r>
      <w:r w:rsidRPr="00F91E8D">
        <w:t>okud žadateli nebyla započítána úhrada dle písmena B tohoto bodu II. nebo pokud nebyla uhrazena žadatelem náhrada za zřízení věcného břemene dle písmena C tohoto bodu II</w:t>
      </w:r>
    </w:p>
  </w:footnote>
  <w:footnote w:id="4">
    <w:p w14:paraId="68A11B93" w14:textId="550DC17F" w:rsidR="00767161" w:rsidRDefault="00767161">
      <w:pPr>
        <w:pStyle w:val="FootnoteText"/>
      </w:pPr>
      <w:r>
        <w:rPr>
          <w:rStyle w:val="FootnoteReference"/>
        </w:rPr>
        <w:footnoteRef/>
      </w:r>
      <w:r>
        <w:t xml:space="preserve"> Stanovisko k problematice oceňování </w:t>
      </w:r>
      <w:r w:rsidR="00A056AA">
        <w:t>věcných břemen dle zákona o oceňování majetku s účinností od 1. ledna 2021. Stanovisko ministerstva financí, odbor 16, Odd. 1602, č. 01/2022/1602 ze dne 6.1.2022.</w:t>
      </w:r>
    </w:p>
  </w:footnote>
  <w:footnote w:id="5">
    <w:p w14:paraId="351FE26E" w14:textId="41AE837D" w:rsidR="00996270" w:rsidRDefault="00996270">
      <w:pPr>
        <w:pStyle w:val="FootnoteText"/>
      </w:pPr>
      <w:r>
        <w:rPr>
          <w:rStyle w:val="FootnoteReference"/>
        </w:rPr>
        <w:footnoteRef/>
      </w:r>
      <w:r>
        <w:t xml:space="preserve"> Koeficient se určí dle tabulky </w:t>
      </w:r>
      <w:r w:rsidRPr="00591567">
        <w:t>č. 1 přílohy č. 22a</w:t>
      </w:r>
      <w:r w:rsidR="004A710C">
        <w:t xml:space="preserve"> oceňovací vyhlášky</w:t>
      </w:r>
      <w:r w:rsidR="005C718B">
        <w:t xml:space="preserve"> </w:t>
      </w:r>
      <w:r w:rsidR="005C718B" w:rsidRPr="005C718B">
        <w:t>441/2013 Sb.</w:t>
      </w:r>
    </w:p>
  </w:footnote>
  <w:footnote w:id="6">
    <w:p w14:paraId="1BB23747" w14:textId="05770675" w:rsidR="008D0389" w:rsidRDefault="008D0389">
      <w:pPr>
        <w:pStyle w:val="FootnoteText"/>
      </w:pPr>
      <w:r>
        <w:rPr>
          <w:rStyle w:val="FootnoteReference"/>
        </w:rPr>
        <w:footnoteRef/>
      </w:r>
      <w:r>
        <w:t xml:space="preserve"> </w:t>
      </w:r>
      <w:r w:rsidR="00957746">
        <w:t xml:space="preserve">Obdobně je již vytvořena výjimka pro </w:t>
      </w:r>
      <w:r w:rsidR="00933223">
        <w:t>zřizování věcných břemen podle energetického zákona</w:t>
      </w:r>
      <w:r w:rsidR="008D4574">
        <w:t xml:space="preserve">, nicméně pro účel korektního výpočtu považujeme </w:t>
      </w:r>
      <w:r w:rsidR="004018B4">
        <w:t xml:space="preserve">širší popis metody, obdobně jako je v jiných cenících za žádoucí. </w:t>
      </w:r>
      <w:r w:rsidR="008D4574">
        <w:t xml:space="preserve"> </w:t>
      </w:r>
      <w:r w:rsidR="004018B4">
        <w:t>Samotn</w:t>
      </w:r>
      <w:r w:rsidR="008E56AD">
        <w:t>ou</w:t>
      </w:r>
      <w:r w:rsidR="004018B4">
        <w:t xml:space="preserve"> indikac</w:t>
      </w:r>
      <w:r w:rsidR="008E56AD">
        <w:t>i</w:t>
      </w:r>
      <w:r w:rsidR="004018B4">
        <w:t xml:space="preserve"> „</w:t>
      </w:r>
      <w:r w:rsidR="00DA518A">
        <w:t xml:space="preserve">podle obecně závazných </w:t>
      </w:r>
      <w:r w:rsidR="00A66E29">
        <w:t>oceňovacích</w:t>
      </w:r>
      <w:r w:rsidR="00DA518A">
        <w:t xml:space="preserve"> právních předpisů</w:t>
      </w:r>
      <w:r w:rsidR="00A66E29">
        <w:t xml:space="preserve">“ </w:t>
      </w:r>
      <w:r w:rsidR="002A1096">
        <w:t xml:space="preserve">může být příliš obecná, a neumožní reflektovat očekávaný výpočet. </w:t>
      </w:r>
      <w:r w:rsidR="00F86DC8">
        <w:t xml:space="preserve">Pro výpočet je možné využít oceňovacích nástrojů, jako jsou například ebreman.cz, vždy je však nutné využívat </w:t>
      </w:r>
      <w:r w:rsidR="002278E0">
        <w:t xml:space="preserve">postupu </w:t>
      </w:r>
      <w:r w:rsidR="00957746" w:rsidRPr="00957746">
        <w:t>§39b vyhlášky č. 441/2013 Sb</w:t>
      </w:r>
      <w:r w:rsidR="002278E0">
        <w:t xml:space="preserve">. včetně </w:t>
      </w:r>
      <w:r w:rsidR="00DD0C03">
        <w:t>vstupních hodnot pro výpočet</w:t>
      </w:r>
      <w:r w:rsidR="00BA1019">
        <w:t xml:space="preserve"> (viz přílohy vyhlášky)</w:t>
      </w:r>
      <w:r w:rsidR="00DD0C0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D394" w14:textId="63072382" w:rsidR="000F7B89" w:rsidRPr="007B0277" w:rsidRDefault="00155255" w:rsidP="006031FC">
    <w:pPr>
      <w:pStyle w:val="BalloonText"/>
    </w:pPr>
    <w:r>
      <w:rPr>
        <w:noProof/>
      </w:rPr>
      <w:drawing>
        <wp:anchor distT="0" distB="0" distL="114300" distR="114300" simplePos="0" relativeHeight="251658245" behindDoc="0" locked="0" layoutInCell="1" allowOverlap="1" wp14:anchorId="425EDD74" wp14:editId="624386CF">
          <wp:simplePos x="0" y="0"/>
          <wp:positionH relativeFrom="column">
            <wp:posOffset>4338955</wp:posOffset>
          </wp:positionH>
          <wp:positionV relativeFrom="paragraph">
            <wp:posOffset>594995</wp:posOffset>
          </wp:positionV>
          <wp:extent cx="2055495" cy="363154"/>
          <wp:effectExtent l="0" t="0" r="1905" b="0"/>
          <wp:wrapNone/>
          <wp:docPr id="11" name="Picture 11" descr="Středočeský kraj buduje databázi pomáhajících - Zprávy z Mníš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ředočeský kraj buduje databázi pomáhajících - Zprávy z Mníš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363154"/>
                  </a:xfrm>
                  <a:prstGeom prst="rect">
                    <a:avLst/>
                  </a:prstGeom>
                  <a:noFill/>
                  <a:ln>
                    <a:noFill/>
                  </a:ln>
                </pic:spPr>
              </pic:pic>
            </a:graphicData>
          </a:graphic>
        </wp:anchor>
      </w:drawing>
    </w:r>
    <w:r w:rsidR="000F7B89" w:rsidRPr="00312F1E">
      <w:rPr>
        <w:noProof/>
      </w:rPr>
      <w:drawing>
        <wp:anchor distT="0" distB="0" distL="114300" distR="114300" simplePos="0" relativeHeight="251658242" behindDoc="0" locked="0" layoutInCell="1" allowOverlap="1" wp14:anchorId="005DD99A" wp14:editId="2B718B57">
          <wp:simplePos x="0" y="0"/>
          <wp:positionH relativeFrom="margin">
            <wp:posOffset>3175</wp:posOffset>
          </wp:positionH>
          <wp:positionV relativeFrom="paragraph">
            <wp:posOffset>564537</wp:posOffset>
          </wp:positionV>
          <wp:extent cx="2131355" cy="395509"/>
          <wp:effectExtent l="0" t="0" r="2540" b="508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stretch>
                    <a:fillRect/>
                  </a:stretch>
                </pic:blipFill>
                <pic:spPr>
                  <a:xfrm>
                    <a:off x="0" y="0"/>
                    <a:ext cx="2131355" cy="395509"/>
                  </a:xfrm>
                  <a:prstGeom prst="rect">
                    <a:avLst/>
                  </a:prstGeom>
                </pic:spPr>
              </pic:pic>
            </a:graphicData>
          </a:graphic>
          <wp14:sizeRelH relativeFrom="page">
            <wp14:pctWidth>0</wp14:pctWidth>
          </wp14:sizeRelH>
          <wp14:sizeRelV relativeFrom="page">
            <wp14:pctHeight>0</wp14:pctHeight>
          </wp14:sizeRelV>
        </wp:anchor>
      </w:drawing>
    </w:r>
    <w:sdt>
      <w:sdtPr>
        <w:id w:val="363560622"/>
        <w:picture/>
      </w:sdtPr>
      <w:sdtContent/>
    </w:sdt>
    <w:sdt>
      <w:sdtPr>
        <w:id w:val="852770835"/>
        <w:picture/>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497F" w14:textId="77777777" w:rsidR="000F7B89" w:rsidRPr="00C30435" w:rsidRDefault="000F7B89" w:rsidP="006031FC">
    <w:pPr>
      <w:pStyle w:val="Header"/>
    </w:pPr>
    <w:r w:rsidRPr="00312F1E">
      <w:rPr>
        <w:noProof/>
      </w:rPr>
      <w:drawing>
        <wp:anchor distT="0" distB="0" distL="114300" distR="114300" simplePos="0" relativeHeight="251658243" behindDoc="0" locked="0" layoutInCell="1" allowOverlap="1" wp14:anchorId="3DFB4A65" wp14:editId="6C61D8FC">
          <wp:simplePos x="0" y="0"/>
          <wp:positionH relativeFrom="margin">
            <wp:posOffset>3810</wp:posOffset>
          </wp:positionH>
          <wp:positionV relativeFrom="paragraph">
            <wp:posOffset>442595</wp:posOffset>
          </wp:positionV>
          <wp:extent cx="2016000" cy="615600"/>
          <wp:effectExtent l="0" t="0" r="3810"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000" cy="61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4D8B" w14:textId="77777777" w:rsidR="000F7B89" w:rsidRPr="00BF42A9" w:rsidRDefault="000F7B89" w:rsidP="006031FC">
    <w:pPr>
      <w:pStyle w:val="Letteraddress"/>
      <w:framePr w:wrap="around"/>
      <w:rPr>
        <w:rStyle w:val="Highlightbold"/>
      </w:rPr>
    </w:pPr>
    <w:r w:rsidRPr="00BF42A9">
      <w:rPr>
        <w:rStyle w:val="Highlightbold"/>
      </w:rPr>
      <w:t>Registered office</w:t>
    </w:r>
  </w:p>
  <w:p w14:paraId="4B2E706A" w14:textId="77777777" w:rsidR="000F7B89" w:rsidRPr="00BF42A9" w:rsidRDefault="000F7B89" w:rsidP="006031FC">
    <w:pPr>
      <w:pStyle w:val="Letteraddress"/>
      <w:framePr w:wrap="around"/>
    </w:pPr>
    <w:r w:rsidRPr="00BF42A9">
      <w:rPr>
        <w:rStyle w:val="Highlightbold"/>
      </w:rPr>
      <w:t>Grant Thornton</w:t>
    </w:r>
    <w:r>
      <w:rPr>
        <w:rStyle w:val="Highlightbold"/>
      </w:rPr>
      <w:t xml:space="preserve"> </w:t>
    </w:r>
    <w:r w:rsidRPr="00BF42A9">
      <w:rPr>
        <w:rStyle w:val="Highlightbold"/>
      </w:rPr>
      <w:t>International Ltd</w:t>
    </w:r>
    <w:r>
      <w:br/>
    </w:r>
    <w:r w:rsidRPr="00BF42A9">
      <w:t>Grant Thornton House</w:t>
    </w:r>
    <w:r>
      <w:br/>
      <w:t xml:space="preserve">22 Melton Street, </w:t>
    </w:r>
    <w:r>
      <w:br/>
      <w:t xml:space="preserve">Euston Square, </w:t>
    </w:r>
    <w:r>
      <w:br/>
      <w:t xml:space="preserve">London, NW1 2EP </w:t>
    </w:r>
    <w:r>
      <w:br/>
    </w:r>
    <w:r w:rsidRPr="00BF42A9">
      <w:t>United Kingdom</w:t>
    </w:r>
  </w:p>
  <w:p w14:paraId="4F9B5EB6" w14:textId="77777777" w:rsidR="000F7B89" w:rsidRDefault="000F7B89" w:rsidP="006031FC">
    <w:pPr>
      <w:pStyle w:val="Letteraddress"/>
      <w:framePr w:wrap="around"/>
    </w:pPr>
    <w:r w:rsidRPr="00395855">
      <w:rPr>
        <w:rStyle w:val="Emphasis"/>
      </w:rPr>
      <w:t>T</w:t>
    </w:r>
    <w:r w:rsidRPr="00BF42A9">
      <w:t xml:space="preserve"> +44 </w:t>
    </w:r>
    <w:r>
      <w:t>(0)</w:t>
    </w:r>
    <w:r w:rsidRPr="00BF42A9">
      <w:t>20 7391 9500</w:t>
    </w:r>
    <w:r w:rsidRPr="00BF42A9">
      <w:br/>
    </w:r>
    <w:r w:rsidRPr="00395855">
      <w:rPr>
        <w:rStyle w:val="Emphasis"/>
      </w:rPr>
      <w:t xml:space="preserve">F </w:t>
    </w:r>
    <w:r w:rsidRPr="00BF42A9">
      <w:t xml:space="preserve">+44 </w:t>
    </w:r>
    <w:r>
      <w:t>(0)</w:t>
    </w:r>
    <w:r w:rsidRPr="00BF42A9">
      <w:t>20 7391 9501</w:t>
    </w:r>
  </w:p>
  <w:p w14:paraId="168D3B8B" w14:textId="77777777" w:rsidR="000F7B89" w:rsidRPr="00BF42A9" w:rsidRDefault="000F7B89" w:rsidP="006031FC">
    <w:pPr>
      <w:pStyle w:val="Letteraddress"/>
      <w:framePr w:wrap="around"/>
    </w:pPr>
    <w:r w:rsidRPr="00BF42A9">
      <w:t xml:space="preserve">linkd.in/grant Thornton </w:t>
    </w:r>
    <w:r>
      <w:br/>
    </w:r>
    <w:r w:rsidRPr="00BF42A9">
      <w:t xml:space="preserve">twitter.com/Grant Thornton </w:t>
    </w:r>
  </w:p>
  <w:p w14:paraId="43320BA7" w14:textId="77777777" w:rsidR="000F7B89" w:rsidRPr="00C30435" w:rsidRDefault="000F7B89" w:rsidP="006031FC">
    <w:pPr>
      <w:pStyle w:val="Header"/>
    </w:pPr>
    <w:r w:rsidRPr="00312F1E">
      <w:rPr>
        <w:noProof/>
      </w:rPr>
      <w:drawing>
        <wp:anchor distT="0" distB="0" distL="114300" distR="114300" simplePos="0" relativeHeight="251658241" behindDoc="0" locked="0" layoutInCell="1" allowOverlap="1" wp14:anchorId="00CE22A7" wp14:editId="7F1411BE">
          <wp:simplePos x="0" y="0"/>
          <wp:positionH relativeFrom="margin">
            <wp:posOffset>3175</wp:posOffset>
          </wp:positionH>
          <wp:positionV relativeFrom="paragraph">
            <wp:posOffset>571604</wp:posOffset>
          </wp:positionV>
          <wp:extent cx="2122105" cy="393792"/>
          <wp:effectExtent l="0" t="0" r="0" b="635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pic:cNvPicPr>
                </pic:nvPicPr>
                <pic:blipFill>
                  <a:blip r:embed="rId1"/>
                  <a:stretch>
                    <a:fillRect/>
                  </a:stretch>
                </pic:blipFill>
                <pic:spPr>
                  <a:xfrm>
                    <a:off x="0" y="0"/>
                    <a:ext cx="2122105" cy="393792"/>
                  </a:xfrm>
                  <a:prstGeom prst="rect">
                    <a:avLst/>
                  </a:prstGeom>
                </pic:spPr>
              </pic:pic>
            </a:graphicData>
          </a:graphic>
          <wp14:sizeRelH relativeFrom="page">
            <wp14:pctWidth>0</wp14:pctWidth>
          </wp14:sizeRelH>
          <wp14:sizeRelV relativeFrom="page">
            <wp14:pctHeight>0</wp14:pctHeight>
          </wp14:sizeRelV>
        </wp:anchor>
      </w:drawing>
    </w:r>
    <w:r w:rsidRPr="00312F1E">
      <w:rPr>
        <w:noProof/>
      </w:rPr>
      <mc:AlternateContent>
        <mc:Choice Requires="wps">
          <w:drawing>
            <wp:anchor distT="0" distB="0" distL="114300" distR="114300" simplePos="0" relativeHeight="251658240" behindDoc="0" locked="0" layoutInCell="1" allowOverlap="1" wp14:anchorId="3FF9A541" wp14:editId="67457DF6">
              <wp:simplePos x="0" y="0"/>
              <wp:positionH relativeFrom="margin">
                <wp:posOffset>7585075</wp:posOffset>
              </wp:positionH>
              <wp:positionV relativeFrom="paragraph">
                <wp:posOffset>844024</wp:posOffset>
              </wp:positionV>
              <wp:extent cx="1933200" cy="4138"/>
              <wp:effectExtent l="0" t="0" r="29210" b="34290"/>
              <wp:wrapNone/>
              <wp:docPr id="157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200" cy="4138"/>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40834"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7.25pt,66.45pt" to="749.4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" strokecolor="#4f2d7f [3204]" strokeweight="1.5pt">
              <o:lock v:ext="edit" shapetype="f"/>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09C0" w14:textId="77777777" w:rsidR="000F7B89" w:rsidRPr="00DC5244" w:rsidRDefault="000F7B89" w:rsidP="00603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9C5DC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9086F92A"/>
    <w:lvl w:ilvl="0">
      <w:start w:val="1"/>
      <w:numFmt w:val="lowerLetter"/>
      <w:pStyle w:val="ListNumber2"/>
      <w:lvlText w:val="%1"/>
      <w:lvlJc w:val="left"/>
      <w:pPr>
        <w:ind w:left="644" w:hanging="360"/>
      </w:pPr>
      <w:rPr>
        <w:rFonts w:hint="default"/>
      </w:rPr>
    </w:lvl>
  </w:abstractNum>
  <w:abstractNum w:abstractNumId="2" w15:restartNumberingAfterBreak="0">
    <w:nsid w:val="FFFFFF88"/>
    <w:multiLevelType w:val="singleLevel"/>
    <w:tmpl w:val="3DC64842"/>
    <w:lvl w:ilvl="0">
      <w:start w:val="1"/>
      <w:numFmt w:val="decimal"/>
      <w:pStyle w:val="ListNumber"/>
      <w:lvlText w:val="%1"/>
      <w:lvlJc w:val="left"/>
      <w:pPr>
        <w:ind w:left="360" w:hanging="360"/>
      </w:pPr>
      <w:rPr>
        <w:rFonts w:hint="default"/>
      </w:rPr>
    </w:lvl>
  </w:abstractNum>
  <w:abstractNum w:abstractNumId="3" w15:restartNumberingAfterBreak="0">
    <w:nsid w:val="FFFFFF89"/>
    <w:multiLevelType w:val="singleLevel"/>
    <w:tmpl w:val="92E8422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840B0C"/>
    <w:multiLevelType w:val="multilevel"/>
    <w:tmpl w:val="A086D796"/>
    <w:styleLink w:val="NumberList"/>
    <w:lvl w:ilvl="0">
      <w:start w:val="1"/>
      <w:numFmt w:val="decimal"/>
      <w:lvlText w:val="%1."/>
      <w:lvlJc w:val="left"/>
      <w:pPr>
        <w:ind w:left="360" w:hanging="360"/>
      </w:pPr>
      <w:rPr>
        <w:rFonts w:hint="default"/>
        <w:color w:val="747678" w:themeColor="text2"/>
      </w:rPr>
    </w:lvl>
    <w:lvl w:ilvl="1">
      <w:start w:val="1"/>
      <w:numFmt w:val="lowerLetter"/>
      <w:lvlText w:val="%2."/>
      <w:lvlJc w:val="left"/>
      <w:pPr>
        <w:ind w:left="567" w:hanging="283"/>
      </w:pPr>
      <w:rPr>
        <w:rFonts w:hint="default"/>
        <w:color w:val="C8BEAF" w:themeColor="accent2"/>
      </w:rPr>
    </w:lvl>
    <w:lvl w:ilvl="2">
      <w:start w:val="1"/>
      <w:numFmt w:val="lowerRoman"/>
      <w:lvlText w:val="%3."/>
      <w:lvlJc w:val="left"/>
      <w:pPr>
        <w:ind w:left="851" w:hanging="284"/>
      </w:pPr>
      <w:rPr>
        <w:rFonts w:hint="default"/>
        <w:color w:val="C8BEAF" w:themeColor="accent2"/>
      </w:rPr>
    </w:lvl>
    <w:lvl w:ilvl="3">
      <w:start w:val="1"/>
      <w:numFmt w:val="none"/>
      <w:lvlText w:val=""/>
      <w:lvlJc w:val="left"/>
      <w:pPr>
        <w:ind w:left="851" w:hanging="284"/>
      </w:pPr>
      <w:rPr>
        <w:rFonts w:hint="default"/>
      </w:rPr>
    </w:lvl>
    <w:lvl w:ilvl="4">
      <w:start w:val="1"/>
      <w:numFmt w:val="none"/>
      <w:lvlText w:val=""/>
      <w:lvlJc w:val="left"/>
      <w:pPr>
        <w:ind w:left="851" w:hanging="284"/>
      </w:pPr>
      <w:rPr>
        <w:rFonts w:hint="default"/>
      </w:rPr>
    </w:lvl>
    <w:lvl w:ilvl="5">
      <w:start w:val="1"/>
      <w:numFmt w:val="none"/>
      <w:lvlText w:val=""/>
      <w:lvlJc w:val="righ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right"/>
      <w:pPr>
        <w:ind w:left="851" w:hanging="284"/>
      </w:pPr>
      <w:rPr>
        <w:rFonts w:hint="default"/>
      </w:rPr>
    </w:lvl>
  </w:abstractNum>
  <w:abstractNum w:abstractNumId="5" w15:restartNumberingAfterBreak="0">
    <w:nsid w:val="0428153F"/>
    <w:multiLevelType w:val="hybridMultilevel"/>
    <w:tmpl w:val="8636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F6298D"/>
    <w:multiLevelType w:val="multilevel"/>
    <w:tmpl w:val="0409001D"/>
    <w:styleLink w:val="Listlevelfor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AB6B70"/>
    <w:multiLevelType w:val="hybridMultilevel"/>
    <w:tmpl w:val="12988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E1350D"/>
    <w:multiLevelType w:val="multilevel"/>
    <w:tmpl w:val="64F4836C"/>
    <w:styleLink w:val="Bulletlist"/>
    <w:lvl w:ilvl="0">
      <w:start w:val="1"/>
      <w:numFmt w:val="bullet"/>
      <w:lvlText w:val="•"/>
      <w:lvlJc w:val="left"/>
      <w:pPr>
        <w:ind w:left="360" w:hanging="360"/>
      </w:pPr>
      <w:rPr>
        <w:rFonts w:ascii="Arial" w:hAnsi="Arial" w:hint="default"/>
        <w:color w:val="000000" w:themeColor="text1"/>
      </w:rPr>
    </w:lvl>
    <w:lvl w:ilvl="1">
      <w:start w:val="1"/>
      <w:numFmt w:val="bullet"/>
      <w:lvlText w:val=""/>
      <w:lvlJc w:val="left"/>
      <w:pPr>
        <w:ind w:left="567" w:hanging="283"/>
      </w:pPr>
      <w:rPr>
        <w:rFonts w:ascii="Symbol" w:hAnsi="Symbol" w:hint="default"/>
        <w:color w:val="696B6B"/>
      </w:rPr>
    </w:lvl>
    <w:lvl w:ilvl="2">
      <w:start w:val="1"/>
      <w:numFmt w:val="bullet"/>
      <w:lvlText w:val="»"/>
      <w:lvlJc w:val="left"/>
      <w:pPr>
        <w:ind w:left="851" w:hanging="284"/>
      </w:pPr>
      <w:rPr>
        <w:rFonts w:ascii="Arial" w:hAnsi="Arial" w:hint="default"/>
        <w:color w:val="000000" w:themeColor="text1"/>
      </w:rPr>
    </w:lvl>
    <w:lvl w:ilvl="3">
      <w:start w:val="1"/>
      <w:numFmt w:val="none"/>
      <w:lvlText w:val=""/>
      <w:lvlJc w:val="left"/>
      <w:pPr>
        <w:ind w:left="851" w:hanging="284"/>
      </w:pPr>
      <w:rPr>
        <w:rFonts w:hint="default"/>
      </w:rPr>
    </w:lvl>
    <w:lvl w:ilvl="4">
      <w:start w:val="1"/>
      <w:numFmt w:val="none"/>
      <w:lvlText w:val=""/>
      <w:lvlJc w:val="left"/>
      <w:pPr>
        <w:ind w:left="851" w:hanging="284"/>
      </w:pPr>
      <w:rPr>
        <w:rFonts w:hint="default"/>
      </w:rPr>
    </w:lvl>
    <w:lvl w:ilvl="5">
      <w:start w:val="1"/>
      <w:numFmt w:val="none"/>
      <w:lvlText w:val=""/>
      <w:lvlJc w:val="lef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left"/>
      <w:pPr>
        <w:ind w:left="851" w:hanging="284"/>
      </w:pPr>
      <w:rPr>
        <w:rFonts w:hint="default"/>
      </w:rPr>
    </w:lvl>
  </w:abstractNum>
  <w:abstractNum w:abstractNumId="9" w15:restartNumberingAfterBreak="0">
    <w:nsid w:val="243F3784"/>
    <w:multiLevelType w:val="multilevel"/>
    <w:tmpl w:val="5402696E"/>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sz w:val="72"/>
        <w:szCs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D8633AA"/>
    <w:multiLevelType w:val="hybridMultilevel"/>
    <w:tmpl w:val="7126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91AB8"/>
    <w:multiLevelType w:val="hybridMultilevel"/>
    <w:tmpl w:val="7892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63D94"/>
    <w:multiLevelType w:val="multilevel"/>
    <w:tmpl w:val="66F098C2"/>
    <w:lvl w:ilvl="0">
      <w:start w:val="1"/>
      <w:numFmt w:val="bullet"/>
      <w:lvlText w:val=""/>
      <w:lvlJc w:val="left"/>
      <w:pPr>
        <w:ind w:left="284" w:hanging="284"/>
      </w:pPr>
      <w:rPr>
        <w:rFonts w:ascii="Symbol" w:hAnsi="Symbol" w:hint="default"/>
        <w:color w:val="auto"/>
        <w:sz w:val="18"/>
      </w:rPr>
    </w:lvl>
    <w:lvl w:ilvl="1">
      <w:start w:val="1"/>
      <w:numFmt w:val="bullet"/>
      <w:lvlText w:val="-"/>
      <w:lvlJc w:val="left"/>
      <w:pPr>
        <w:ind w:left="568" w:hanging="284"/>
      </w:pPr>
      <w:rPr>
        <w:rFonts w:ascii="Arial" w:hAnsi="Arial" w:hint="default"/>
        <w:color w:val="auto"/>
        <w:sz w:val="18"/>
      </w:rPr>
    </w:lvl>
    <w:lvl w:ilvl="2">
      <w:start w:val="1"/>
      <w:numFmt w:val="bullet"/>
      <w:pStyle w:val="ListBullet3"/>
      <w:lvlText w:val=""/>
      <w:lvlJc w:val="left"/>
      <w:pPr>
        <w:ind w:left="852" w:hanging="284"/>
      </w:pPr>
      <w:rPr>
        <w:rFonts w:ascii="Symbol" w:hAnsi="Symbol" w:hint="default"/>
        <w:color w:val="auto"/>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E812B2D"/>
    <w:multiLevelType w:val="hybridMultilevel"/>
    <w:tmpl w:val="4FDAB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DC5DC5"/>
    <w:multiLevelType w:val="hybridMultilevel"/>
    <w:tmpl w:val="78722908"/>
    <w:lvl w:ilvl="0" w:tplc="5F04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E0421"/>
    <w:multiLevelType w:val="hybridMultilevel"/>
    <w:tmpl w:val="268A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C4231"/>
    <w:multiLevelType w:val="hybridMultilevel"/>
    <w:tmpl w:val="01C8A53C"/>
    <w:lvl w:ilvl="0" w:tplc="04090001">
      <w:start w:val="1"/>
      <w:numFmt w:val="bullet"/>
      <w:lvlText w:val=""/>
      <w:lvlJc w:val="left"/>
      <w:pPr>
        <w:ind w:left="4659" w:hanging="360"/>
      </w:pPr>
      <w:rPr>
        <w:rFonts w:ascii="Symbol" w:hAnsi="Symbol" w:hint="default"/>
      </w:rPr>
    </w:lvl>
    <w:lvl w:ilvl="1" w:tplc="04090003">
      <w:start w:val="1"/>
      <w:numFmt w:val="bullet"/>
      <w:lvlText w:val="o"/>
      <w:lvlJc w:val="left"/>
      <w:pPr>
        <w:ind w:left="5379" w:hanging="360"/>
      </w:pPr>
      <w:rPr>
        <w:rFonts w:ascii="Courier New" w:hAnsi="Courier New" w:cs="Courier New" w:hint="default"/>
      </w:rPr>
    </w:lvl>
    <w:lvl w:ilvl="2" w:tplc="04090005" w:tentative="1">
      <w:start w:val="1"/>
      <w:numFmt w:val="bullet"/>
      <w:lvlText w:val=""/>
      <w:lvlJc w:val="left"/>
      <w:pPr>
        <w:ind w:left="6099" w:hanging="360"/>
      </w:pPr>
      <w:rPr>
        <w:rFonts w:ascii="Wingdings" w:hAnsi="Wingdings" w:hint="default"/>
      </w:rPr>
    </w:lvl>
    <w:lvl w:ilvl="3" w:tplc="04090001" w:tentative="1">
      <w:start w:val="1"/>
      <w:numFmt w:val="bullet"/>
      <w:lvlText w:val=""/>
      <w:lvlJc w:val="left"/>
      <w:pPr>
        <w:ind w:left="6819" w:hanging="360"/>
      </w:pPr>
      <w:rPr>
        <w:rFonts w:ascii="Symbol" w:hAnsi="Symbol" w:hint="default"/>
      </w:rPr>
    </w:lvl>
    <w:lvl w:ilvl="4" w:tplc="04090003" w:tentative="1">
      <w:start w:val="1"/>
      <w:numFmt w:val="bullet"/>
      <w:lvlText w:val="o"/>
      <w:lvlJc w:val="left"/>
      <w:pPr>
        <w:ind w:left="7539" w:hanging="360"/>
      </w:pPr>
      <w:rPr>
        <w:rFonts w:ascii="Courier New" w:hAnsi="Courier New" w:cs="Courier New" w:hint="default"/>
      </w:rPr>
    </w:lvl>
    <w:lvl w:ilvl="5" w:tplc="04090005" w:tentative="1">
      <w:start w:val="1"/>
      <w:numFmt w:val="bullet"/>
      <w:lvlText w:val=""/>
      <w:lvlJc w:val="left"/>
      <w:pPr>
        <w:ind w:left="8259" w:hanging="360"/>
      </w:pPr>
      <w:rPr>
        <w:rFonts w:ascii="Wingdings" w:hAnsi="Wingdings" w:hint="default"/>
      </w:rPr>
    </w:lvl>
    <w:lvl w:ilvl="6" w:tplc="04090001" w:tentative="1">
      <w:start w:val="1"/>
      <w:numFmt w:val="bullet"/>
      <w:lvlText w:val=""/>
      <w:lvlJc w:val="left"/>
      <w:pPr>
        <w:ind w:left="8979" w:hanging="360"/>
      </w:pPr>
      <w:rPr>
        <w:rFonts w:ascii="Symbol" w:hAnsi="Symbol" w:hint="default"/>
      </w:rPr>
    </w:lvl>
    <w:lvl w:ilvl="7" w:tplc="04090003" w:tentative="1">
      <w:start w:val="1"/>
      <w:numFmt w:val="bullet"/>
      <w:lvlText w:val="o"/>
      <w:lvlJc w:val="left"/>
      <w:pPr>
        <w:ind w:left="9699" w:hanging="360"/>
      </w:pPr>
      <w:rPr>
        <w:rFonts w:ascii="Courier New" w:hAnsi="Courier New" w:cs="Courier New" w:hint="default"/>
      </w:rPr>
    </w:lvl>
    <w:lvl w:ilvl="8" w:tplc="04090005" w:tentative="1">
      <w:start w:val="1"/>
      <w:numFmt w:val="bullet"/>
      <w:lvlText w:val=""/>
      <w:lvlJc w:val="left"/>
      <w:pPr>
        <w:ind w:left="10419" w:hanging="360"/>
      </w:pPr>
      <w:rPr>
        <w:rFonts w:ascii="Wingdings" w:hAnsi="Wingdings" w:hint="default"/>
      </w:rPr>
    </w:lvl>
  </w:abstractNum>
  <w:abstractNum w:abstractNumId="17" w15:restartNumberingAfterBreak="0">
    <w:nsid w:val="7357181B"/>
    <w:multiLevelType w:val="multilevel"/>
    <w:tmpl w:val="5B182472"/>
    <w:lvl w:ilvl="0">
      <w:start w:val="1"/>
      <w:numFmt w:val="bullet"/>
      <w:pStyle w:val="Bulletlist1"/>
      <w:lvlText w:val=""/>
      <w:lvlJc w:val="left"/>
      <w:pPr>
        <w:ind w:left="284" w:hanging="284"/>
      </w:pPr>
      <w:rPr>
        <w:rFonts w:ascii="Symbol" w:hAnsi="Symbol" w:hint="default"/>
        <w:color w:val="auto"/>
        <w:sz w:val="18"/>
      </w:rPr>
    </w:lvl>
    <w:lvl w:ilvl="1">
      <w:start w:val="1"/>
      <w:numFmt w:val="bullet"/>
      <w:pStyle w:val="Bulletlist2"/>
      <w:lvlText w:val="–"/>
      <w:lvlJc w:val="left"/>
      <w:pPr>
        <w:ind w:left="568" w:hanging="284"/>
      </w:pPr>
      <w:rPr>
        <w:rFonts w:ascii="Arial" w:hAnsi="Arial" w:hint="default"/>
        <w:color w:val="000000" w:themeColor="text1"/>
        <w:sz w:val="18"/>
      </w:rPr>
    </w:lvl>
    <w:lvl w:ilvl="2">
      <w:start w:val="1"/>
      <w:numFmt w:val="bullet"/>
      <w:pStyle w:val="Bulletlist3"/>
      <w:lvlText w:val="–"/>
      <w:lvlJc w:val="left"/>
      <w:pPr>
        <w:ind w:left="852" w:hanging="284"/>
      </w:pPr>
      <w:rPr>
        <w:rFonts w:ascii="Arial" w:hAnsi="Arial" w:hint="default"/>
        <w:color w:val="000000" w:themeColor="text1"/>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3F9732C"/>
    <w:multiLevelType w:val="hybridMultilevel"/>
    <w:tmpl w:val="7842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05763"/>
    <w:multiLevelType w:val="hybridMultilevel"/>
    <w:tmpl w:val="1184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105841">
    <w:abstractNumId w:val="8"/>
  </w:num>
  <w:num w:numId="2" w16cid:durableId="277834597">
    <w:abstractNumId w:val="4"/>
  </w:num>
  <w:num w:numId="3" w16cid:durableId="1628390813">
    <w:abstractNumId w:val="3"/>
  </w:num>
  <w:num w:numId="4" w16cid:durableId="1568998744">
    <w:abstractNumId w:val="6"/>
  </w:num>
  <w:num w:numId="5" w16cid:durableId="7643092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182719">
    <w:abstractNumId w:val="17"/>
  </w:num>
  <w:num w:numId="7" w16cid:durableId="1191722995">
    <w:abstractNumId w:val="2"/>
  </w:num>
  <w:num w:numId="8" w16cid:durableId="135539342">
    <w:abstractNumId w:val="1"/>
  </w:num>
  <w:num w:numId="9" w16cid:durableId="1443188499">
    <w:abstractNumId w:val="0"/>
  </w:num>
  <w:num w:numId="10" w16cid:durableId="1468353609">
    <w:abstractNumId w:val="9"/>
  </w:num>
  <w:num w:numId="11" w16cid:durableId="1559706439">
    <w:abstractNumId w:val="11"/>
  </w:num>
  <w:num w:numId="12" w16cid:durableId="1686714084">
    <w:abstractNumId w:val="18"/>
  </w:num>
  <w:num w:numId="13" w16cid:durableId="1961914998">
    <w:abstractNumId w:val="16"/>
  </w:num>
  <w:num w:numId="14" w16cid:durableId="1905023334">
    <w:abstractNumId w:val="19"/>
  </w:num>
  <w:num w:numId="15" w16cid:durableId="1526600747">
    <w:abstractNumId w:val="15"/>
  </w:num>
  <w:num w:numId="16" w16cid:durableId="1923564715">
    <w:abstractNumId w:val="5"/>
  </w:num>
  <w:num w:numId="17" w16cid:durableId="436753426">
    <w:abstractNumId w:val="10"/>
  </w:num>
  <w:num w:numId="18" w16cid:durableId="2068526534">
    <w:abstractNumId w:val="7"/>
  </w:num>
  <w:num w:numId="19" w16cid:durableId="485098576">
    <w:abstractNumId w:val="14"/>
  </w:num>
  <w:num w:numId="20" w16cid:durableId="53327601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MDIwMDYwNzc2t7RU0lEKTi0uzszPAykwNK4FABETQZ0tAAAA"/>
  </w:docVars>
  <w:rsids>
    <w:rsidRoot w:val="00776D92"/>
    <w:rsid w:val="000001AB"/>
    <w:rsid w:val="00000479"/>
    <w:rsid w:val="0000051A"/>
    <w:rsid w:val="0000131D"/>
    <w:rsid w:val="00002A0C"/>
    <w:rsid w:val="00003505"/>
    <w:rsid w:val="000042E6"/>
    <w:rsid w:val="00004E48"/>
    <w:rsid w:val="00007096"/>
    <w:rsid w:val="00011BAB"/>
    <w:rsid w:val="00012B33"/>
    <w:rsid w:val="000145B6"/>
    <w:rsid w:val="00014616"/>
    <w:rsid w:val="00014FFB"/>
    <w:rsid w:val="000152BE"/>
    <w:rsid w:val="00017037"/>
    <w:rsid w:val="00017B69"/>
    <w:rsid w:val="00020364"/>
    <w:rsid w:val="00021B4B"/>
    <w:rsid w:val="00022622"/>
    <w:rsid w:val="0002296D"/>
    <w:rsid w:val="000244B3"/>
    <w:rsid w:val="00024F6F"/>
    <w:rsid w:val="000251CF"/>
    <w:rsid w:val="00025513"/>
    <w:rsid w:val="00025C59"/>
    <w:rsid w:val="00026621"/>
    <w:rsid w:val="00026A8F"/>
    <w:rsid w:val="00026A94"/>
    <w:rsid w:val="000270D3"/>
    <w:rsid w:val="00027632"/>
    <w:rsid w:val="000278EF"/>
    <w:rsid w:val="00027BBF"/>
    <w:rsid w:val="0003154B"/>
    <w:rsid w:val="00031A33"/>
    <w:rsid w:val="0003313D"/>
    <w:rsid w:val="000335CD"/>
    <w:rsid w:val="00033C43"/>
    <w:rsid w:val="00034216"/>
    <w:rsid w:val="00034544"/>
    <w:rsid w:val="0003535E"/>
    <w:rsid w:val="00035835"/>
    <w:rsid w:val="00037FCC"/>
    <w:rsid w:val="000403D8"/>
    <w:rsid w:val="0004114A"/>
    <w:rsid w:val="0004162A"/>
    <w:rsid w:val="0004187E"/>
    <w:rsid w:val="00042127"/>
    <w:rsid w:val="00044421"/>
    <w:rsid w:val="000449C9"/>
    <w:rsid w:val="00044A6E"/>
    <w:rsid w:val="00044AE3"/>
    <w:rsid w:val="000457EF"/>
    <w:rsid w:val="0004684C"/>
    <w:rsid w:val="00050198"/>
    <w:rsid w:val="000508F5"/>
    <w:rsid w:val="00051247"/>
    <w:rsid w:val="00051D3A"/>
    <w:rsid w:val="00052517"/>
    <w:rsid w:val="00052C62"/>
    <w:rsid w:val="00052C7B"/>
    <w:rsid w:val="00053C49"/>
    <w:rsid w:val="0005449B"/>
    <w:rsid w:val="00054FF5"/>
    <w:rsid w:val="000554CD"/>
    <w:rsid w:val="00055C01"/>
    <w:rsid w:val="0005691C"/>
    <w:rsid w:val="00056E6B"/>
    <w:rsid w:val="00057CD8"/>
    <w:rsid w:val="00060017"/>
    <w:rsid w:val="0006085F"/>
    <w:rsid w:val="00061DF1"/>
    <w:rsid w:val="00062E90"/>
    <w:rsid w:val="00063110"/>
    <w:rsid w:val="0006385C"/>
    <w:rsid w:val="00064331"/>
    <w:rsid w:val="0006570E"/>
    <w:rsid w:val="000657E2"/>
    <w:rsid w:val="000659AB"/>
    <w:rsid w:val="00065C37"/>
    <w:rsid w:val="0006649F"/>
    <w:rsid w:val="00066C39"/>
    <w:rsid w:val="00067364"/>
    <w:rsid w:val="000673A2"/>
    <w:rsid w:val="00067886"/>
    <w:rsid w:val="00067D73"/>
    <w:rsid w:val="0007038A"/>
    <w:rsid w:val="0007099C"/>
    <w:rsid w:val="00071306"/>
    <w:rsid w:val="000724FD"/>
    <w:rsid w:val="00072622"/>
    <w:rsid w:val="00073095"/>
    <w:rsid w:val="000734D7"/>
    <w:rsid w:val="00073576"/>
    <w:rsid w:val="00073ACE"/>
    <w:rsid w:val="00073D2F"/>
    <w:rsid w:val="000743E2"/>
    <w:rsid w:val="00074A6D"/>
    <w:rsid w:val="00075B10"/>
    <w:rsid w:val="000761FB"/>
    <w:rsid w:val="000763F5"/>
    <w:rsid w:val="0007656A"/>
    <w:rsid w:val="00076C3F"/>
    <w:rsid w:val="0007730C"/>
    <w:rsid w:val="00077634"/>
    <w:rsid w:val="000777AD"/>
    <w:rsid w:val="00080E80"/>
    <w:rsid w:val="0008152C"/>
    <w:rsid w:val="000818F5"/>
    <w:rsid w:val="00081B60"/>
    <w:rsid w:val="000841BB"/>
    <w:rsid w:val="0008453C"/>
    <w:rsid w:val="0008457A"/>
    <w:rsid w:val="000849FC"/>
    <w:rsid w:val="00084A57"/>
    <w:rsid w:val="00085069"/>
    <w:rsid w:val="000860EA"/>
    <w:rsid w:val="0008643F"/>
    <w:rsid w:val="00087B4B"/>
    <w:rsid w:val="00087F8F"/>
    <w:rsid w:val="00091810"/>
    <w:rsid w:val="00093F79"/>
    <w:rsid w:val="0009461C"/>
    <w:rsid w:val="000962F8"/>
    <w:rsid w:val="00096894"/>
    <w:rsid w:val="000969D8"/>
    <w:rsid w:val="00096FCE"/>
    <w:rsid w:val="0009738D"/>
    <w:rsid w:val="000973BC"/>
    <w:rsid w:val="000A28BE"/>
    <w:rsid w:val="000A2B63"/>
    <w:rsid w:val="000A2D6D"/>
    <w:rsid w:val="000A2F7A"/>
    <w:rsid w:val="000A3506"/>
    <w:rsid w:val="000A5292"/>
    <w:rsid w:val="000A65C3"/>
    <w:rsid w:val="000A725B"/>
    <w:rsid w:val="000A7AAF"/>
    <w:rsid w:val="000A7AC2"/>
    <w:rsid w:val="000A7B43"/>
    <w:rsid w:val="000A7DDE"/>
    <w:rsid w:val="000A7E41"/>
    <w:rsid w:val="000B0264"/>
    <w:rsid w:val="000B0721"/>
    <w:rsid w:val="000B127C"/>
    <w:rsid w:val="000B1DBA"/>
    <w:rsid w:val="000B2D15"/>
    <w:rsid w:val="000B2E44"/>
    <w:rsid w:val="000B3149"/>
    <w:rsid w:val="000B34BD"/>
    <w:rsid w:val="000B3683"/>
    <w:rsid w:val="000B3CDC"/>
    <w:rsid w:val="000B4F5C"/>
    <w:rsid w:val="000B5229"/>
    <w:rsid w:val="000B5C6E"/>
    <w:rsid w:val="000B5E89"/>
    <w:rsid w:val="000B68C2"/>
    <w:rsid w:val="000B6B86"/>
    <w:rsid w:val="000B6DAD"/>
    <w:rsid w:val="000B6FB5"/>
    <w:rsid w:val="000B7E58"/>
    <w:rsid w:val="000C1A16"/>
    <w:rsid w:val="000C276D"/>
    <w:rsid w:val="000C2A9E"/>
    <w:rsid w:val="000C387C"/>
    <w:rsid w:val="000C4706"/>
    <w:rsid w:val="000C5604"/>
    <w:rsid w:val="000C5E32"/>
    <w:rsid w:val="000C6935"/>
    <w:rsid w:val="000C6EF6"/>
    <w:rsid w:val="000D09BC"/>
    <w:rsid w:val="000D2138"/>
    <w:rsid w:val="000D3C3B"/>
    <w:rsid w:val="000D4056"/>
    <w:rsid w:val="000D47A4"/>
    <w:rsid w:val="000D5557"/>
    <w:rsid w:val="000D5A55"/>
    <w:rsid w:val="000E0841"/>
    <w:rsid w:val="000E0F5D"/>
    <w:rsid w:val="000E27B9"/>
    <w:rsid w:val="000E2FB0"/>
    <w:rsid w:val="000E3300"/>
    <w:rsid w:val="000E33C6"/>
    <w:rsid w:val="000E4717"/>
    <w:rsid w:val="000E48BC"/>
    <w:rsid w:val="000F314E"/>
    <w:rsid w:val="000F37B2"/>
    <w:rsid w:val="000F4900"/>
    <w:rsid w:val="000F4CBB"/>
    <w:rsid w:val="000F5B3F"/>
    <w:rsid w:val="000F6B85"/>
    <w:rsid w:val="000F7B89"/>
    <w:rsid w:val="00102A5D"/>
    <w:rsid w:val="0010395F"/>
    <w:rsid w:val="00103DDA"/>
    <w:rsid w:val="001047E3"/>
    <w:rsid w:val="00104802"/>
    <w:rsid w:val="00104A98"/>
    <w:rsid w:val="00105D59"/>
    <w:rsid w:val="001061AE"/>
    <w:rsid w:val="0010691C"/>
    <w:rsid w:val="00110360"/>
    <w:rsid w:val="001103D7"/>
    <w:rsid w:val="00110A9D"/>
    <w:rsid w:val="001112A9"/>
    <w:rsid w:val="0011163F"/>
    <w:rsid w:val="00112706"/>
    <w:rsid w:val="00112B39"/>
    <w:rsid w:val="00114C59"/>
    <w:rsid w:val="00114E87"/>
    <w:rsid w:val="00116DA0"/>
    <w:rsid w:val="00117A7E"/>
    <w:rsid w:val="00117B48"/>
    <w:rsid w:val="00117D6E"/>
    <w:rsid w:val="00120088"/>
    <w:rsid w:val="00120C04"/>
    <w:rsid w:val="00120DDA"/>
    <w:rsid w:val="00121BCE"/>
    <w:rsid w:val="0012248D"/>
    <w:rsid w:val="0012294A"/>
    <w:rsid w:val="001231F0"/>
    <w:rsid w:val="001235CF"/>
    <w:rsid w:val="00123F4E"/>
    <w:rsid w:val="00125123"/>
    <w:rsid w:val="001263CC"/>
    <w:rsid w:val="00127B62"/>
    <w:rsid w:val="00130832"/>
    <w:rsid w:val="00130F0E"/>
    <w:rsid w:val="00131211"/>
    <w:rsid w:val="00132F86"/>
    <w:rsid w:val="001335EF"/>
    <w:rsid w:val="00133C04"/>
    <w:rsid w:val="001348B7"/>
    <w:rsid w:val="00134A19"/>
    <w:rsid w:val="00135D89"/>
    <w:rsid w:val="00137FA7"/>
    <w:rsid w:val="001416D6"/>
    <w:rsid w:val="00142A38"/>
    <w:rsid w:val="00142E3D"/>
    <w:rsid w:val="00150669"/>
    <w:rsid w:val="00152C87"/>
    <w:rsid w:val="001531C0"/>
    <w:rsid w:val="00154091"/>
    <w:rsid w:val="0015474A"/>
    <w:rsid w:val="00154EE5"/>
    <w:rsid w:val="00155255"/>
    <w:rsid w:val="001555C6"/>
    <w:rsid w:val="0015563E"/>
    <w:rsid w:val="00155EA2"/>
    <w:rsid w:val="00155F40"/>
    <w:rsid w:val="00156F8C"/>
    <w:rsid w:val="001572D9"/>
    <w:rsid w:val="00157659"/>
    <w:rsid w:val="00157885"/>
    <w:rsid w:val="001603E5"/>
    <w:rsid w:val="0016069D"/>
    <w:rsid w:val="00161182"/>
    <w:rsid w:val="001620FD"/>
    <w:rsid w:val="0016215A"/>
    <w:rsid w:val="00162FFD"/>
    <w:rsid w:val="00164443"/>
    <w:rsid w:val="00165818"/>
    <w:rsid w:val="00165DEA"/>
    <w:rsid w:val="00165FDF"/>
    <w:rsid w:val="0016602D"/>
    <w:rsid w:val="00166310"/>
    <w:rsid w:val="00167804"/>
    <w:rsid w:val="00167D8C"/>
    <w:rsid w:val="001700B5"/>
    <w:rsid w:val="001701C7"/>
    <w:rsid w:val="00170ED7"/>
    <w:rsid w:val="00171176"/>
    <w:rsid w:val="00171248"/>
    <w:rsid w:val="001715E3"/>
    <w:rsid w:val="0017169C"/>
    <w:rsid w:val="001723A5"/>
    <w:rsid w:val="001725B9"/>
    <w:rsid w:val="001733A6"/>
    <w:rsid w:val="00174CA9"/>
    <w:rsid w:val="00174F52"/>
    <w:rsid w:val="00175C28"/>
    <w:rsid w:val="00176583"/>
    <w:rsid w:val="00180538"/>
    <w:rsid w:val="00180BBB"/>
    <w:rsid w:val="00181CD7"/>
    <w:rsid w:val="00182530"/>
    <w:rsid w:val="00182CA0"/>
    <w:rsid w:val="00183532"/>
    <w:rsid w:val="00183792"/>
    <w:rsid w:val="00183C31"/>
    <w:rsid w:val="00185066"/>
    <w:rsid w:val="001851FA"/>
    <w:rsid w:val="00187CB1"/>
    <w:rsid w:val="00187D00"/>
    <w:rsid w:val="001914CD"/>
    <w:rsid w:val="00191908"/>
    <w:rsid w:val="001936D3"/>
    <w:rsid w:val="00193EA3"/>
    <w:rsid w:val="00195234"/>
    <w:rsid w:val="001958B7"/>
    <w:rsid w:val="001970D3"/>
    <w:rsid w:val="001975F2"/>
    <w:rsid w:val="00197C06"/>
    <w:rsid w:val="001A02CF"/>
    <w:rsid w:val="001A0958"/>
    <w:rsid w:val="001A095D"/>
    <w:rsid w:val="001A1405"/>
    <w:rsid w:val="001A21AB"/>
    <w:rsid w:val="001A2231"/>
    <w:rsid w:val="001A25D6"/>
    <w:rsid w:val="001A2789"/>
    <w:rsid w:val="001A2797"/>
    <w:rsid w:val="001A2F9A"/>
    <w:rsid w:val="001A30FD"/>
    <w:rsid w:val="001A3C5C"/>
    <w:rsid w:val="001A4929"/>
    <w:rsid w:val="001A581A"/>
    <w:rsid w:val="001A658E"/>
    <w:rsid w:val="001A6CC9"/>
    <w:rsid w:val="001A6FF7"/>
    <w:rsid w:val="001A7AB4"/>
    <w:rsid w:val="001B038F"/>
    <w:rsid w:val="001B0615"/>
    <w:rsid w:val="001B112D"/>
    <w:rsid w:val="001B1408"/>
    <w:rsid w:val="001B16BA"/>
    <w:rsid w:val="001B2FCE"/>
    <w:rsid w:val="001B395A"/>
    <w:rsid w:val="001B68C6"/>
    <w:rsid w:val="001B6D68"/>
    <w:rsid w:val="001B75F6"/>
    <w:rsid w:val="001B7BA8"/>
    <w:rsid w:val="001B7FD8"/>
    <w:rsid w:val="001C01CD"/>
    <w:rsid w:val="001C0BBD"/>
    <w:rsid w:val="001C162F"/>
    <w:rsid w:val="001C2ABF"/>
    <w:rsid w:val="001C33C1"/>
    <w:rsid w:val="001C34A4"/>
    <w:rsid w:val="001C38D4"/>
    <w:rsid w:val="001C3FB7"/>
    <w:rsid w:val="001C4058"/>
    <w:rsid w:val="001C496D"/>
    <w:rsid w:val="001C4F11"/>
    <w:rsid w:val="001C6738"/>
    <w:rsid w:val="001D0841"/>
    <w:rsid w:val="001D320D"/>
    <w:rsid w:val="001D3F4C"/>
    <w:rsid w:val="001D47B9"/>
    <w:rsid w:val="001D695F"/>
    <w:rsid w:val="001D7577"/>
    <w:rsid w:val="001D7A66"/>
    <w:rsid w:val="001E17E5"/>
    <w:rsid w:val="001E273D"/>
    <w:rsid w:val="001E2920"/>
    <w:rsid w:val="001E635D"/>
    <w:rsid w:val="001E674F"/>
    <w:rsid w:val="001E794D"/>
    <w:rsid w:val="001F030D"/>
    <w:rsid w:val="001F0B32"/>
    <w:rsid w:val="001F0E4E"/>
    <w:rsid w:val="001F1D7D"/>
    <w:rsid w:val="001F22FE"/>
    <w:rsid w:val="001F30A7"/>
    <w:rsid w:val="001F4DBF"/>
    <w:rsid w:val="001F52B4"/>
    <w:rsid w:val="001F582F"/>
    <w:rsid w:val="001F5ABA"/>
    <w:rsid w:val="001F726B"/>
    <w:rsid w:val="001F7282"/>
    <w:rsid w:val="00200334"/>
    <w:rsid w:val="0020112A"/>
    <w:rsid w:val="00201C7E"/>
    <w:rsid w:val="00201E6A"/>
    <w:rsid w:val="0020320A"/>
    <w:rsid w:val="00203D38"/>
    <w:rsid w:val="002055FF"/>
    <w:rsid w:val="002058D9"/>
    <w:rsid w:val="002064DB"/>
    <w:rsid w:val="00210A78"/>
    <w:rsid w:val="00211039"/>
    <w:rsid w:val="002115E8"/>
    <w:rsid w:val="00211BCF"/>
    <w:rsid w:val="002131AC"/>
    <w:rsid w:val="0021433C"/>
    <w:rsid w:val="00214A40"/>
    <w:rsid w:val="0021599A"/>
    <w:rsid w:val="00215DD1"/>
    <w:rsid w:val="00216366"/>
    <w:rsid w:val="0021671D"/>
    <w:rsid w:val="00216EE5"/>
    <w:rsid w:val="002178B2"/>
    <w:rsid w:val="0022040F"/>
    <w:rsid w:val="002206A0"/>
    <w:rsid w:val="00221346"/>
    <w:rsid w:val="00223160"/>
    <w:rsid w:val="00223AA1"/>
    <w:rsid w:val="00223AFF"/>
    <w:rsid w:val="00224D4A"/>
    <w:rsid w:val="002257F5"/>
    <w:rsid w:val="00226F5C"/>
    <w:rsid w:val="00226F64"/>
    <w:rsid w:val="002278E0"/>
    <w:rsid w:val="00230145"/>
    <w:rsid w:val="00231076"/>
    <w:rsid w:val="00231F3A"/>
    <w:rsid w:val="0023265C"/>
    <w:rsid w:val="002340BF"/>
    <w:rsid w:val="0023425A"/>
    <w:rsid w:val="002351CF"/>
    <w:rsid w:val="002353FA"/>
    <w:rsid w:val="00235F2F"/>
    <w:rsid w:val="00236D40"/>
    <w:rsid w:val="00240238"/>
    <w:rsid w:val="002405A2"/>
    <w:rsid w:val="002408F4"/>
    <w:rsid w:val="002416E0"/>
    <w:rsid w:val="00241BC2"/>
    <w:rsid w:val="00244172"/>
    <w:rsid w:val="0024434E"/>
    <w:rsid w:val="00244BE8"/>
    <w:rsid w:val="00245245"/>
    <w:rsid w:val="0024528D"/>
    <w:rsid w:val="00246948"/>
    <w:rsid w:val="002469A3"/>
    <w:rsid w:val="00246C76"/>
    <w:rsid w:val="00246C98"/>
    <w:rsid w:val="00247348"/>
    <w:rsid w:val="0024744B"/>
    <w:rsid w:val="00250083"/>
    <w:rsid w:val="00254C62"/>
    <w:rsid w:val="00254D86"/>
    <w:rsid w:val="00255450"/>
    <w:rsid w:val="00255EC7"/>
    <w:rsid w:val="00257FA8"/>
    <w:rsid w:val="00260BCF"/>
    <w:rsid w:val="00261C21"/>
    <w:rsid w:val="00262D98"/>
    <w:rsid w:val="002656CB"/>
    <w:rsid w:val="00265A5E"/>
    <w:rsid w:val="00265D85"/>
    <w:rsid w:val="00265FDA"/>
    <w:rsid w:val="00266721"/>
    <w:rsid w:val="0026690E"/>
    <w:rsid w:val="00266CD0"/>
    <w:rsid w:val="002671A8"/>
    <w:rsid w:val="00267C88"/>
    <w:rsid w:val="0027004C"/>
    <w:rsid w:val="00270E8A"/>
    <w:rsid w:val="0027138E"/>
    <w:rsid w:val="0027251C"/>
    <w:rsid w:val="00272C3B"/>
    <w:rsid w:val="00272E81"/>
    <w:rsid w:val="00273054"/>
    <w:rsid w:val="0027342D"/>
    <w:rsid w:val="00273CB9"/>
    <w:rsid w:val="00274D57"/>
    <w:rsid w:val="00276108"/>
    <w:rsid w:val="00276B72"/>
    <w:rsid w:val="00277A64"/>
    <w:rsid w:val="00277D3F"/>
    <w:rsid w:val="002804CA"/>
    <w:rsid w:val="00280E02"/>
    <w:rsid w:val="00282238"/>
    <w:rsid w:val="0028319C"/>
    <w:rsid w:val="00283D04"/>
    <w:rsid w:val="00284485"/>
    <w:rsid w:val="00285824"/>
    <w:rsid w:val="0028705E"/>
    <w:rsid w:val="00287990"/>
    <w:rsid w:val="00287B50"/>
    <w:rsid w:val="00290938"/>
    <w:rsid w:val="00290C5C"/>
    <w:rsid w:val="00290C8B"/>
    <w:rsid w:val="0029295F"/>
    <w:rsid w:val="00293302"/>
    <w:rsid w:val="0029354A"/>
    <w:rsid w:val="00294E6D"/>
    <w:rsid w:val="002956BD"/>
    <w:rsid w:val="00296553"/>
    <w:rsid w:val="0029722D"/>
    <w:rsid w:val="002A0B55"/>
    <w:rsid w:val="002A0E79"/>
    <w:rsid w:val="002A1096"/>
    <w:rsid w:val="002A136D"/>
    <w:rsid w:val="002A26D8"/>
    <w:rsid w:val="002A2C38"/>
    <w:rsid w:val="002A3523"/>
    <w:rsid w:val="002A35B8"/>
    <w:rsid w:val="002A62B5"/>
    <w:rsid w:val="002A6904"/>
    <w:rsid w:val="002A7B36"/>
    <w:rsid w:val="002B0230"/>
    <w:rsid w:val="002B1388"/>
    <w:rsid w:val="002B16B1"/>
    <w:rsid w:val="002B1A91"/>
    <w:rsid w:val="002B1A98"/>
    <w:rsid w:val="002B30EF"/>
    <w:rsid w:val="002B400C"/>
    <w:rsid w:val="002B46C9"/>
    <w:rsid w:val="002B4E1F"/>
    <w:rsid w:val="002B74EE"/>
    <w:rsid w:val="002C0A62"/>
    <w:rsid w:val="002C1138"/>
    <w:rsid w:val="002C15C5"/>
    <w:rsid w:val="002C1757"/>
    <w:rsid w:val="002C4479"/>
    <w:rsid w:val="002C54F7"/>
    <w:rsid w:val="002C6F61"/>
    <w:rsid w:val="002D0FB5"/>
    <w:rsid w:val="002D1450"/>
    <w:rsid w:val="002D1B06"/>
    <w:rsid w:val="002D223D"/>
    <w:rsid w:val="002D4E57"/>
    <w:rsid w:val="002D54D4"/>
    <w:rsid w:val="002D6052"/>
    <w:rsid w:val="002D6786"/>
    <w:rsid w:val="002D6A19"/>
    <w:rsid w:val="002D7C63"/>
    <w:rsid w:val="002E0237"/>
    <w:rsid w:val="002E23CA"/>
    <w:rsid w:val="002E298E"/>
    <w:rsid w:val="002E323D"/>
    <w:rsid w:val="002E51E1"/>
    <w:rsid w:val="002E596C"/>
    <w:rsid w:val="002E5F32"/>
    <w:rsid w:val="002E666A"/>
    <w:rsid w:val="002E708C"/>
    <w:rsid w:val="002F099B"/>
    <w:rsid w:val="002F1015"/>
    <w:rsid w:val="002F1A0F"/>
    <w:rsid w:val="002F31C7"/>
    <w:rsid w:val="002F3477"/>
    <w:rsid w:val="002F7101"/>
    <w:rsid w:val="002F76F1"/>
    <w:rsid w:val="00300BB2"/>
    <w:rsid w:val="003038E6"/>
    <w:rsid w:val="0030546F"/>
    <w:rsid w:val="0030558E"/>
    <w:rsid w:val="00305A8A"/>
    <w:rsid w:val="00307A1C"/>
    <w:rsid w:val="00310816"/>
    <w:rsid w:val="00311670"/>
    <w:rsid w:val="00312F1E"/>
    <w:rsid w:val="00314AF8"/>
    <w:rsid w:val="00314BC5"/>
    <w:rsid w:val="00316715"/>
    <w:rsid w:val="00316F55"/>
    <w:rsid w:val="00317089"/>
    <w:rsid w:val="0031752A"/>
    <w:rsid w:val="00317D5F"/>
    <w:rsid w:val="00320B9F"/>
    <w:rsid w:val="00320F96"/>
    <w:rsid w:val="00321BA3"/>
    <w:rsid w:val="00321F7A"/>
    <w:rsid w:val="00322B73"/>
    <w:rsid w:val="00322BB9"/>
    <w:rsid w:val="00323611"/>
    <w:rsid w:val="00323B5F"/>
    <w:rsid w:val="003244DE"/>
    <w:rsid w:val="003252B2"/>
    <w:rsid w:val="003264EF"/>
    <w:rsid w:val="00326595"/>
    <w:rsid w:val="003268CE"/>
    <w:rsid w:val="00327163"/>
    <w:rsid w:val="003308FB"/>
    <w:rsid w:val="00330D3A"/>
    <w:rsid w:val="00331145"/>
    <w:rsid w:val="00333E6F"/>
    <w:rsid w:val="003341F2"/>
    <w:rsid w:val="0033453A"/>
    <w:rsid w:val="00334E1B"/>
    <w:rsid w:val="00335023"/>
    <w:rsid w:val="0033530B"/>
    <w:rsid w:val="003355E7"/>
    <w:rsid w:val="00335677"/>
    <w:rsid w:val="00335975"/>
    <w:rsid w:val="00335A32"/>
    <w:rsid w:val="003377E3"/>
    <w:rsid w:val="0033784A"/>
    <w:rsid w:val="003400FB"/>
    <w:rsid w:val="003404CF"/>
    <w:rsid w:val="0034059F"/>
    <w:rsid w:val="003409AD"/>
    <w:rsid w:val="0034184C"/>
    <w:rsid w:val="00341B4D"/>
    <w:rsid w:val="00341FAE"/>
    <w:rsid w:val="003428DA"/>
    <w:rsid w:val="00342B4D"/>
    <w:rsid w:val="00342F20"/>
    <w:rsid w:val="00342FC2"/>
    <w:rsid w:val="0034347E"/>
    <w:rsid w:val="003434A0"/>
    <w:rsid w:val="0034391C"/>
    <w:rsid w:val="00344789"/>
    <w:rsid w:val="00345713"/>
    <w:rsid w:val="00345929"/>
    <w:rsid w:val="00347D2D"/>
    <w:rsid w:val="0035083A"/>
    <w:rsid w:val="00351024"/>
    <w:rsid w:val="003511F6"/>
    <w:rsid w:val="00353455"/>
    <w:rsid w:val="00355784"/>
    <w:rsid w:val="00355D33"/>
    <w:rsid w:val="00356260"/>
    <w:rsid w:val="00356ACD"/>
    <w:rsid w:val="003572A9"/>
    <w:rsid w:val="003576B3"/>
    <w:rsid w:val="00357E42"/>
    <w:rsid w:val="00357FD2"/>
    <w:rsid w:val="00360053"/>
    <w:rsid w:val="003612D1"/>
    <w:rsid w:val="003614A7"/>
    <w:rsid w:val="00363B51"/>
    <w:rsid w:val="003648AC"/>
    <w:rsid w:val="00365C9F"/>
    <w:rsid w:val="00366469"/>
    <w:rsid w:val="00366C09"/>
    <w:rsid w:val="00366FDD"/>
    <w:rsid w:val="003675C8"/>
    <w:rsid w:val="00367841"/>
    <w:rsid w:val="00367FDF"/>
    <w:rsid w:val="0037360C"/>
    <w:rsid w:val="00374EA2"/>
    <w:rsid w:val="00376710"/>
    <w:rsid w:val="0037704D"/>
    <w:rsid w:val="00377F80"/>
    <w:rsid w:val="00380935"/>
    <w:rsid w:val="00380A66"/>
    <w:rsid w:val="003811E3"/>
    <w:rsid w:val="0038188C"/>
    <w:rsid w:val="00381BC8"/>
    <w:rsid w:val="00381E29"/>
    <w:rsid w:val="003829DF"/>
    <w:rsid w:val="00384039"/>
    <w:rsid w:val="003844DB"/>
    <w:rsid w:val="003845E0"/>
    <w:rsid w:val="0038509A"/>
    <w:rsid w:val="003859C4"/>
    <w:rsid w:val="0038707D"/>
    <w:rsid w:val="0038762B"/>
    <w:rsid w:val="00387E59"/>
    <w:rsid w:val="00391010"/>
    <w:rsid w:val="00391656"/>
    <w:rsid w:val="00392316"/>
    <w:rsid w:val="00393A8F"/>
    <w:rsid w:val="00395855"/>
    <w:rsid w:val="00396213"/>
    <w:rsid w:val="00396A1D"/>
    <w:rsid w:val="003973C1"/>
    <w:rsid w:val="00397931"/>
    <w:rsid w:val="00397AC2"/>
    <w:rsid w:val="00397C05"/>
    <w:rsid w:val="003A17D9"/>
    <w:rsid w:val="003A17F3"/>
    <w:rsid w:val="003A20BA"/>
    <w:rsid w:val="003A29D7"/>
    <w:rsid w:val="003A2A5C"/>
    <w:rsid w:val="003A35F9"/>
    <w:rsid w:val="003A3863"/>
    <w:rsid w:val="003A38B5"/>
    <w:rsid w:val="003A3F85"/>
    <w:rsid w:val="003A4B5F"/>
    <w:rsid w:val="003A4ED3"/>
    <w:rsid w:val="003A5CE2"/>
    <w:rsid w:val="003A7C07"/>
    <w:rsid w:val="003B0C56"/>
    <w:rsid w:val="003B0D4F"/>
    <w:rsid w:val="003B1444"/>
    <w:rsid w:val="003B268C"/>
    <w:rsid w:val="003B35CE"/>
    <w:rsid w:val="003B3989"/>
    <w:rsid w:val="003B39E7"/>
    <w:rsid w:val="003B4585"/>
    <w:rsid w:val="003B4D97"/>
    <w:rsid w:val="003B697C"/>
    <w:rsid w:val="003B6A45"/>
    <w:rsid w:val="003B6ACD"/>
    <w:rsid w:val="003C3055"/>
    <w:rsid w:val="003C4895"/>
    <w:rsid w:val="003C4C49"/>
    <w:rsid w:val="003C5511"/>
    <w:rsid w:val="003C6A10"/>
    <w:rsid w:val="003C6A2E"/>
    <w:rsid w:val="003C6C81"/>
    <w:rsid w:val="003C7B41"/>
    <w:rsid w:val="003D0112"/>
    <w:rsid w:val="003D20F7"/>
    <w:rsid w:val="003D413E"/>
    <w:rsid w:val="003D61C2"/>
    <w:rsid w:val="003D6644"/>
    <w:rsid w:val="003D7467"/>
    <w:rsid w:val="003D7793"/>
    <w:rsid w:val="003D7E64"/>
    <w:rsid w:val="003E07B0"/>
    <w:rsid w:val="003E0C0D"/>
    <w:rsid w:val="003E2314"/>
    <w:rsid w:val="003E3127"/>
    <w:rsid w:val="003E36DC"/>
    <w:rsid w:val="003E3FA9"/>
    <w:rsid w:val="003E433E"/>
    <w:rsid w:val="003E55E4"/>
    <w:rsid w:val="003E56D7"/>
    <w:rsid w:val="003E5C66"/>
    <w:rsid w:val="003E6553"/>
    <w:rsid w:val="003E68DD"/>
    <w:rsid w:val="003E704D"/>
    <w:rsid w:val="003E7583"/>
    <w:rsid w:val="003E7EBC"/>
    <w:rsid w:val="003F05DF"/>
    <w:rsid w:val="003F07BE"/>
    <w:rsid w:val="003F0E05"/>
    <w:rsid w:val="003F15AD"/>
    <w:rsid w:val="003F2C3C"/>
    <w:rsid w:val="003F2F7C"/>
    <w:rsid w:val="003F3467"/>
    <w:rsid w:val="003F416B"/>
    <w:rsid w:val="003F4283"/>
    <w:rsid w:val="003F5C1A"/>
    <w:rsid w:val="003F5D00"/>
    <w:rsid w:val="003F5FF3"/>
    <w:rsid w:val="00400503"/>
    <w:rsid w:val="004008CC"/>
    <w:rsid w:val="004018B4"/>
    <w:rsid w:val="004019E9"/>
    <w:rsid w:val="004025CD"/>
    <w:rsid w:val="00402CE7"/>
    <w:rsid w:val="00402D8D"/>
    <w:rsid w:val="0040463C"/>
    <w:rsid w:val="004062CA"/>
    <w:rsid w:val="004063B5"/>
    <w:rsid w:val="00406C10"/>
    <w:rsid w:val="0040792A"/>
    <w:rsid w:val="00407CDF"/>
    <w:rsid w:val="00410204"/>
    <w:rsid w:val="00411064"/>
    <w:rsid w:val="004113A3"/>
    <w:rsid w:val="0041195D"/>
    <w:rsid w:val="0041301C"/>
    <w:rsid w:val="004132F3"/>
    <w:rsid w:val="004134C0"/>
    <w:rsid w:val="004136C0"/>
    <w:rsid w:val="00414DCE"/>
    <w:rsid w:val="00414E43"/>
    <w:rsid w:val="004154DF"/>
    <w:rsid w:val="00415A93"/>
    <w:rsid w:val="00416FD1"/>
    <w:rsid w:val="004174A7"/>
    <w:rsid w:val="004211A9"/>
    <w:rsid w:val="004215E3"/>
    <w:rsid w:val="0042347D"/>
    <w:rsid w:val="00423F07"/>
    <w:rsid w:val="00424D50"/>
    <w:rsid w:val="004272BA"/>
    <w:rsid w:val="00427641"/>
    <w:rsid w:val="00432A9B"/>
    <w:rsid w:val="00432C3F"/>
    <w:rsid w:val="00433329"/>
    <w:rsid w:val="00433D05"/>
    <w:rsid w:val="00434271"/>
    <w:rsid w:val="0043467B"/>
    <w:rsid w:val="00436BA4"/>
    <w:rsid w:val="00436E06"/>
    <w:rsid w:val="00437FC7"/>
    <w:rsid w:val="004410B8"/>
    <w:rsid w:val="004412B3"/>
    <w:rsid w:val="004416B8"/>
    <w:rsid w:val="00441B68"/>
    <w:rsid w:val="0044272D"/>
    <w:rsid w:val="0044344B"/>
    <w:rsid w:val="004435EA"/>
    <w:rsid w:val="00445205"/>
    <w:rsid w:val="0044526F"/>
    <w:rsid w:val="00445D34"/>
    <w:rsid w:val="00446260"/>
    <w:rsid w:val="004505C9"/>
    <w:rsid w:val="00450E28"/>
    <w:rsid w:val="004522D1"/>
    <w:rsid w:val="00454692"/>
    <w:rsid w:val="004549A6"/>
    <w:rsid w:val="00454AB5"/>
    <w:rsid w:val="00457E29"/>
    <w:rsid w:val="00460113"/>
    <w:rsid w:val="0046013A"/>
    <w:rsid w:val="00460283"/>
    <w:rsid w:val="00460F9B"/>
    <w:rsid w:val="00461214"/>
    <w:rsid w:val="0046146A"/>
    <w:rsid w:val="0046324A"/>
    <w:rsid w:val="00463338"/>
    <w:rsid w:val="00463C91"/>
    <w:rsid w:val="00464174"/>
    <w:rsid w:val="00464CDB"/>
    <w:rsid w:val="00465688"/>
    <w:rsid w:val="0046686C"/>
    <w:rsid w:val="004670A8"/>
    <w:rsid w:val="0046722F"/>
    <w:rsid w:val="00471FA9"/>
    <w:rsid w:val="0047283C"/>
    <w:rsid w:val="00472947"/>
    <w:rsid w:val="0047383C"/>
    <w:rsid w:val="00473CD2"/>
    <w:rsid w:val="00475A5F"/>
    <w:rsid w:val="00475BCB"/>
    <w:rsid w:val="00475E46"/>
    <w:rsid w:val="00476484"/>
    <w:rsid w:val="00476535"/>
    <w:rsid w:val="00476FF6"/>
    <w:rsid w:val="00477CE3"/>
    <w:rsid w:val="004805D0"/>
    <w:rsid w:val="00480CC4"/>
    <w:rsid w:val="00481145"/>
    <w:rsid w:val="00481B96"/>
    <w:rsid w:val="00482AF7"/>
    <w:rsid w:val="00483730"/>
    <w:rsid w:val="00483A80"/>
    <w:rsid w:val="00483D8D"/>
    <w:rsid w:val="004849A7"/>
    <w:rsid w:val="00484A1C"/>
    <w:rsid w:val="004869CC"/>
    <w:rsid w:val="00486C68"/>
    <w:rsid w:val="0048780E"/>
    <w:rsid w:val="00491129"/>
    <w:rsid w:val="004915C8"/>
    <w:rsid w:val="004917E3"/>
    <w:rsid w:val="004931CF"/>
    <w:rsid w:val="00493E43"/>
    <w:rsid w:val="00493EBE"/>
    <w:rsid w:val="00495420"/>
    <w:rsid w:val="004979CC"/>
    <w:rsid w:val="004A03B6"/>
    <w:rsid w:val="004A2FC5"/>
    <w:rsid w:val="004A3962"/>
    <w:rsid w:val="004A3D58"/>
    <w:rsid w:val="004A41DE"/>
    <w:rsid w:val="004A4408"/>
    <w:rsid w:val="004A4889"/>
    <w:rsid w:val="004A52CE"/>
    <w:rsid w:val="004A5656"/>
    <w:rsid w:val="004A608E"/>
    <w:rsid w:val="004A6A8C"/>
    <w:rsid w:val="004A710C"/>
    <w:rsid w:val="004A74FD"/>
    <w:rsid w:val="004B058C"/>
    <w:rsid w:val="004B06D7"/>
    <w:rsid w:val="004B1690"/>
    <w:rsid w:val="004B307A"/>
    <w:rsid w:val="004B3F99"/>
    <w:rsid w:val="004B58E8"/>
    <w:rsid w:val="004B5BD3"/>
    <w:rsid w:val="004B65A4"/>
    <w:rsid w:val="004B6DF6"/>
    <w:rsid w:val="004C217D"/>
    <w:rsid w:val="004C2F8A"/>
    <w:rsid w:val="004C3B3B"/>
    <w:rsid w:val="004C504E"/>
    <w:rsid w:val="004C516B"/>
    <w:rsid w:val="004C5732"/>
    <w:rsid w:val="004C5FFA"/>
    <w:rsid w:val="004C7921"/>
    <w:rsid w:val="004D00B7"/>
    <w:rsid w:val="004D00FD"/>
    <w:rsid w:val="004D0B5F"/>
    <w:rsid w:val="004D279C"/>
    <w:rsid w:val="004D39B5"/>
    <w:rsid w:val="004D3C04"/>
    <w:rsid w:val="004D4FC5"/>
    <w:rsid w:val="004D57D1"/>
    <w:rsid w:val="004D729F"/>
    <w:rsid w:val="004D7ABC"/>
    <w:rsid w:val="004D7DB7"/>
    <w:rsid w:val="004E0356"/>
    <w:rsid w:val="004E12F8"/>
    <w:rsid w:val="004E4B9A"/>
    <w:rsid w:val="004E588C"/>
    <w:rsid w:val="004E6362"/>
    <w:rsid w:val="004E6779"/>
    <w:rsid w:val="004F052A"/>
    <w:rsid w:val="004F1F08"/>
    <w:rsid w:val="004F2947"/>
    <w:rsid w:val="004F41D6"/>
    <w:rsid w:val="004F437B"/>
    <w:rsid w:val="004F4808"/>
    <w:rsid w:val="004F4809"/>
    <w:rsid w:val="004F59D4"/>
    <w:rsid w:val="004F5CBE"/>
    <w:rsid w:val="004F63AC"/>
    <w:rsid w:val="004F68E6"/>
    <w:rsid w:val="004F7F5E"/>
    <w:rsid w:val="00500571"/>
    <w:rsid w:val="00500EAF"/>
    <w:rsid w:val="005011AE"/>
    <w:rsid w:val="00501367"/>
    <w:rsid w:val="00501AF8"/>
    <w:rsid w:val="00502336"/>
    <w:rsid w:val="005031C9"/>
    <w:rsid w:val="0050417A"/>
    <w:rsid w:val="00504245"/>
    <w:rsid w:val="00504A99"/>
    <w:rsid w:val="0050540F"/>
    <w:rsid w:val="00506B17"/>
    <w:rsid w:val="005070DE"/>
    <w:rsid w:val="00507FB5"/>
    <w:rsid w:val="005105DC"/>
    <w:rsid w:val="00510F2B"/>
    <w:rsid w:val="005115DD"/>
    <w:rsid w:val="00511CF4"/>
    <w:rsid w:val="00513D7F"/>
    <w:rsid w:val="00514114"/>
    <w:rsid w:val="0051578C"/>
    <w:rsid w:val="00515C4F"/>
    <w:rsid w:val="005164BD"/>
    <w:rsid w:val="00517C9D"/>
    <w:rsid w:val="0052169E"/>
    <w:rsid w:val="00521B55"/>
    <w:rsid w:val="00522648"/>
    <w:rsid w:val="005228DF"/>
    <w:rsid w:val="00522E3C"/>
    <w:rsid w:val="0052326F"/>
    <w:rsid w:val="00524220"/>
    <w:rsid w:val="005269F5"/>
    <w:rsid w:val="00526D07"/>
    <w:rsid w:val="00530085"/>
    <w:rsid w:val="005318AF"/>
    <w:rsid w:val="00531B66"/>
    <w:rsid w:val="00531B97"/>
    <w:rsid w:val="0053298F"/>
    <w:rsid w:val="0053312A"/>
    <w:rsid w:val="005357E4"/>
    <w:rsid w:val="005358AE"/>
    <w:rsid w:val="00536A3E"/>
    <w:rsid w:val="00536CC5"/>
    <w:rsid w:val="00537101"/>
    <w:rsid w:val="005413E1"/>
    <w:rsid w:val="00541CBE"/>
    <w:rsid w:val="00544C0D"/>
    <w:rsid w:val="00545BC2"/>
    <w:rsid w:val="00550697"/>
    <w:rsid w:val="00551FB1"/>
    <w:rsid w:val="0055213F"/>
    <w:rsid w:val="00552446"/>
    <w:rsid w:val="005540DC"/>
    <w:rsid w:val="00555721"/>
    <w:rsid w:val="005558E5"/>
    <w:rsid w:val="005563A5"/>
    <w:rsid w:val="00556951"/>
    <w:rsid w:val="005578B3"/>
    <w:rsid w:val="00557C6B"/>
    <w:rsid w:val="005601C5"/>
    <w:rsid w:val="00560EC6"/>
    <w:rsid w:val="00561974"/>
    <w:rsid w:val="00562BC7"/>
    <w:rsid w:val="00562C3D"/>
    <w:rsid w:val="00562E09"/>
    <w:rsid w:val="00565E84"/>
    <w:rsid w:val="00567799"/>
    <w:rsid w:val="00567906"/>
    <w:rsid w:val="005701BA"/>
    <w:rsid w:val="00571446"/>
    <w:rsid w:val="00571B0E"/>
    <w:rsid w:val="005726E7"/>
    <w:rsid w:val="0057277B"/>
    <w:rsid w:val="0057291C"/>
    <w:rsid w:val="0057306E"/>
    <w:rsid w:val="00573604"/>
    <w:rsid w:val="00573ECE"/>
    <w:rsid w:val="0057475C"/>
    <w:rsid w:val="00575CCF"/>
    <w:rsid w:val="00580DB1"/>
    <w:rsid w:val="00580E55"/>
    <w:rsid w:val="00580EC1"/>
    <w:rsid w:val="00581474"/>
    <w:rsid w:val="00583034"/>
    <w:rsid w:val="00584885"/>
    <w:rsid w:val="0058507B"/>
    <w:rsid w:val="0058538C"/>
    <w:rsid w:val="005875AA"/>
    <w:rsid w:val="00587EB7"/>
    <w:rsid w:val="0059036E"/>
    <w:rsid w:val="005909D9"/>
    <w:rsid w:val="00591567"/>
    <w:rsid w:val="0059173A"/>
    <w:rsid w:val="00591A53"/>
    <w:rsid w:val="00591D84"/>
    <w:rsid w:val="00592362"/>
    <w:rsid w:val="005928EC"/>
    <w:rsid w:val="00592A29"/>
    <w:rsid w:val="005930C0"/>
    <w:rsid w:val="00593932"/>
    <w:rsid w:val="00593934"/>
    <w:rsid w:val="00593ACF"/>
    <w:rsid w:val="00597C06"/>
    <w:rsid w:val="005A0AE4"/>
    <w:rsid w:val="005A1FCF"/>
    <w:rsid w:val="005A2166"/>
    <w:rsid w:val="005A2364"/>
    <w:rsid w:val="005A2756"/>
    <w:rsid w:val="005A4629"/>
    <w:rsid w:val="005A4EB5"/>
    <w:rsid w:val="005A5ACE"/>
    <w:rsid w:val="005A75EB"/>
    <w:rsid w:val="005A7983"/>
    <w:rsid w:val="005A7B55"/>
    <w:rsid w:val="005B0184"/>
    <w:rsid w:val="005B03DA"/>
    <w:rsid w:val="005B12B2"/>
    <w:rsid w:val="005B12EC"/>
    <w:rsid w:val="005B15FD"/>
    <w:rsid w:val="005B3985"/>
    <w:rsid w:val="005B3B26"/>
    <w:rsid w:val="005B4174"/>
    <w:rsid w:val="005B4F33"/>
    <w:rsid w:val="005B55C7"/>
    <w:rsid w:val="005B634E"/>
    <w:rsid w:val="005B6F26"/>
    <w:rsid w:val="005B7BAA"/>
    <w:rsid w:val="005C0707"/>
    <w:rsid w:val="005C1441"/>
    <w:rsid w:val="005C5A4D"/>
    <w:rsid w:val="005C5F3A"/>
    <w:rsid w:val="005C718B"/>
    <w:rsid w:val="005C7841"/>
    <w:rsid w:val="005D0B19"/>
    <w:rsid w:val="005D0CC1"/>
    <w:rsid w:val="005D1BA1"/>
    <w:rsid w:val="005D1C69"/>
    <w:rsid w:val="005D2641"/>
    <w:rsid w:val="005D2CC3"/>
    <w:rsid w:val="005D3912"/>
    <w:rsid w:val="005D41A1"/>
    <w:rsid w:val="005D47E7"/>
    <w:rsid w:val="005D4A0E"/>
    <w:rsid w:val="005D4FB6"/>
    <w:rsid w:val="005D5ACE"/>
    <w:rsid w:val="005D5D1B"/>
    <w:rsid w:val="005D778E"/>
    <w:rsid w:val="005E19E5"/>
    <w:rsid w:val="005E1B18"/>
    <w:rsid w:val="005E26AA"/>
    <w:rsid w:val="005E4639"/>
    <w:rsid w:val="005E474F"/>
    <w:rsid w:val="005E5177"/>
    <w:rsid w:val="005E757E"/>
    <w:rsid w:val="005F069D"/>
    <w:rsid w:val="005F0BEE"/>
    <w:rsid w:val="005F2474"/>
    <w:rsid w:val="005F3B77"/>
    <w:rsid w:val="005F3CE5"/>
    <w:rsid w:val="005F408C"/>
    <w:rsid w:val="005F561A"/>
    <w:rsid w:val="005F5697"/>
    <w:rsid w:val="00601215"/>
    <w:rsid w:val="006017D9"/>
    <w:rsid w:val="00601B60"/>
    <w:rsid w:val="00601E49"/>
    <w:rsid w:val="00602BE0"/>
    <w:rsid w:val="006031FC"/>
    <w:rsid w:val="00604800"/>
    <w:rsid w:val="0060599D"/>
    <w:rsid w:val="00605D1F"/>
    <w:rsid w:val="00605DC8"/>
    <w:rsid w:val="00605ED8"/>
    <w:rsid w:val="00606378"/>
    <w:rsid w:val="00610210"/>
    <w:rsid w:val="00610B8D"/>
    <w:rsid w:val="00610F40"/>
    <w:rsid w:val="006121F5"/>
    <w:rsid w:val="006135AB"/>
    <w:rsid w:val="00614FD0"/>
    <w:rsid w:val="006155E7"/>
    <w:rsid w:val="0061656C"/>
    <w:rsid w:val="0062032D"/>
    <w:rsid w:val="006212BD"/>
    <w:rsid w:val="00621364"/>
    <w:rsid w:val="00622334"/>
    <w:rsid w:val="00622647"/>
    <w:rsid w:val="00622DD4"/>
    <w:rsid w:val="006232EB"/>
    <w:rsid w:val="0062380A"/>
    <w:rsid w:val="00624693"/>
    <w:rsid w:val="006248BE"/>
    <w:rsid w:val="006266AA"/>
    <w:rsid w:val="00626C5B"/>
    <w:rsid w:val="006270CF"/>
    <w:rsid w:val="006276E4"/>
    <w:rsid w:val="00627D41"/>
    <w:rsid w:val="00630BB5"/>
    <w:rsid w:val="0063108A"/>
    <w:rsid w:val="006320F6"/>
    <w:rsid w:val="00634C07"/>
    <w:rsid w:val="00635C7C"/>
    <w:rsid w:val="00636EDB"/>
    <w:rsid w:val="006374BF"/>
    <w:rsid w:val="00637F72"/>
    <w:rsid w:val="006410A0"/>
    <w:rsid w:val="00641B07"/>
    <w:rsid w:val="006425A8"/>
    <w:rsid w:val="006428A5"/>
    <w:rsid w:val="006431E6"/>
    <w:rsid w:val="006444AF"/>
    <w:rsid w:val="006448F1"/>
    <w:rsid w:val="0064510E"/>
    <w:rsid w:val="00646A26"/>
    <w:rsid w:val="00646E1C"/>
    <w:rsid w:val="00647771"/>
    <w:rsid w:val="00650609"/>
    <w:rsid w:val="00650B23"/>
    <w:rsid w:val="00650D3C"/>
    <w:rsid w:val="00650D86"/>
    <w:rsid w:val="00651DD6"/>
    <w:rsid w:val="006523BC"/>
    <w:rsid w:val="006527E2"/>
    <w:rsid w:val="00654F9C"/>
    <w:rsid w:val="00655973"/>
    <w:rsid w:val="00655C14"/>
    <w:rsid w:val="00656964"/>
    <w:rsid w:val="006570E4"/>
    <w:rsid w:val="00660558"/>
    <w:rsid w:val="00661516"/>
    <w:rsid w:val="00661A9C"/>
    <w:rsid w:val="00662594"/>
    <w:rsid w:val="0066293C"/>
    <w:rsid w:val="00663319"/>
    <w:rsid w:val="00663A01"/>
    <w:rsid w:val="00663DB0"/>
    <w:rsid w:val="006654D6"/>
    <w:rsid w:val="00665842"/>
    <w:rsid w:val="00665A35"/>
    <w:rsid w:val="00666069"/>
    <w:rsid w:val="006662DD"/>
    <w:rsid w:val="0066642C"/>
    <w:rsid w:val="00666E54"/>
    <w:rsid w:val="00667892"/>
    <w:rsid w:val="00670648"/>
    <w:rsid w:val="00671D8B"/>
    <w:rsid w:val="0067218E"/>
    <w:rsid w:val="006740BF"/>
    <w:rsid w:val="00674319"/>
    <w:rsid w:val="00675CCE"/>
    <w:rsid w:val="00676057"/>
    <w:rsid w:val="00676855"/>
    <w:rsid w:val="00677000"/>
    <w:rsid w:val="006800B0"/>
    <w:rsid w:val="0068099D"/>
    <w:rsid w:val="00681E9D"/>
    <w:rsid w:val="006857D4"/>
    <w:rsid w:val="00686067"/>
    <w:rsid w:val="0068721C"/>
    <w:rsid w:val="00690F3C"/>
    <w:rsid w:val="00692161"/>
    <w:rsid w:val="00692B84"/>
    <w:rsid w:val="00692CE1"/>
    <w:rsid w:val="0069535B"/>
    <w:rsid w:val="00695B0B"/>
    <w:rsid w:val="00695FB8"/>
    <w:rsid w:val="00696035"/>
    <w:rsid w:val="00696554"/>
    <w:rsid w:val="006A0A64"/>
    <w:rsid w:val="006A0B8A"/>
    <w:rsid w:val="006A18C5"/>
    <w:rsid w:val="006A24F2"/>
    <w:rsid w:val="006A470D"/>
    <w:rsid w:val="006A4E72"/>
    <w:rsid w:val="006A53F2"/>
    <w:rsid w:val="006A566D"/>
    <w:rsid w:val="006A581E"/>
    <w:rsid w:val="006A592B"/>
    <w:rsid w:val="006A5F98"/>
    <w:rsid w:val="006A6580"/>
    <w:rsid w:val="006A6ED8"/>
    <w:rsid w:val="006A702A"/>
    <w:rsid w:val="006A79D5"/>
    <w:rsid w:val="006A7BC8"/>
    <w:rsid w:val="006B157F"/>
    <w:rsid w:val="006B17B6"/>
    <w:rsid w:val="006B1BAB"/>
    <w:rsid w:val="006B2325"/>
    <w:rsid w:val="006B2396"/>
    <w:rsid w:val="006B26A3"/>
    <w:rsid w:val="006B3C22"/>
    <w:rsid w:val="006B557A"/>
    <w:rsid w:val="006B6AEF"/>
    <w:rsid w:val="006C02EC"/>
    <w:rsid w:val="006C0969"/>
    <w:rsid w:val="006C20BB"/>
    <w:rsid w:val="006C2975"/>
    <w:rsid w:val="006C2C09"/>
    <w:rsid w:val="006C303E"/>
    <w:rsid w:val="006C3758"/>
    <w:rsid w:val="006C40B0"/>
    <w:rsid w:val="006C40FE"/>
    <w:rsid w:val="006C4E22"/>
    <w:rsid w:val="006C534D"/>
    <w:rsid w:val="006C59C2"/>
    <w:rsid w:val="006C702D"/>
    <w:rsid w:val="006C7AAF"/>
    <w:rsid w:val="006D0316"/>
    <w:rsid w:val="006D04D8"/>
    <w:rsid w:val="006D0777"/>
    <w:rsid w:val="006D125D"/>
    <w:rsid w:val="006D12C9"/>
    <w:rsid w:val="006D1B56"/>
    <w:rsid w:val="006D1DF4"/>
    <w:rsid w:val="006D1FA6"/>
    <w:rsid w:val="006D2739"/>
    <w:rsid w:val="006D2887"/>
    <w:rsid w:val="006D2C57"/>
    <w:rsid w:val="006D37F9"/>
    <w:rsid w:val="006D41C6"/>
    <w:rsid w:val="006D430D"/>
    <w:rsid w:val="006D470C"/>
    <w:rsid w:val="006D7989"/>
    <w:rsid w:val="006E0475"/>
    <w:rsid w:val="006E09B2"/>
    <w:rsid w:val="006E0ED4"/>
    <w:rsid w:val="006E0FC9"/>
    <w:rsid w:val="006E4626"/>
    <w:rsid w:val="006E462A"/>
    <w:rsid w:val="006E518F"/>
    <w:rsid w:val="006E57AA"/>
    <w:rsid w:val="006E6DE3"/>
    <w:rsid w:val="006E76B1"/>
    <w:rsid w:val="006E7DC1"/>
    <w:rsid w:val="006F141C"/>
    <w:rsid w:val="006F25CB"/>
    <w:rsid w:val="006F2E01"/>
    <w:rsid w:val="006F2E67"/>
    <w:rsid w:val="006F355A"/>
    <w:rsid w:val="006F39C1"/>
    <w:rsid w:val="006F4C04"/>
    <w:rsid w:val="006F5513"/>
    <w:rsid w:val="006F6409"/>
    <w:rsid w:val="006F6735"/>
    <w:rsid w:val="00700CD1"/>
    <w:rsid w:val="007013F4"/>
    <w:rsid w:val="00703F33"/>
    <w:rsid w:val="0070510C"/>
    <w:rsid w:val="00705A99"/>
    <w:rsid w:val="00705C80"/>
    <w:rsid w:val="00705D3E"/>
    <w:rsid w:val="00706182"/>
    <w:rsid w:val="00706D3C"/>
    <w:rsid w:val="007100B5"/>
    <w:rsid w:val="00710E54"/>
    <w:rsid w:val="007118D6"/>
    <w:rsid w:val="007156DF"/>
    <w:rsid w:val="00715CD7"/>
    <w:rsid w:val="00721D36"/>
    <w:rsid w:val="007239C2"/>
    <w:rsid w:val="00725919"/>
    <w:rsid w:val="00725978"/>
    <w:rsid w:val="00726997"/>
    <w:rsid w:val="0072778C"/>
    <w:rsid w:val="00730FD2"/>
    <w:rsid w:val="007315C7"/>
    <w:rsid w:val="007357C6"/>
    <w:rsid w:val="0073608F"/>
    <w:rsid w:val="0073786E"/>
    <w:rsid w:val="00737C8B"/>
    <w:rsid w:val="0074094B"/>
    <w:rsid w:val="0074169C"/>
    <w:rsid w:val="00741A3C"/>
    <w:rsid w:val="00743121"/>
    <w:rsid w:val="00744257"/>
    <w:rsid w:val="0074650B"/>
    <w:rsid w:val="00746ED1"/>
    <w:rsid w:val="0074709D"/>
    <w:rsid w:val="00750ECB"/>
    <w:rsid w:val="00750F55"/>
    <w:rsid w:val="00753481"/>
    <w:rsid w:val="007555DC"/>
    <w:rsid w:val="00755741"/>
    <w:rsid w:val="0075607D"/>
    <w:rsid w:val="00756711"/>
    <w:rsid w:val="00756ABB"/>
    <w:rsid w:val="00756B8E"/>
    <w:rsid w:val="00757362"/>
    <w:rsid w:val="00757BCF"/>
    <w:rsid w:val="00757DC4"/>
    <w:rsid w:val="00760997"/>
    <w:rsid w:val="0076289F"/>
    <w:rsid w:val="007637EA"/>
    <w:rsid w:val="00764B92"/>
    <w:rsid w:val="00764E20"/>
    <w:rsid w:val="00765195"/>
    <w:rsid w:val="00765222"/>
    <w:rsid w:val="0076576C"/>
    <w:rsid w:val="00766288"/>
    <w:rsid w:val="00767161"/>
    <w:rsid w:val="00767198"/>
    <w:rsid w:val="00770565"/>
    <w:rsid w:val="00770A8A"/>
    <w:rsid w:val="00771EDE"/>
    <w:rsid w:val="007728C1"/>
    <w:rsid w:val="007728E1"/>
    <w:rsid w:val="007737C7"/>
    <w:rsid w:val="00774718"/>
    <w:rsid w:val="007747CA"/>
    <w:rsid w:val="00774D1F"/>
    <w:rsid w:val="007753A8"/>
    <w:rsid w:val="00775B1F"/>
    <w:rsid w:val="00775D19"/>
    <w:rsid w:val="00775EE2"/>
    <w:rsid w:val="00776D92"/>
    <w:rsid w:val="00776E22"/>
    <w:rsid w:val="00776FE4"/>
    <w:rsid w:val="00777376"/>
    <w:rsid w:val="007775FA"/>
    <w:rsid w:val="00780098"/>
    <w:rsid w:val="00781537"/>
    <w:rsid w:val="00783367"/>
    <w:rsid w:val="007836AB"/>
    <w:rsid w:val="00785278"/>
    <w:rsid w:val="00785E24"/>
    <w:rsid w:val="00786C6D"/>
    <w:rsid w:val="007872FF"/>
    <w:rsid w:val="00790666"/>
    <w:rsid w:val="00790E85"/>
    <w:rsid w:val="0079110D"/>
    <w:rsid w:val="007927B2"/>
    <w:rsid w:val="00794B79"/>
    <w:rsid w:val="00794EBF"/>
    <w:rsid w:val="00796EE8"/>
    <w:rsid w:val="007A0661"/>
    <w:rsid w:val="007A0BA3"/>
    <w:rsid w:val="007A2B6B"/>
    <w:rsid w:val="007A452A"/>
    <w:rsid w:val="007A51B4"/>
    <w:rsid w:val="007A70C5"/>
    <w:rsid w:val="007A7C68"/>
    <w:rsid w:val="007B0277"/>
    <w:rsid w:val="007B0E99"/>
    <w:rsid w:val="007B1879"/>
    <w:rsid w:val="007B1D12"/>
    <w:rsid w:val="007B2698"/>
    <w:rsid w:val="007B3229"/>
    <w:rsid w:val="007B45C7"/>
    <w:rsid w:val="007B70B6"/>
    <w:rsid w:val="007B7AEA"/>
    <w:rsid w:val="007C012D"/>
    <w:rsid w:val="007C0517"/>
    <w:rsid w:val="007C082F"/>
    <w:rsid w:val="007C15FA"/>
    <w:rsid w:val="007C1710"/>
    <w:rsid w:val="007C1D55"/>
    <w:rsid w:val="007C49CF"/>
    <w:rsid w:val="007C5EAD"/>
    <w:rsid w:val="007C717C"/>
    <w:rsid w:val="007C7570"/>
    <w:rsid w:val="007C76DE"/>
    <w:rsid w:val="007C7956"/>
    <w:rsid w:val="007D0B26"/>
    <w:rsid w:val="007D1C6D"/>
    <w:rsid w:val="007D1ECE"/>
    <w:rsid w:val="007D36C6"/>
    <w:rsid w:val="007D36DC"/>
    <w:rsid w:val="007D46E9"/>
    <w:rsid w:val="007D5DCA"/>
    <w:rsid w:val="007D6312"/>
    <w:rsid w:val="007D64DF"/>
    <w:rsid w:val="007D65AC"/>
    <w:rsid w:val="007D708E"/>
    <w:rsid w:val="007D746B"/>
    <w:rsid w:val="007D7B1E"/>
    <w:rsid w:val="007D7C3E"/>
    <w:rsid w:val="007D7DBE"/>
    <w:rsid w:val="007E047A"/>
    <w:rsid w:val="007E246F"/>
    <w:rsid w:val="007E29B1"/>
    <w:rsid w:val="007E2CD9"/>
    <w:rsid w:val="007E3128"/>
    <w:rsid w:val="007E36D5"/>
    <w:rsid w:val="007E4080"/>
    <w:rsid w:val="007E4B9E"/>
    <w:rsid w:val="007E5EFA"/>
    <w:rsid w:val="007E7D0F"/>
    <w:rsid w:val="007F0173"/>
    <w:rsid w:val="007F020A"/>
    <w:rsid w:val="007F0706"/>
    <w:rsid w:val="007F241D"/>
    <w:rsid w:val="007F3F6F"/>
    <w:rsid w:val="007F4285"/>
    <w:rsid w:val="007F48FC"/>
    <w:rsid w:val="007F4BDB"/>
    <w:rsid w:val="007F53B7"/>
    <w:rsid w:val="007F7221"/>
    <w:rsid w:val="007F7668"/>
    <w:rsid w:val="008019B1"/>
    <w:rsid w:val="00802D79"/>
    <w:rsid w:val="008046E3"/>
    <w:rsid w:val="00804AD5"/>
    <w:rsid w:val="0080511C"/>
    <w:rsid w:val="00805590"/>
    <w:rsid w:val="008063C6"/>
    <w:rsid w:val="00807B77"/>
    <w:rsid w:val="008100C0"/>
    <w:rsid w:val="00810F17"/>
    <w:rsid w:val="0081107A"/>
    <w:rsid w:val="00813744"/>
    <w:rsid w:val="00814ECC"/>
    <w:rsid w:val="0081571F"/>
    <w:rsid w:val="008168F9"/>
    <w:rsid w:val="00816F0A"/>
    <w:rsid w:val="00820682"/>
    <w:rsid w:val="008210D5"/>
    <w:rsid w:val="00822016"/>
    <w:rsid w:val="00822ED8"/>
    <w:rsid w:val="0082344D"/>
    <w:rsid w:val="00823A6E"/>
    <w:rsid w:val="00824769"/>
    <w:rsid w:val="00825159"/>
    <w:rsid w:val="0082579B"/>
    <w:rsid w:val="00826570"/>
    <w:rsid w:val="00826687"/>
    <w:rsid w:val="008268F2"/>
    <w:rsid w:val="00827541"/>
    <w:rsid w:val="008310BC"/>
    <w:rsid w:val="0083249F"/>
    <w:rsid w:val="008333EB"/>
    <w:rsid w:val="00833C6F"/>
    <w:rsid w:val="00834857"/>
    <w:rsid w:val="0083544E"/>
    <w:rsid w:val="00835A69"/>
    <w:rsid w:val="00836027"/>
    <w:rsid w:val="00841A96"/>
    <w:rsid w:val="0084213A"/>
    <w:rsid w:val="00842CB7"/>
    <w:rsid w:val="00842DF9"/>
    <w:rsid w:val="00843719"/>
    <w:rsid w:val="00844AB8"/>
    <w:rsid w:val="00844E04"/>
    <w:rsid w:val="00845429"/>
    <w:rsid w:val="0084655A"/>
    <w:rsid w:val="008507E5"/>
    <w:rsid w:val="00851432"/>
    <w:rsid w:val="0085151D"/>
    <w:rsid w:val="008515E9"/>
    <w:rsid w:val="00851899"/>
    <w:rsid w:val="00852824"/>
    <w:rsid w:val="008532C5"/>
    <w:rsid w:val="008535FF"/>
    <w:rsid w:val="00853721"/>
    <w:rsid w:val="0085398B"/>
    <w:rsid w:val="00856503"/>
    <w:rsid w:val="008570BC"/>
    <w:rsid w:val="00857875"/>
    <w:rsid w:val="00857CBD"/>
    <w:rsid w:val="00857F0B"/>
    <w:rsid w:val="008601EC"/>
    <w:rsid w:val="00862AB4"/>
    <w:rsid w:val="0086406E"/>
    <w:rsid w:val="00864835"/>
    <w:rsid w:val="008651C9"/>
    <w:rsid w:val="00865F46"/>
    <w:rsid w:val="00865FA0"/>
    <w:rsid w:val="008672DD"/>
    <w:rsid w:val="00867A4C"/>
    <w:rsid w:val="00867B15"/>
    <w:rsid w:val="00867D3C"/>
    <w:rsid w:val="0087136B"/>
    <w:rsid w:val="008725AA"/>
    <w:rsid w:val="00873135"/>
    <w:rsid w:val="00873EAB"/>
    <w:rsid w:val="00874BF2"/>
    <w:rsid w:val="00875540"/>
    <w:rsid w:val="00875816"/>
    <w:rsid w:val="0087678C"/>
    <w:rsid w:val="008771A3"/>
    <w:rsid w:val="0088029E"/>
    <w:rsid w:val="00880A6E"/>
    <w:rsid w:val="00880D1E"/>
    <w:rsid w:val="008811FE"/>
    <w:rsid w:val="00882A03"/>
    <w:rsid w:val="00882B8A"/>
    <w:rsid w:val="00882E8A"/>
    <w:rsid w:val="008834DC"/>
    <w:rsid w:val="00883827"/>
    <w:rsid w:val="00883F94"/>
    <w:rsid w:val="00884D41"/>
    <w:rsid w:val="008866C6"/>
    <w:rsid w:val="0088692D"/>
    <w:rsid w:val="0088762B"/>
    <w:rsid w:val="00887C0A"/>
    <w:rsid w:val="008908E0"/>
    <w:rsid w:val="00890C5F"/>
    <w:rsid w:val="00891D00"/>
    <w:rsid w:val="00893C45"/>
    <w:rsid w:val="00893F1E"/>
    <w:rsid w:val="00895623"/>
    <w:rsid w:val="00896DD3"/>
    <w:rsid w:val="0089758A"/>
    <w:rsid w:val="008A11C3"/>
    <w:rsid w:val="008A269E"/>
    <w:rsid w:val="008A2749"/>
    <w:rsid w:val="008A2940"/>
    <w:rsid w:val="008A327A"/>
    <w:rsid w:val="008A3306"/>
    <w:rsid w:val="008A47FF"/>
    <w:rsid w:val="008A4B6E"/>
    <w:rsid w:val="008A5767"/>
    <w:rsid w:val="008A5BA0"/>
    <w:rsid w:val="008A5C4F"/>
    <w:rsid w:val="008A6711"/>
    <w:rsid w:val="008A6903"/>
    <w:rsid w:val="008B0283"/>
    <w:rsid w:val="008B0EA8"/>
    <w:rsid w:val="008B224E"/>
    <w:rsid w:val="008B5B6D"/>
    <w:rsid w:val="008B6033"/>
    <w:rsid w:val="008B620E"/>
    <w:rsid w:val="008B65B4"/>
    <w:rsid w:val="008C0FF9"/>
    <w:rsid w:val="008C28A1"/>
    <w:rsid w:val="008C2A62"/>
    <w:rsid w:val="008C47DC"/>
    <w:rsid w:val="008C49F4"/>
    <w:rsid w:val="008C7444"/>
    <w:rsid w:val="008C7ECA"/>
    <w:rsid w:val="008D0257"/>
    <w:rsid w:val="008D0389"/>
    <w:rsid w:val="008D1554"/>
    <w:rsid w:val="008D19E3"/>
    <w:rsid w:val="008D2391"/>
    <w:rsid w:val="008D23CE"/>
    <w:rsid w:val="008D2D36"/>
    <w:rsid w:val="008D31A3"/>
    <w:rsid w:val="008D391C"/>
    <w:rsid w:val="008D3CDE"/>
    <w:rsid w:val="008D4574"/>
    <w:rsid w:val="008D4908"/>
    <w:rsid w:val="008D4F6A"/>
    <w:rsid w:val="008D5373"/>
    <w:rsid w:val="008D5EA9"/>
    <w:rsid w:val="008D61DA"/>
    <w:rsid w:val="008D6E62"/>
    <w:rsid w:val="008D7AD3"/>
    <w:rsid w:val="008E1031"/>
    <w:rsid w:val="008E12E5"/>
    <w:rsid w:val="008E3A86"/>
    <w:rsid w:val="008E3D26"/>
    <w:rsid w:val="008E4B0A"/>
    <w:rsid w:val="008E4D62"/>
    <w:rsid w:val="008E56AD"/>
    <w:rsid w:val="008E60E5"/>
    <w:rsid w:val="008E6CA9"/>
    <w:rsid w:val="008E6E5B"/>
    <w:rsid w:val="008E7844"/>
    <w:rsid w:val="008F0E2E"/>
    <w:rsid w:val="008F15E8"/>
    <w:rsid w:val="008F1803"/>
    <w:rsid w:val="008F297E"/>
    <w:rsid w:val="008F2F3B"/>
    <w:rsid w:val="008F393E"/>
    <w:rsid w:val="008F5AC3"/>
    <w:rsid w:val="008F7E17"/>
    <w:rsid w:val="008F7F9E"/>
    <w:rsid w:val="00900D0A"/>
    <w:rsid w:val="00901F68"/>
    <w:rsid w:val="009020EF"/>
    <w:rsid w:val="009021C7"/>
    <w:rsid w:val="009022B8"/>
    <w:rsid w:val="0090297C"/>
    <w:rsid w:val="00902E96"/>
    <w:rsid w:val="0090357E"/>
    <w:rsid w:val="009046A9"/>
    <w:rsid w:val="00904AFC"/>
    <w:rsid w:val="00904B86"/>
    <w:rsid w:val="00904D93"/>
    <w:rsid w:val="009051C7"/>
    <w:rsid w:val="009067B6"/>
    <w:rsid w:val="009076B5"/>
    <w:rsid w:val="00907CDD"/>
    <w:rsid w:val="009114DE"/>
    <w:rsid w:val="00911FA2"/>
    <w:rsid w:val="00912BA8"/>
    <w:rsid w:val="00914213"/>
    <w:rsid w:val="00917561"/>
    <w:rsid w:val="009176C3"/>
    <w:rsid w:val="00921BE4"/>
    <w:rsid w:val="0092349B"/>
    <w:rsid w:val="009237FE"/>
    <w:rsid w:val="00924CF4"/>
    <w:rsid w:val="0092576E"/>
    <w:rsid w:val="00926043"/>
    <w:rsid w:val="00926CE3"/>
    <w:rsid w:val="00926EF8"/>
    <w:rsid w:val="00926FB2"/>
    <w:rsid w:val="00927BEA"/>
    <w:rsid w:val="009303C9"/>
    <w:rsid w:val="009308CC"/>
    <w:rsid w:val="0093103C"/>
    <w:rsid w:val="0093221C"/>
    <w:rsid w:val="00932527"/>
    <w:rsid w:val="00933144"/>
    <w:rsid w:val="0093319E"/>
    <w:rsid w:val="00933223"/>
    <w:rsid w:val="0093547B"/>
    <w:rsid w:val="00935B83"/>
    <w:rsid w:val="00937841"/>
    <w:rsid w:val="009378BC"/>
    <w:rsid w:val="00940DF6"/>
    <w:rsid w:val="009417A9"/>
    <w:rsid w:val="00941891"/>
    <w:rsid w:val="00941BE9"/>
    <w:rsid w:val="00942020"/>
    <w:rsid w:val="00942898"/>
    <w:rsid w:val="00942A4D"/>
    <w:rsid w:val="009433EB"/>
    <w:rsid w:val="00944C0F"/>
    <w:rsid w:val="0094511B"/>
    <w:rsid w:val="00945575"/>
    <w:rsid w:val="009456D0"/>
    <w:rsid w:val="00945FBA"/>
    <w:rsid w:val="009463DE"/>
    <w:rsid w:val="009466C5"/>
    <w:rsid w:val="00946BEB"/>
    <w:rsid w:val="009474C0"/>
    <w:rsid w:val="00947D15"/>
    <w:rsid w:val="00947DC7"/>
    <w:rsid w:val="00950856"/>
    <w:rsid w:val="0095213F"/>
    <w:rsid w:val="0095214D"/>
    <w:rsid w:val="009534F5"/>
    <w:rsid w:val="00953763"/>
    <w:rsid w:val="0095393E"/>
    <w:rsid w:val="0095412F"/>
    <w:rsid w:val="00954648"/>
    <w:rsid w:val="009547BA"/>
    <w:rsid w:val="00954ACC"/>
    <w:rsid w:val="00954FDD"/>
    <w:rsid w:val="00955616"/>
    <w:rsid w:val="00956241"/>
    <w:rsid w:val="00956E10"/>
    <w:rsid w:val="00957746"/>
    <w:rsid w:val="009579DD"/>
    <w:rsid w:val="00957F76"/>
    <w:rsid w:val="00960448"/>
    <w:rsid w:val="009613DE"/>
    <w:rsid w:val="00961470"/>
    <w:rsid w:val="00961AFF"/>
    <w:rsid w:val="00961B53"/>
    <w:rsid w:val="00961E5F"/>
    <w:rsid w:val="0096227D"/>
    <w:rsid w:val="009632A0"/>
    <w:rsid w:val="00963743"/>
    <w:rsid w:val="00966161"/>
    <w:rsid w:val="00966162"/>
    <w:rsid w:val="00966340"/>
    <w:rsid w:val="009673AF"/>
    <w:rsid w:val="00970209"/>
    <w:rsid w:val="00971408"/>
    <w:rsid w:val="00971665"/>
    <w:rsid w:val="0097207A"/>
    <w:rsid w:val="0097329F"/>
    <w:rsid w:val="00973813"/>
    <w:rsid w:val="00976DC2"/>
    <w:rsid w:val="0097734E"/>
    <w:rsid w:val="00980705"/>
    <w:rsid w:val="00981609"/>
    <w:rsid w:val="00981B31"/>
    <w:rsid w:val="00982279"/>
    <w:rsid w:val="00982653"/>
    <w:rsid w:val="009833B5"/>
    <w:rsid w:val="00983CA9"/>
    <w:rsid w:val="00984215"/>
    <w:rsid w:val="009867D5"/>
    <w:rsid w:val="009867E4"/>
    <w:rsid w:val="00986AB5"/>
    <w:rsid w:val="00986F78"/>
    <w:rsid w:val="009879F0"/>
    <w:rsid w:val="00987C32"/>
    <w:rsid w:val="009905B2"/>
    <w:rsid w:val="00990647"/>
    <w:rsid w:val="009911A5"/>
    <w:rsid w:val="0099377E"/>
    <w:rsid w:val="00993BF2"/>
    <w:rsid w:val="00993C96"/>
    <w:rsid w:val="00995E35"/>
    <w:rsid w:val="00995E70"/>
    <w:rsid w:val="00996270"/>
    <w:rsid w:val="00996B55"/>
    <w:rsid w:val="0099762B"/>
    <w:rsid w:val="00997A53"/>
    <w:rsid w:val="009A155E"/>
    <w:rsid w:val="009A1D9D"/>
    <w:rsid w:val="009A2C6F"/>
    <w:rsid w:val="009A4294"/>
    <w:rsid w:val="009A4B37"/>
    <w:rsid w:val="009A6101"/>
    <w:rsid w:val="009A63D9"/>
    <w:rsid w:val="009A68A6"/>
    <w:rsid w:val="009A78DA"/>
    <w:rsid w:val="009A7CEC"/>
    <w:rsid w:val="009B0085"/>
    <w:rsid w:val="009B092A"/>
    <w:rsid w:val="009B0B51"/>
    <w:rsid w:val="009B1064"/>
    <w:rsid w:val="009B148A"/>
    <w:rsid w:val="009B23E4"/>
    <w:rsid w:val="009B2B36"/>
    <w:rsid w:val="009B2CC8"/>
    <w:rsid w:val="009B348A"/>
    <w:rsid w:val="009B4206"/>
    <w:rsid w:val="009B53ED"/>
    <w:rsid w:val="009B61F1"/>
    <w:rsid w:val="009B62DF"/>
    <w:rsid w:val="009B7903"/>
    <w:rsid w:val="009C12D5"/>
    <w:rsid w:val="009C1BB2"/>
    <w:rsid w:val="009C3458"/>
    <w:rsid w:val="009C3569"/>
    <w:rsid w:val="009C42DC"/>
    <w:rsid w:val="009C5575"/>
    <w:rsid w:val="009C56F9"/>
    <w:rsid w:val="009C6254"/>
    <w:rsid w:val="009C765C"/>
    <w:rsid w:val="009D0389"/>
    <w:rsid w:val="009D0987"/>
    <w:rsid w:val="009D323A"/>
    <w:rsid w:val="009D38E3"/>
    <w:rsid w:val="009D3B3B"/>
    <w:rsid w:val="009D411D"/>
    <w:rsid w:val="009D4789"/>
    <w:rsid w:val="009D4B05"/>
    <w:rsid w:val="009D519E"/>
    <w:rsid w:val="009D616B"/>
    <w:rsid w:val="009D68D8"/>
    <w:rsid w:val="009D6E51"/>
    <w:rsid w:val="009D7703"/>
    <w:rsid w:val="009D787F"/>
    <w:rsid w:val="009E09AC"/>
    <w:rsid w:val="009E14ED"/>
    <w:rsid w:val="009E54A7"/>
    <w:rsid w:val="009E573B"/>
    <w:rsid w:val="009F0BEB"/>
    <w:rsid w:val="009F0EC5"/>
    <w:rsid w:val="009F1067"/>
    <w:rsid w:val="009F18DF"/>
    <w:rsid w:val="009F1C75"/>
    <w:rsid w:val="009F241C"/>
    <w:rsid w:val="009F2F48"/>
    <w:rsid w:val="009F3051"/>
    <w:rsid w:val="009F33DC"/>
    <w:rsid w:val="009F3759"/>
    <w:rsid w:val="009F37FB"/>
    <w:rsid w:val="009F4845"/>
    <w:rsid w:val="009F5B77"/>
    <w:rsid w:val="009F6FEB"/>
    <w:rsid w:val="009F7467"/>
    <w:rsid w:val="00A0047A"/>
    <w:rsid w:val="00A01E9B"/>
    <w:rsid w:val="00A04277"/>
    <w:rsid w:val="00A0435B"/>
    <w:rsid w:val="00A04997"/>
    <w:rsid w:val="00A0520C"/>
    <w:rsid w:val="00A056AA"/>
    <w:rsid w:val="00A05E00"/>
    <w:rsid w:val="00A0657F"/>
    <w:rsid w:val="00A0744A"/>
    <w:rsid w:val="00A1075F"/>
    <w:rsid w:val="00A10C7C"/>
    <w:rsid w:val="00A1113C"/>
    <w:rsid w:val="00A1281D"/>
    <w:rsid w:val="00A12C2C"/>
    <w:rsid w:val="00A137A6"/>
    <w:rsid w:val="00A1431E"/>
    <w:rsid w:val="00A15530"/>
    <w:rsid w:val="00A20085"/>
    <w:rsid w:val="00A202D8"/>
    <w:rsid w:val="00A20D2C"/>
    <w:rsid w:val="00A222C7"/>
    <w:rsid w:val="00A2357F"/>
    <w:rsid w:val="00A23C49"/>
    <w:rsid w:val="00A274D9"/>
    <w:rsid w:val="00A303F3"/>
    <w:rsid w:val="00A319DD"/>
    <w:rsid w:val="00A31A5B"/>
    <w:rsid w:val="00A31F6C"/>
    <w:rsid w:val="00A324A7"/>
    <w:rsid w:val="00A35ABB"/>
    <w:rsid w:val="00A36CB8"/>
    <w:rsid w:val="00A36D43"/>
    <w:rsid w:val="00A36F46"/>
    <w:rsid w:val="00A37DDC"/>
    <w:rsid w:val="00A4101A"/>
    <w:rsid w:val="00A41829"/>
    <w:rsid w:val="00A41F08"/>
    <w:rsid w:val="00A4360F"/>
    <w:rsid w:val="00A43C8E"/>
    <w:rsid w:val="00A440D0"/>
    <w:rsid w:val="00A45729"/>
    <w:rsid w:val="00A4636F"/>
    <w:rsid w:val="00A4643D"/>
    <w:rsid w:val="00A4648E"/>
    <w:rsid w:val="00A46B31"/>
    <w:rsid w:val="00A46EE0"/>
    <w:rsid w:val="00A47E5E"/>
    <w:rsid w:val="00A50C5A"/>
    <w:rsid w:val="00A50CD2"/>
    <w:rsid w:val="00A51562"/>
    <w:rsid w:val="00A516A0"/>
    <w:rsid w:val="00A52676"/>
    <w:rsid w:val="00A5378D"/>
    <w:rsid w:val="00A53815"/>
    <w:rsid w:val="00A54C2D"/>
    <w:rsid w:val="00A54D18"/>
    <w:rsid w:val="00A5606E"/>
    <w:rsid w:val="00A575DC"/>
    <w:rsid w:val="00A60485"/>
    <w:rsid w:val="00A6146F"/>
    <w:rsid w:val="00A62A27"/>
    <w:rsid w:val="00A630FA"/>
    <w:rsid w:val="00A6372B"/>
    <w:rsid w:val="00A63D20"/>
    <w:rsid w:val="00A640F1"/>
    <w:rsid w:val="00A646D6"/>
    <w:rsid w:val="00A656DF"/>
    <w:rsid w:val="00A6573E"/>
    <w:rsid w:val="00A66171"/>
    <w:rsid w:val="00A66499"/>
    <w:rsid w:val="00A66CD2"/>
    <w:rsid w:val="00A66E29"/>
    <w:rsid w:val="00A67ADF"/>
    <w:rsid w:val="00A7055B"/>
    <w:rsid w:val="00A7212A"/>
    <w:rsid w:val="00A7249F"/>
    <w:rsid w:val="00A729F5"/>
    <w:rsid w:val="00A739BF"/>
    <w:rsid w:val="00A73AE5"/>
    <w:rsid w:val="00A73B77"/>
    <w:rsid w:val="00A7479F"/>
    <w:rsid w:val="00A74E9A"/>
    <w:rsid w:val="00A74EE6"/>
    <w:rsid w:val="00A75038"/>
    <w:rsid w:val="00A7750E"/>
    <w:rsid w:val="00A778BE"/>
    <w:rsid w:val="00A810A9"/>
    <w:rsid w:val="00A82512"/>
    <w:rsid w:val="00A827E9"/>
    <w:rsid w:val="00A83093"/>
    <w:rsid w:val="00A83646"/>
    <w:rsid w:val="00A8566D"/>
    <w:rsid w:val="00A86A8C"/>
    <w:rsid w:val="00A86C36"/>
    <w:rsid w:val="00A872A0"/>
    <w:rsid w:val="00A9035C"/>
    <w:rsid w:val="00A91705"/>
    <w:rsid w:val="00A91968"/>
    <w:rsid w:val="00A92540"/>
    <w:rsid w:val="00A930C0"/>
    <w:rsid w:val="00A93B14"/>
    <w:rsid w:val="00A94D18"/>
    <w:rsid w:val="00A94FF1"/>
    <w:rsid w:val="00A95209"/>
    <w:rsid w:val="00A9546A"/>
    <w:rsid w:val="00A9558E"/>
    <w:rsid w:val="00A96576"/>
    <w:rsid w:val="00A9754B"/>
    <w:rsid w:val="00A97907"/>
    <w:rsid w:val="00AA04CF"/>
    <w:rsid w:val="00AA05B8"/>
    <w:rsid w:val="00AA386F"/>
    <w:rsid w:val="00AA40CE"/>
    <w:rsid w:val="00AA4119"/>
    <w:rsid w:val="00AA447B"/>
    <w:rsid w:val="00AA4B87"/>
    <w:rsid w:val="00AA5EBF"/>
    <w:rsid w:val="00AA63BD"/>
    <w:rsid w:val="00AA69E6"/>
    <w:rsid w:val="00AA6F1D"/>
    <w:rsid w:val="00AA77C7"/>
    <w:rsid w:val="00AA7992"/>
    <w:rsid w:val="00AB241C"/>
    <w:rsid w:val="00AB27DE"/>
    <w:rsid w:val="00AB3FCF"/>
    <w:rsid w:val="00AB4BE2"/>
    <w:rsid w:val="00AB6667"/>
    <w:rsid w:val="00AB6A5D"/>
    <w:rsid w:val="00AB7C36"/>
    <w:rsid w:val="00AB7E58"/>
    <w:rsid w:val="00AC0B86"/>
    <w:rsid w:val="00AC1BA7"/>
    <w:rsid w:val="00AC1F5D"/>
    <w:rsid w:val="00AC381B"/>
    <w:rsid w:val="00AC3CDF"/>
    <w:rsid w:val="00AC541B"/>
    <w:rsid w:val="00AC5796"/>
    <w:rsid w:val="00AC6122"/>
    <w:rsid w:val="00AC69D1"/>
    <w:rsid w:val="00AC7B51"/>
    <w:rsid w:val="00AD0036"/>
    <w:rsid w:val="00AD0876"/>
    <w:rsid w:val="00AD0C8D"/>
    <w:rsid w:val="00AD0F3E"/>
    <w:rsid w:val="00AD111A"/>
    <w:rsid w:val="00AD19D6"/>
    <w:rsid w:val="00AD22C6"/>
    <w:rsid w:val="00AD2626"/>
    <w:rsid w:val="00AD2889"/>
    <w:rsid w:val="00AD2994"/>
    <w:rsid w:val="00AD3057"/>
    <w:rsid w:val="00AD3510"/>
    <w:rsid w:val="00AD3E88"/>
    <w:rsid w:val="00AD45A2"/>
    <w:rsid w:val="00AD4C64"/>
    <w:rsid w:val="00AD55DE"/>
    <w:rsid w:val="00AD5A26"/>
    <w:rsid w:val="00AD6390"/>
    <w:rsid w:val="00AE05BC"/>
    <w:rsid w:val="00AE0EE1"/>
    <w:rsid w:val="00AE1E1E"/>
    <w:rsid w:val="00AE3813"/>
    <w:rsid w:val="00AE53D4"/>
    <w:rsid w:val="00AE6A70"/>
    <w:rsid w:val="00AE7122"/>
    <w:rsid w:val="00AF077A"/>
    <w:rsid w:val="00AF0946"/>
    <w:rsid w:val="00AF30EB"/>
    <w:rsid w:val="00AF386C"/>
    <w:rsid w:val="00AF39FB"/>
    <w:rsid w:val="00AF452E"/>
    <w:rsid w:val="00AF45C5"/>
    <w:rsid w:val="00AF54ED"/>
    <w:rsid w:val="00AF62AF"/>
    <w:rsid w:val="00AF69F2"/>
    <w:rsid w:val="00AF6CB3"/>
    <w:rsid w:val="00AF7053"/>
    <w:rsid w:val="00AF74D3"/>
    <w:rsid w:val="00AF7CB4"/>
    <w:rsid w:val="00B00E9B"/>
    <w:rsid w:val="00B01856"/>
    <w:rsid w:val="00B01CFE"/>
    <w:rsid w:val="00B02FCB"/>
    <w:rsid w:val="00B03E06"/>
    <w:rsid w:val="00B04CCA"/>
    <w:rsid w:val="00B05379"/>
    <w:rsid w:val="00B07FCF"/>
    <w:rsid w:val="00B1020B"/>
    <w:rsid w:val="00B1041A"/>
    <w:rsid w:val="00B1218B"/>
    <w:rsid w:val="00B1221C"/>
    <w:rsid w:val="00B12329"/>
    <w:rsid w:val="00B123BA"/>
    <w:rsid w:val="00B13CA5"/>
    <w:rsid w:val="00B13EA3"/>
    <w:rsid w:val="00B15838"/>
    <w:rsid w:val="00B164E4"/>
    <w:rsid w:val="00B16908"/>
    <w:rsid w:val="00B175E1"/>
    <w:rsid w:val="00B21177"/>
    <w:rsid w:val="00B21B26"/>
    <w:rsid w:val="00B234AC"/>
    <w:rsid w:val="00B23D34"/>
    <w:rsid w:val="00B24947"/>
    <w:rsid w:val="00B24CDF"/>
    <w:rsid w:val="00B26599"/>
    <w:rsid w:val="00B26CBB"/>
    <w:rsid w:val="00B272F2"/>
    <w:rsid w:val="00B27ED1"/>
    <w:rsid w:val="00B303A7"/>
    <w:rsid w:val="00B31CA5"/>
    <w:rsid w:val="00B32922"/>
    <w:rsid w:val="00B337FC"/>
    <w:rsid w:val="00B34408"/>
    <w:rsid w:val="00B34B22"/>
    <w:rsid w:val="00B34C73"/>
    <w:rsid w:val="00B351C6"/>
    <w:rsid w:val="00B3631D"/>
    <w:rsid w:val="00B37566"/>
    <w:rsid w:val="00B37F14"/>
    <w:rsid w:val="00B40152"/>
    <w:rsid w:val="00B40B22"/>
    <w:rsid w:val="00B40DAF"/>
    <w:rsid w:val="00B42B67"/>
    <w:rsid w:val="00B4406F"/>
    <w:rsid w:val="00B44644"/>
    <w:rsid w:val="00B44B24"/>
    <w:rsid w:val="00B44E4A"/>
    <w:rsid w:val="00B452CD"/>
    <w:rsid w:val="00B45677"/>
    <w:rsid w:val="00B458AB"/>
    <w:rsid w:val="00B45A7A"/>
    <w:rsid w:val="00B46200"/>
    <w:rsid w:val="00B46231"/>
    <w:rsid w:val="00B4720D"/>
    <w:rsid w:val="00B504DF"/>
    <w:rsid w:val="00B50518"/>
    <w:rsid w:val="00B51E03"/>
    <w:rsid w:val="00B52623"/>
    <w:rsid w:val="00B52C91"/>
    <w:rsid w:val="00B54E3E"/>
    <w:rsid w:val="00B558EF"/>
    <w:rsid w:val="00B56209"/>
    <w:rsid w:val="00B5648E"/>
    <w:rsid w:val="00B60C5A"/>
    <w:rsid w:val="00B6157B"/>
    <w:rsid w:val="00B620BE"/>
    <w:rsid w:val="00B63319"/>
    <w:rsid w:val="00B63E86"/>
    <w:rsid w:val="00B6441C"/>
    <w:rsid w:val="00B65811"/>
    <w:rsid w:val="00B65E87"/>
    <w:rsid w:val="00B65EC4"/>
    <w:rsid w:val="00B663DF"/>
    <w:rsid w:val="00B70D1A"/>
    <w:rsid w:val="00B70F6E"/>
    <w:rsid w:val="00B715B6"/>
    <w:rsid w:val="00B7180E"/>
    <w:rsid w:val="00B718E5"/>
    <w:rsid w:val="00B72A78"/>
    <w:rsid w:val="00B74A85"/>
    <w:rsid w:val="00B75FE6"/>
    <w:rsid w:val="00B7633C"/>
    <w:rsid w:val="00B76E6E"/>
    <w:rsid w:val="00B80DD6"/>
    <w:rsid w:val="00B81A78"/>
    <w:rsid w:val="00B831CB"/>
    <w:rsid w:val="00B832C6"/>
    <w:rsid w:val="00B841C9"/>
    <w:rsid w:val="00B84BB9"/>
    <w:rsid w:val="00B84E88"/>
    <w:rsid w:val="00B85931"/>
    <w:rsid w:val="00B87236"/>
    <w:rsid w:val="00B9119D"/>
    <w:rsid w:val="00B92725"/>
    <w:rsid w:val="00B929F7"/>
    <w:rsid w:val="00B9321B"/>
    <w:rsid w:val="00B941D0"/>
    <w:rsid w:val="00B9428B"/>
    <w:rsid w:val="00B94B16"/>
    <w:rsid w:val="00B94DB0"/>
    <w:rsid w:val="00B951EE"/>
    <w:rsid w:val="00B956D2"/>
    <w:rsid w:val="00B9671F"/>
    <w:rsid w:val="00B9699A"/>
    <w:rsid w:val="00B96FED"/>
    <w:rsid w:val="00B9798C"/>
    <w:rsid w:val="00BA0C9E"/>
    <w:rsid w:val="00BA1019"/>
    <w:rsid w:val="00BA12C5"/>
    <w:rsid w:val="00BA2E4F"/>
    <w:rsid w:val="00BA3247"/>
    <w:rsid w:val="00BA4170"/>
    <w:rsid w:val="00BA47B3"/>
    <w:rsid w:val="00BA4C26"/>
    <w:rsid w:val="00BA4DFD"/>
    <w:rsid w:val="00BA7B04"/>
    <w:rsid w:val="00BA7B44"/>
    <w:rsid w:val="00BA7F9B"/>
    <w:rsid w:val="00BB1ACC"/>
    <w:rsid w:val="00BB22F2"/>
    <w:rsid w:val="00BB2E67"/>
    <w:rsid w:val="00BB35C0"/>
    <w:rsid w:val="00BB482F"/>
    <w:rsid w:val="00BB4D61"/>
    <w:rsid w:val="00BB5CF3"/>
    <w:rsid w:val="00BB6F56"/>
    <w:rsid w:val="00BB74CE"/>
    <w:rsid w:val="00BB78CA"/>
    <w:rsid w:val="00BB7A69"/>
    <w:rsid w:val="00BC0C64"/>
    <w:rsid w:val="00BC0E80"/>
    <w:rsid w:val="00BC0F9D"/>
    <w:rsid w:val="00BC1B16"/>
    <w:rsid w:val="00BC2086"/>
    <w:rsid w:val="00BC28C8"/>
    <w:rsid w:val="00BC2BEA"/>
    <w:rsid w:val="00BC3586"/>
    <w:rsid w:val="00BC6E61"/>
    <w:rsid w:val="00BC7232"/>
    <w:rsid w:val="00BC7720"/>
    <w:rsid w:val="00BC77C4"/>
    <w:rsid w:val="00BD112B"/>
    <w:rsid w:val="00BD16DF"/>
    <w:rsid w:val="00BD170B"/>
    <w:rsid w:val="00BD4985"/>
    <w:rsid w:val="00BD4E13"/>
    <w:rsid w:val="00BD5548"/>
    <w:rsid w:val="00BD662E"/>
    <w:rsid w:val="00BD6952"/>
    <w:rsid w:val="00BD6E15"/>
    <w:rsid w:val="00BD73C5"/>
    <w:rsid w:val="00BD77CB"/>
    <w:rsid w:val="00BE154B"/>
    <w:rsid w:val="00BE19D5"/>
    <w:rsid w:val="00BE2176"/>
    <w:rsid w:val="00BE35EB"/>
    <w:rsid w:val="00BE4964"/>
    <w:rsid w:val="00BE5873"/>
    <w:rsid w:val="00BE5EAA"/>
    <w:rsid w:val="00BE7032"/>
    <w:rsid w:val="00BE70F4"/>
    <w:rsid w:val="00BF13EB"/>
    <w:rsid w:val="00BF1A74"/>
    <w:rsid w:val="00BF2384"/>
    <w:rsid w:val="00BF2BF4"/>
    <w:rsid w:val="00BF42A9"/>
    <w:rsid w:val="00BF45B6"/>
    <w:rsid w:val="00BF4B10"/>
    <w:rsid w:val="00BF6149"/>
    <w:rsid w:val="00BF6A69"/>
    <w:rsid w:val="00BF6F20"/>
    <w:rsid w:val="00BF72F5"/>
    <w:rsid w:val="00BF73F2"/>
    <w:rsid w:val="00BF7D02"/>
    <w:rsid w:val="00C0140A"/>
    <w:rsid w:val="00C02049"/>
    <w:rsid w:val="00C04DA3"/>
    <w:rsid w:val="00C056E4"/>
    <w:rsid w:val="00C05B26"/>
    <w:rsid w:val="00C10131"/>
    <w:rsid w:val="00C10257"/>
    <w:rsid w:val="00C105BB"/>
    <w:rsid w:val="00C1085C"/>
    <w:rsid w:val="00C1200D"/>
    <w:rsid w:val="00C12034"/>
    <w:rsid w:val="00C1377A"/>
    <w:rsid w:val="00C1552A"/>
    <w:rsid w:val="00C17099"/>
    <w:rsid w:val="00C20885"/>
    <w:rsid w:val="00C2169C"/>
    <w:rsid w:val="00C227E3"/>
    <w:rsid w:val="00C22CE3"/>
    <w:rsid w:val="00C2537B"/>
    <w:rsid w:val="00C26866"/>
    <w:rsid w:val="00C30435"/>
    <w:rsid w:val="00C318D0"/>
    <w:rsid w:val="00C33437"/>
    <w:rsid w:val="00C34F41"/>
    <w:rsid w:val="00C350E4"/>
    <w:rsid w:val="00C352D9"/>
    <w:rsid w:val="00C36239"/>
    <w:rsid w:val="00C37349"/>
    <w:rsid w:val="00C3767A"/>
    <w:rsid w:val="00C40E46"/>
    <w:rsid w:val="00C43A04"/>
    <w:rsid w:val="00C43BEE"/>
    <w:rsid w:val="00C4417F"/>
    <w:rsid w:val="00C45890"/>
    <w:rsid w:val="00C45A52"/>
    <w:rsid w:val="00C46894"/>
    <w:rsid w:val="00C4740F"/>
    <w:rsid w:val="00C4752E"/>
    <w:rsid w:val="00C479D8"/>
    <w:rsid w:val="00C47F47"/>
    <w:rsid w:val="00C50B41"/>
    <w:rsid w:val="00C515EB"/>
    <w:rsid w:val="00C51704"/>
    <w:rsid w:val="00C52962"/>
    <w:rsid w:val="00C52B90"/>
    <w:rsid w:val="00C53199"/>
    <w:rsid w:val="00C53417"/>
    <w:rsid w:val="00C55874"/>
    <w:rsid w:val="00C5677C"/>
    <w:rsid w:val="00C56C23"/>
    <w:rsid w:val="00C56C4C"/>
    <w:rsid w:val="00C57BF6"/>
    <w:rsid w:val="00C60F07"/>
    <w:rsid w:val="00C61358"/>
    <w:rsid w:val="00C61937"/>
    <w:rsid w:val="00C62231"/>
    <w:rsid w:val="00C62740"/>
    <w:rsid w:val="00C6276F"/>
    <w:rsid w:val="00C62864"/>
    <w:rsid w:val="00C6300E"/>
    <w:rsid w:val="00C63363"/>
    <w:rsid w:val="00C6397F"/>
    <w:rsid w:val="00C64A36"/>
    <w:rsid w:val="00C652F8"/>
    <w:rsid w:val="00C658D2"/>
    <w:rsid w:val="00C65C00"/>
    <w:rsid w:val="00C66D0D"/>
    <w:rsid w:val="00C66D3C"/>
    <w:rsid w:val="00C70655"/>
    <w:rsid w:val="00C7118D"/>
    <w:rsid w:val="00C7211C"/>
    <w:rsid w:val="00C72572"/>
    <w:rsid w:val="00C73181"/>
    <w:rsid w:val="00C74821"/>
    <w:rsid w:val="00C7508E"/>
    <w:rsid w:val="00C754A9"/>
    <w:rsid w:val="00C75DDF"/>
    <w:rsid w:val="00C76735"/>
    <w:rsid w:val="00C76D0C"/>
    <w:rsid w:val="00C77455"/>
    <w:rsid w:val="00C77F17"/>
    <w:rsid w:val="00C8032B"/>
    <w:rsid w:val="00C8130F"/>
    <w:rsid w:val="00C816FA"/>
    <w:rsid w:val="00C81D17"/>
    <w:rsid w:val="00C824BB"/>
    <w:rsid w:val="00C83719"/>
    <w:rsid w:val="00C84328"/>
    <w:rsid w:val="00C86772"/>
    <w:rsid w:val="00C86AF9"/>
    <w:rsid w:val="00C877BE"/>
    <w:rsid w:val="00C90B51"/>
    <w:rsid w:val="00C90EEB"/>
    <w:rsid w:val="00C9364B"/>
    <w:rsid w:val="00C93B65"/>
    <w:rsid w:val="00C94510"/>
    <w:rsid w:val="00C94C70"/>
    <w:rsid w:val="00C955E4"/>
    <w:rsid w:val="00C9647B"/>
    <w:rsid w:val="00C97074"/>
    <w:rsid w:val="00C97AC6"/>
    <w:rsid w:val="00C97C4B"/>
    <w:rsid w:val="00C97CE2"/>
    <w:rsid w:val="00CA199C"/>
    <w:rsid w:val="00CA1FF7"/>
    <w:rsid w:val="00CA20B5"/>
    <w:rsid w:val="00CA2C14"/>
    <w:rsid w:val="00CA3149"/>
    <w:rsid w:val="00CA3176"/>
    <w:rsid w:val="00CA38B7"/>
    <w:rsid w:val="00CA3D3A"/>
    <w:rsid w:val="00CA41FB"/>
    <w:rsid w:val="00CB1B77"/>
    <w:rsid w:val="00CB258D"/>
    <w:rsid w:val="00CB2BE5"/>
    <w:rsid w:val="00CB2F25"/>
    <w:rsid w:val="00CB35C7"/>
    <w:rsid w:val="00CB490D"/>
    <w:rsid w:val="00CB5A08"/>
    <w:rsid w:val="00CB5A58"/>
    <w:rsid w:val="00CB5AD5"/>
    <w:rsid w:val="00CB5BAF"/>
    <w:rsid w:val="00CB608A"/>
    <w:rsid w:val="00CB6BDF"/>
    <w:rsid w:val="00CB72C6"/>
    <w:rsid w:val="00CB7BC0"/>
    <w:rsid w:val="00CC01A3"/>
    <w:rsid w:val="00CC0533"/>
    <w:rsid w:val="00CC0FDC"/>
    <w:rsid w:val="00CC104D"/>
    <w:rsid w:val="00CC13BE"/>
    <w:rsid w:val="00CC2689"/>
    <w:rsid w:val="00CC292A"/>
    <w:rsid w:val="00CC5945"/>
    <w:rsid w:val="00CC5B17"/>
    <w:rsid w:val="00CC5D60"/>
    <w:rsid w:val="00CC6C18"/>
    <w:rsid w:val="00CC73CC"/>
    <w:rsid w:val="00CC7B64"/>
    <w:rsid w:val="00CD01D1"/>
    <w:rsid w:val="00CD0F83"/>
    <w:rsid w:val="00CD22BC"/>
    <w:rsid w:val="00CD3AD0"/>
    <w:rsid w:val="00CD4574"/>
    <w:rsid w:val="00CD59A0"/>
    <w:rsid w:val="00CD5D24"/>
    <w:rsid w:val="00CD653D"/>
    <w:rsid w:val="00CD75EE"/>
    <w:rsid w:val="00CD7712"/>
    <w:rsid w:val="00CE0ABD"/>
    <w:rsid w:val="00CE0CDA"/>
    <w:rsid w:val="00CE1586"/>
    <w:rsid w:val="00CE1D9A"/>
    <w:rsid w:val="00CE1F87"/>
    <w:rsid w:val="00CE2252"/>
    <w:rsid w:val="00CE2525"/>
    <w:rsid w:val="00CE3CD9"/>
    <w:rsid w:val="00CE4D70"/>
    <w:rsid w:val="00CE5630"/>
    <w:rsid w:val="00CE59F2"/>
    <w:rsid w:val="00CE7138"/>
    <w:rsid w:val="00CE78C2"/>
    <w:rsid w:val="00CF022E"/>
    <w:rsid w:val="00CF0AE5"/>
    <w:rsid w:val="00CF1131"/>
    <w:rsid w:val="00CF2680"/>
    <w:rsid w:val="00CF2E96"/>
    <w:rsid w:val="00CF4A1E"/>
    <w:rsid w:val="00CF5D2F"/>
    <w:rsid w:val="00CF634F"/>
    <w:rsid w:val="00CF6CED"/>
    <w:rsid w:val="00CF7654"/>
    <w:rsid w:val="00D00081"/>
    <w:rsid w:val="00D00B18"/>
    <w:rsid w:val="00D01212"/>
    <w:rsid w:val="00D016EF"/>
    <w:rsid w:val="00D01D08"/>
    <w:rsid w:val="00D034DD"/>
    <w:rsid w:val="00D03F79"/>
    <w:rsid w:val="00D04141"/>
    <w:rsid w:val="00D0426E"/>
    <w:rsid w:val="00D06019"/>
    <w:rsid w:val="00D06BCB"/>
    <w:rsid w:val="00D07E93"/>
    <w:rsid w:val="00D1005B"/>
    <w:rsid w:val="00D10608"/>
    <w:rsid w:val="00D10ADC"/>
    <w:rsid w:val="00D1250D"/>
    <w:rsid w:val="00D14051"/>
    <w:rsid w:val="00D155E5"/>
    <w:rsid w:val="00D16258"/>
    <w:rsid w:val="00D20843"/>
    <w:rsid w:val="00D215E9"/>
    <w:rsid w:val="00D22206"/>
    <w:rsid w:val="00D22354"/>
    <w:rsid w:val="00D2279F"/>
    <w:rsid w:val="00D22FE9"/>
    <w:rsid w:val="00D236E7"/>
    <w:rsid w:val="00D24304"/>
    <w:rsid w:val="00D24317"/>
    <w:rsid w:val="00D254AB"/>
    <w:rsid w:val="00D25FBD"/>
    <w:rsid w:val="00D26B18"/>
    <w:rsid w:val="00D273D6"/>
    <w:rsid w:val="00D275B1"/>
    <w:rsid w:val="00D27BD9"/>
    <w:rsid w:val="00D3023B"/>
    <w:rsid w:val="00D3096D"/>
    <w:rsid w:val="00D326FC"/>
    <w:rsid w:val="00D339E4"/>
    <w:rsid w:val="00D3410E"/>
    <w:rsid w:val="00D349E4"/>
    <w:rsid w:val="00D351DE"/>
    <w:rsid w:val="00D3538D"/>
    <w:rsid w:val="00D357AA"/>
    <w:rsid w:val="00D36329"/>
    <w:rsid w:val="00D36E2A"/>
    <w:rsid w:val="00D36FF5"/>
    <w:rsid w:val="00D40CB5"/>
    <w:rsid w:val="00D41E36"/>
    <w:rsid w:val="00D42474"/>
    <w:rsid w:val="00D43047"/>
    <w:rsid w:val="00D45B78"/>
    <w:rsid w:val="00D4630D"/>
    <w:rsid w:val="00D46D80"/>
    <w:rsid w:val="00D478F4"/>
    <w:rsid w:val="00D47EFE"/>
    <w:rsid w:val="00D50E16"/>
    <w:rsid w:val="00D513FF"/>
    <w:rsid w:val="00D52006"/>
    <w:rsid w:val="00D53768"/>
    <w:rsid w:val="00D549CC"/>
    <w:rsid w:val="00D55715"/>
    <w:rsid w:val="00D60567"/>
    <w:rsid w:val="00D609E4"/>
    <w:rsid w:val="00D60CB2"/>
    <w:rsid w:val="00D63575"/>
    <w:rsid w:val="00D63D72"/>
    <w:rsid w:val="00D63E6D"/>
    <w:rsid w:val="00D648C5"/>
    <w:rsid w:val="00D64F60"/>
    <w:rsid w:val="00D66CD3"/>
    <w:rsid w:val="00D66E62"/>
    <w:rsid w:val="00D70305"/>
    <w:rsid w:val="00D70B2D"/>
    <w:rsid w:val="00D70BB0"/>
    <w:rsid w:val="00D72918"/>
    <w:rsid w:val="00D72F82"/>
    <w:rsid w:val="00D7367F"/>
    <w:rsid w:val="00D73EFE"/>
    <w:rsid w:val="00D74B53"/>
    <w:rsid w:val="00D74F99"/>
    <w:rsid w:val="00D75C65"/>
    <w:rsid w:val="00D764FD"/>
    <w:rsid w:val="00D76D88"/>
    <w:rsid w:val="00D77CB2"/>
    <w:rsid w:val="00D80070"/>
    <w:rsid w:val="00D80572"/>
    <w:rsid w:val="00D8128A"/>
    <w:rsid w:val="00D8204F"/>
    <w:rsid w:val="00D82989"/>
    <w:rsid w:val="00D82F23"/>
    <w:rsid w:val="00D833F2"/>
    <w:rsid w:val="00D834B5"/>
    <w:rsid w:val="00D845FD"/>
    <w:rsid w:val="00D857C8"/>
    <w:rsid w:val="00D858D8"/>
    <w:rsid w:val="00D85B3C"/>
    <w:rsid w:val="00D863A2"/>
    <w:rsid w:val="00D86791"/>
    <w:rsid w:val="00D86888"/>
    <w:rsid w:val="00D872A6"/>
    <w:rsid w:val="00D878F2"/>
    <w:rsid w:val="00D87FF6"/>
    <w:rsid w:val="00D901F1"/>
    <w:rsid w:val="00D91679"/>
    <w:rsid w:val="00D92699"/>
    <w:rsid w:val="00D9392A"/>
    <w:rsid w:val="00D95F3F"/>
    <w:rsid w:val="00D97BFD"/>
    <w:rsid w:val="00D97F9F"/>
    <w:rsid w:val="00DA0A14"/>
    <w:rsid w:val="00DA1BEB"/>
    <w:rsid w:val="00DA1E65"/>
    <w:rsid w:val="00DA2711"/>
    <w:rsid w:val="00DA3BF4"/>
    <w:rsid w:val="00DA4AD0"/>
    <w:rsid w:val="00DA4B17"/>
    <w:rsid w:val="00DA518A"/>
    <w:rsid w:val="00DA57AA"/>
    <w:rsid w:val="00DA5B7A"/>
    <w:rsid w:val="00DA5CB6"/>
    <w:rsid w:val="00DA5D66"/>
    <w:rsid w:val="00DA6B23"/>
    <w:rsid w:val="00DA790B"/>
    <w:rsid w:val="00DB0BFE"/>
    <w:rsid w:val="00DB2EC1"/>
    <w:rsid w:val="00DB3712"/>
    <w:rsid w:val="00DB39DD"/>
    <w:rsid w:val="00DB4C5E"/>
    <w:rsid w:val="00DB51CD"/>
    <w:rsid w:val="00DB735C"/>
    <w:rsid w:val="00DB7917"/>
    <w:rsid w:val="00DB7B89"/>
    <w:rsid w:val="00DC0011"/>
    <w:rsid w:val="00DC0937"/>
    <w:rsid w:val="00DC1210"/>
    <w:rsid w:val="00DC1264"/>
    <w:rsid w:val="00DC16B0"/>
    <w:rsid w:val="00DC29E7"/>
    <w:rsid w:val="00DC3075"/>
    <w:rsid w:val="00DC312B"/>
    <w:rsid w:val="00DC4767"/>
    <w:rsid w:val="00DC4859"/>
    <w:rsid w:val="00DC5244"/>
    <w:rsid w:val="00DC53EC"/>
    <w:rsid w:val="00DC5AFE"/>
    <w:rsid w:val="00DC6B9A"/>
    <w:rsid w:val="00DC7D55"/>
    <w:rsid w:val="00DD0C03"/>
    <w:rsid w:val="00DD0ED0"/>
    <w:rsid w:val="00DD1CEB"/>
    <w:rsid w:val="00DD2D87"/>
    <w:rsid w:val="00DD490A"/>
    <w:rsid w:val="00DD5C33"/>
    <w:rsid w:val="00DD7770"/>
    <w:rsid w:val="00DE00A6"/>
    <w:rsid w:val="00DE01FD"/>
    <w:rsid w:val="00DE1975"/>
    <w:rsid w:val="00DE2E88"/>
    <w:rsid w:val="00DE324B"/>
    <w:rsid w:val="00DE3E34"/>
    <w:rsid w:val="00DE4D8F"/>
    <w:rsid w:val="00DE5D3B"/>
    <w:rsid w:val="00DE6725"/>
    <w:rsid w:val="00DE726E"/>
    <w:rsid w:val="00DE7F32"/>
    <w:rsid w:val="00DF0A7A"/>
    <w:rsid w:val="00DF115A"/>
    <w:rsid w:val="00DF12E1"/>
    <w:rsid w:val="00DF1460"/>
    <w:rsid w:val="00DF206E"/>
    <w:rsid w:val="00DF55B5"/>
    <w:rsid w:val="00DF5EF9"/>
    <w:rsid w:val="00DF6E60"/>
    <w:rsid w:val="00DF75D1"/>
    <w:rsid w:val="00DF7FE2"/>
    <w:rsid w:val="00E000F2"/>
    <w:rsid w:val="00E00CD7"/>
    <w:rsid w:val="00E013FC"/>
    <w:rsid w:val="00E018A7"/>
    <w:rsid w:val="00E0194D"/>
    <w:rsid w:val="00E02C40"/>
    <w:rsid w:val="00E031DA"/>
    <w:rsid w:val="00E03D7E"/>
    <w:rsid w:val="00E042E3"/>
    <w:rsid w:val="00E047DD"/>
    <w:rsid w:val="00E04D85"/>
    <w:rsid w:val="00E05196"/>
    <w:rsid w:val="00E05938"/>
    <w:rsid w:val="00E064C3"/>
    <w:rsid w:val="00E067F3"/>
    <w:rsid w:val="00E07166"/>
    <w:rsid w:val="00E10701"/>
    <w:rsid w:val="00E10A43"/>
    <w:rsid w:val="00E10AB8"/>
    <w:rsid w:val="00E114CA"/>
    <w:rsid w:val="00E12293"/>
    <w:rsid w:val="00E12B13"/>
    <w:rsid w:val="00E12B41"/>
    <w:rsid w:val="00E1338A"/>
    <w:rsid w:val="00E1393B"/>
    <w:rsid w:val="00E13BF1"/>
    <w:rsid w:val="00E1448D"/>
    <w:rsid w:val="00E14973"/>
    <w:rsid w:val="00E202BB"/>
    <w:rsid w:val="00E22477"/>
    <w:rsid w:val="00E2253B"/>
    <w:rsid w:val="00E23F52"/>
    <w:rsid w:val="00E244FB"/>
    <w:rsid w:val="00E25060"/>
    <w:rsid w:val="00E26597"/>
    <w:rsid w:val="00E26AEB"/>
    <w:rsid w:val="00E26B7C"/>
    <w:rsid w:val="00E27CC9"/>
    <w:rsid w:val="00E3076A"/>
    <w:rsid w:val="00E30950"/>
    <w:rsid w:val="00E310D2"/>
    <w:rsid w:val="00E316FF"/>
    <w:rsid w:val="00E32FF3"/>
    <w:rsid w:val="00E3307E"/>
    <w:rsid w:val="00E33382"/>
    <w:rsid w:val="00E349B9"/>
    <w:rsid w:val="00E35FFC"/>
    <w:rsid w:val="00E366DD"/>
    <w:rsid w:val="00E40F61"/>
    <w:rsid w:val="00E40FD1"/>
    <w:rsid w:val="00E41AB5"/>
    <w:rsid w:val="00E43136"/>
    <w:rsid w:val="00E432AB"/>
    <w:rsid w:val="00E44618"/>
    <w:rsid w:val="00E45B21"/>
    <w:rsid w:val="00E45E08"/>
    <w:rsid w:val="00E467C7"/>
    <w:rsid w:val="00E476AF"/>
    <w:rsid w:val="00E51EE5"/>
    <w:rsid w:val="00E52040"/>
    <w:rsid w:val="00E5388C"/>
    <w:rsid w:val="00E54FFA"/>
    <w:rsid w:val="00E553A0"/>
    <w:rsid w:val="00E5586F"/>
    <w:rsid w:val="00E57223"/>
    <w:rsid w:val="00E5743C"/>
    <w:rsid w:val="00E57844"/>
    <w:rsid w:val="00E60AA9"/>
    <w:rsid w:val="00E60AAC"/>
    <w:rsid w:val="00E60F6A"/>
    <w:rsid w:val="00E616D9"/>
    <w:rsid w:val="00E61D04"/>
    <w:rsid w:val="00E640C0"/>
    <w:rsid w:val="00E64665"/>
    <w:rsid w:val="00E649A5"/>
    <w:rsid w:val="00E64DC3"/>
    <w:rsid w:val="00E654C0"/>
    <w:rsid w:val="00E6592A"/>
    <w:rsid w:val="00E65B9D"/>
    <w:rsid w:val="00E65FB8"/>
    <w:rsid w:val="00E66012"/>
    <w:rsid w:val="00E661FB"/>
    <w:rsid w:val="00E66EA4"/>
    <w:rsid w:val="00E67354"/>
    <w:rsid w:val="00E67B3D"/>
    <w:rsid w:val="00E71435"/>
    <w:rsid w:val="00E71447"/>
    <w:rsid w:val="00E71CF9"/>
    <w:rsid w:val="00E721E0"/>
    <w:rsid w:val="00E7230C"/>
    <w:rsid w:val="00E7291F"/>
    <w:rsid w:val="00E72C0A"/>
    <w:rsid w:val="00E72C39"/>
    <w:rsid w:val="00E733C1"/>
    <w:rsid w:val="00E737DC"/>
    <w:rsid w:val="00E73B40"/>
    <w:rsid w:val="00E73C8B"/>
    <w:rsid w:val="00E73F92"/>
    <w:rsid w:val="00E7404A"/>
    <w:rsid w:val="00E74907"/>
    <w:rsid w:val="00E74A43"/>
    <w:rsid w:val="00E74E7F"/>
    <w:rsid w:val="00E74F59"/>
    <w:rsid w:val="00E7570E"/>
    <w:rsid w:val="00E757F4"/>
    <w:rsid w:val="00E76A93"/>
    <w:rsid w:val="00E76C45"/>
    <w:rsid w:val="00E772BE"/>
    <w:rsid w:val="00E77E77"/>
    <w:rsid w:val="00E77ED0"/>
    <w:rsid w:val="00E8068E"/>
    <w:rsid w:val="00E81DE1"/>
    <w:rsid w:val="00E82C12"/>
    <w:rsid w:val="00E82DF7"/>
    <w:rsid w:val="00E8350A"/>
    <w:rsid w:val="00E84F6E"/>
    <w:rsid w:val="00E8579D"/>
    <w:rsid w:val="00E85E5E"/>
    <w:rsid w:val="00E87D5C"/>
    <w:rsid w:val="00E911FD"/>
    <w:rsid w:val="00E91D3E"/>
    <w:rsid w:val="00E945F1"/>
    <w:rsid w:val="00E94E9F"/>
    <w:rsid w:val="00E94F5B"/>
    <w:rsid w:val="00E9558E"/>
    <w:rsid w:val="00E962C4"/>
    <w:rsid w:val="00E97854"/>
    <w:rsid w:val="00E97C8D"/>
    <w:rsid w:val="00EA1022"/>
    <w:rsid w:val="00EA1248"/>
    <w:rsid w:val="00EA18D1"/>
    <w:rsid w:val="00EA190D"/>
    <w:rsid w:val="00EA2655"/>
    <w:rsid w:val="00EA2AB1"/>
    <w:rsid w:val="00EA2EBF"/>
    <w:rsid w:val="00EA4E74"/>
    <w:rsid w:val="00EA58C8"/>
    <w:rsid w:val="00EA6E55"/>
    <w:rsid w:val="00EB09CA"/>
    <w:rsid w:val="00EB0F47"/>
    <w:rsid w:val="00EB0FCF"/>
    <w:rsid w:val="00EB1E61"/>
    <w:rsid w:val="00EB1FD2"/>
    <w:rsid w:val="00EB2AF5"/>
    <w:rsid w:val="00EB2DAE"/>
    <w:rsid w:val="00EB2EDD"/>
    <w:rsid w:val="00EB3280"/>
    <w:rsid w:val="00EB3C42"/>
    <w:rsid w:val="00EB465A"/>
    <w:rsid w:val="00EB4A88"/>
    <w:rsid w:val="00EB4BB9"/>
    <w:rsid w:val="00EB589A"/>
    <w:rsid w:val="00EB6981"/>
    <w:rsid w:val="00EC00AF"/>
    <w:rsid w:val="00EC125B"/>
    <w:rsid w:val="00EC27F6"/>
    <w:rsid w:val="00EC3EAF"/>
    <w:rsid w:val="00EC408A"/>
    <w:rsid w:val="00EC44DD"/>
    <w:rsid w:val="00EC4567"/>
    <w:rsid w:val="00EC474E"/>
    <w:rsid w:val="00EC593F"/>
    <w:rsid w:val="00EC6B3F"/>
    <w:rsid w:val="00EC6DDD"/>
    <w:rsid w:val="00EC7386"/>
    <w:rsid w:val="00ED0473"/>
    <w:rsid w:val="00ED11D9"/>
    <w:rsid w:val="00ED1FE9"/>
    <w:rsid w:val="00ED266F"/>
    <w:rsid w:val="00ED2734"/>
    <w:rsid w:val="00ED46F3"/>
    <w:rsid w:val="00ED4C5A"/>
    <w:rsid w:val="00ED5398"/>
    <w:rsid w:val="00ED63B4"/>
    <w:rsid w:val="00EE1099"/>
    <w:rsid w:val="00EE2340"/>
    <w:rsid w:val="00EE2EB8"/>
    <w:rsid w:val="00EE38AE"/>
    <w:rsid w:val="00EE5A1D"/>
    <w:rsid w:val="00EE5FE0"/>
    <w:rsid w:val="00EE669A"/>
    <w:rsid w:val="00EF07D1"/>
    <w:rsid w:val="00EF2B59"/>
    <w:rsid w:val="00EF3293"/>
    <w:rsid w:val="00EF4093"/>
    <w:rsid w:val="00EF50BC"/>
    <w:rsid w:val="00EF51F3"/>
    <w:rsid w:val="00EF5BE7"/>
    <w:rsid w:val="00EF5E89"/>
    <w:rsid w:val="00EF6979"/>
    <w:rsid w:val="00EF7265"/>
    <w:rsid w:val="00EF7529"/>
    <w:rsid w:val="00EF78B8"/>
    <w:rsid w:val="00EF7B7C"/>
    <w:rsid w:val="00F00E7B"/>
    <w:rsid w:val="00F01F9D"/>
    <w:rsid w:val="00F01FF3"/>
    <w:rsid w:val="00F022CD"/>
    <w:rsid w:val="00F02B40"/>
    <w:rsid w:val="00F02B48"/>
    <w:rsid w:val="00F02D03"/>
    <w:rsid w:val="00F057C4"/>
    <w:rsid w:val="00F05E5F"/>
    <w:rsid w:val="00F075E2"/>
    <w:rsid w:val="00F07CD0"/>
    <w:rsid w:val="00F11762"/>
    <w:rsid w:val="00F14B5C"/>
    <w:rsid w:val="00F15278"/>
    <w:rsid w:val="00F1578F"/>
    <w:rsid w:val="00F16294"/>
    <w:rsid w:val="00F16493"/>
    <w:rsid w:val="00F17262"/>
    <w:rsid w:val="00F2046A"/>
    <w:rsid w:val="00F205F7"/>
    <w:rsid w:val="00F21187"/>
    <w:rsid w:val="00F211BE"/>
    <w:rsid w:val="00F21FB8"/>
    <w:rsid w:val="00F22098"/>
    <w:rsid w:val="00F2274C"/>
    <w:rsid w:val="00F22D56"/>
    <w:rsid w:val="00F236FA"/>
    <w:rsid w:val="00F23B28"/>
    <w:rsid w:val="00F2481E"/>
    <w:rsid w:val="00F24A5E"/>
    <w:rsid w:val="00F24E86"/>
    <w:rsid w:val="00F26DEA"/>
    <w:rsid w:val="00F276CB"/>
    <w:rsid w:val="00F3116D"/>
    <w:rsid w:val="00F3140B"/>
    <w:rsid w:val="00F31976"/>
    <w:rsid w:val="00F31D17"/>
    <w:rsid w:val="00F3310B"/>
    <w:rsid w:val="00F33E84"/>
    <w:rsid w:val="00F33F1A"/>
    <w:rsid w:val="00F359B8"/>
    <w:rsid w:val="00F35DF6"/>
    <w:rsid w:val="00F35E45"/>
    <w:rsid w:val="00F36A17"/>
    <w:rsid w:val="00F37509"/>
    <w:rsid w:val="00F37A64"/>
    <w:rsid w:val="00F40BBE"/>
    <w:rsid w:val="00F41EF5"/>
    <w:rsid w:val="00F42AB7"/>
    <w:rsid w:val="00F4307A"/>
    <w:rsid w:val="00F43A91"/>
    <w:rsid w:val="00F447E0"/>
    <w:rsid w:val="00F45207"/>
    <w:rsid w:val="00F46957"/>
    <w:rsid w:val="00F46BEA"/>
    <w:rsid w:val="00F475A2"/>
    <w:rsid w:val="00F505A0"/>
    <w:rsid w:val="00F51C6A"/>
    <w:rsid w:val="00F51FEF"/>
    <w:rsid w:val="00F52114"/>
    <w:rsid w:val="00F525A4"/>
    <w:rsid w:val="00F526D4"/>
    <w:rsid w:val="00F5359F"/>
    <w:rsid w:val="00F5395D"/>
    <w:rsid w:val="00F539C3"/>
    <w:rsid w:val="00F54E8B"/>
    <w:rsid w:val="00F553B0"/>
    <w:rsid w:val="00F5597F"/>
    <w:rsid w:val="00F55D4B"/>
    <w:rsid w:val="00F55DE3"/>
    <w:rsid w:val="00F570A1"/>
    <w:rsid w:val="00F570A4"/>
    <w:rsid w:val="00F57C30"/>
    <w:rsid w:val="00F57E15"/>
    <w:rsid w:val="00F60FAF"/>
    <w:rsid w:val="00F629EC"/>
    <w:rsid w:val="00F637ED"/>
    <w:rsid w:val="00F63998"/>
    <w:rsid w:val="00F639C8"/>
    <w:rsid w:val="00F6631D"/>
    <w:rsid w:val="00F67AD2"/>
    <w:rsid w:val="00F67C9B"/>
    <w:rsid w:val="00F7012A"/>
    <w:rsid w:val="00F712FE"/>
    <w:rsid w:val="00F73E16"/>
    <w:rsid w:val="00F7402C"/>
    <w:rsid w:val="00F749AD"/>
    <w:rsid w:val="00F7519A"/>
    <w:rsid w:val="00F7564E"/>
    <w:rsid w:val="00F75A84"/>
    <w:rsid w:val="00F80642"/>
    <w:rsid w:val="00F808DE"/>
    <w:rsid w:val="00F80F1C"/>
    <w:rsid w:val="00F82119"/>
    <w:rsid w:val="00F82E87"/>
    <w:rsid w:val="00F83C4B"/>
    <w:rsid w:val="00F84A22"/>
    <w:rsid w:val="00F86DC8"/>
    <w:rsid w:val="00F87206"/>
    <w:rsid w:val="00F87EC3"/>
    <w:rsid w:val="00F900F0"/>
    <w:rsid w:val="00F91B4B"/>
    <w:rsid w:val="00F91E8D"/>
    <w:rsid w:val="00F933F9"/>
    <w:rsid w:val="00F93FF3"/>
    <w:rsid w:val="00F94F96"/>
    <w:rsid w:val="00F95C89"/>
    <w:rsid w:val="00F96BA5"/>
    <w:rsid w:val="00F978ED"/>
    <w:rsid w:val="00F97DB7"/>
    <w:rsid w:val="00F97DD3"/>
    <w:rsid w:val="00F97EE4"/>
    <w:rsid w:val="00FA008F"/>
    <w:rsid w:val="00FA055D"/>
    <w:rsid w:val="00FA09BC"/>
    <w:rsid w:val="00FA2103"/>
    <w:rsid w:val="00FA37CD"/>
    <w:rsid w:val="00FA47B5"/>
    <w:rsid w:val="00FA4836"/>
    <w:rsid w:val="00FA4D8D"/>
    <w:rsid w:val="00FA5A81"/>
    <w:rsid w:val="00FA7245"/>
    <w:rsid w:val="00FA7356"/>
    <w:rsid w:val="00FA78FE"/>
    <w:rsid w:val="00FB0D81"/>
    <w:rsid w:val="00FB230C"/>
    <w:rsid w:val="00FB3175"/>
    <w:rsid w:val="00FB45DB"/>
    <w:rsid w:val="00FB575B"/>
    <w:rsid w:val="00FB6007"/>
    <w:rsid w:val="00FB6674"/>
    <w:rsid w:val="00FB6A28"/>
    <w:rsid w:val="00FB7C21"/>
    <w:rsid w:val="00FC00BD"/>
    <w:rsid w:val="00FC053A"/>
    <w:rsid w:val="00FC1884"/>
    <w:rsid w:val="00FC28F5"/>
    <w:rsid w:val="00FC3A47"/>
    <w:rsid w:val="00FC4837"/>
    <w:rsid w:val="00FC4B0D"/>
    <w:rsid w:val="00FC4C59"/>
    <w:rsid w:val="00FC5AE5"/>
    <w:rsid w:val="00FC6B10"/>
    <w:rsid w:val="00FC7D6F"/>
    <w:rsid w:val="00FD0DA2"/>
    <w:rsid w:val="00FD399D"/>
    <w:rsid w:val="00FD3AD1"/>
    <w:rsid w:val="00FD4F16"/>
    <w:rsid w:val="00FD7165"/>
    <w:rsid w:val="00FD775D"/>
    <w:rsid w:val="00FD7F6F"/>
    <w:rsid w:val="00FE07AF"/>
    <w:rsid w:val="00FE15C6"/>
    <w:rsid w:val="00FE2B7E"/>
    <w:rsid w:val="00FE3854"/>
    <w:rsid w:val="00FE48A7"/>
    <w:rsid w:val="00FE490A"/>
    <w:rsid w:val="00FE4E3E"/>
    <w:rsid w:val="00FE55DB"/>
    <w:rsid w:val="00FE5931"/>
    <w:rsid w:val="00FE7EF0"/>
    <w:rsid w:val="00FF1426"/>
    <w:rsid w:val="00FF2758"/>
    <w:rsid w:val="00FF3006"/>
    <w:rsid w:val="00FF3E23"/>
    <w:rsid w:val="00FF45F7"/>
    <w:rsid w:val="00FF50D1"/>
    <w:rsid w:val="00FF59BA"/>
    <w:rsid w:val="00FF612E"/>
    <w:rsid w:val="00FF6509"/>
    <w:rsid w:val="00FF6B4E"/>
    <w:rsid w:val="00FF7B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26CB30"/>
  <w15:docId w15:val="{AB190B26-AE7F-4FFC-AFB2-BD76B2EA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49F"/>
    <w:pPr>
      <w:spacing w:before="120" w:after="240"/>
    </w:pPr>
    <w:rPr>
      <w:rFonts w:asciiTheme="minorHAnsi" w:hAnsiTheme="minorHAnsi"/>
      <w:color w:val="000000" w:themeColor="text1"/>
      <w:szCs w:val="18"/>
      <w:lang w:val="cs-CZ"/>
    </w:rPr>
  </w:style>
  <w:style w:type="paragraph" w:styleId="Heading1">
    <w:name w:val="heading 1"/>
    <w:basedOn w:val="BodyText"/>
    <w:next w:val="Normal"/>
    <w:link w:val="Heading1Char"/>
    <w:qFormat/>
    <w:rsid w:val="00F02B40"/>
    <w:pPr>
      <w:keepNext/>
      <w:pageBreakBefore/>
      <w:framePr w:w="10036" w:h="2359" w:hRule="exact" w:vSpace="1134" w:wrap="around" w:hAnchor="page" w:x="880" w:yAlign="top"/>
      <w:numPr>
        <w:numId w:val="10"/>
      </w:numPr>
      <w:pBdr>
        <w:top w:val="dotted" w:sz="8" w:space="14" w:color="C8BEAF" w:themeColor="accent2"/>
        <w:bottom w:val="dotted" w:sz="8" w:space="14" w:color="C8BEAF" w:themeColor="accent2"/>
      </w:pBdr>
      <w:spacing w:before="0" w:after="0"/>
      <w:outlineLvl w:val="0"/>
    </w:pPr>
    <w:rPr>
      <w:b/>
      <w:noProof/>
      <w:color w:val="4F2D7F" w:themeColor="accent1"/>
      <w:sz w:val="72"/>
      <w:szCs w:val="56"/>
    </w:rPr>
  </w:style>
  <w:style w:type="paragraph" w:styleId="Heading2">
    <w:name w:val="heading 2"/>
    <w:basedOn w:val="Heading3"/>
    <w:next w:val="Normal"/>
    <w:link w:val="Heading2Char"/>
    <w:qFormat/>
    <w:rsid w:val="00F02B40"/>
    <w:pPr>
      <w:numPr>
        <w:ilvl w:val="1"/>
      </w:numPr>
      <w:spacing w:before="360"/>
      <w:outlineLvl w:val="1"/>
    </w:pPr>
    <w:rPr>
      <w:b w:val="0"/>
      <w:color w:val="4F2D7F" w:themeColor="accent1"/>
      <w:sz w:val="24"/>
    </w:rPr>
  </w:style>
  <w:style w:type="paragraph" w:styleId="Heading3">
    <w:name w:val="heading 3"/>
    <w:basedOn w:val="Heading4"/>
    <w:next w:val="Heading4"/>
    <w:link w:val="Heading3Char"/>
    <w:qFormat/>
    <w:rsid w:val="00F02B40"/>
    <w:pPr>
      <w:numPr>
        <w:ilvl w:val="2"/>
      </w:numPr>
      <w:outlineLvl w:val="2"/>
    </w:pPr>
    <w:rPr>
      <w:rFonts w:eastAsia="Times New Roman"/>
      <w:b/>
      <w:color w:val="00A7B5" w:themeColor="accent3"/>
    </w:rPr>
  </w:style>
  <w:style w:type="paragraph" w:styleId="Heading4">
    <w:name w:val="heading 4"/>
    <w:basedOn w:val="BodyText"/>
    <w:next w:val="BodyText"/>
    <w:link w:val="Heading4Char"/>
    <w:qFormat/>
    <w:rsid w:val="00F02B40"/>
    <w:pPr>
      <w:keepNext/>
      <w:keepLines/>
      <w:numPr>
        <w:ilvl w:val="3"/>
        <w:numId w:val="10"/>
      </w:numPr>
      <w:spacing w:before="240"/>
      <w:outlineLvl w:val="3"/>
    </w:pPr>
    <w:rPr>
      <w:rFonts w:asciiTheme="majorHAnsi" w:eastAsiaTheme="majorEastAsia" w:hAnsiTheme="majorHAnsi" w:cstheme="majorBidi"/>
      <w:bCs/>
      <w:iCs/>
      <w:color w:val="4F2D7F" w:themeColor="accent1"/>
      <w:szCs w:val="18"/>
    </w:rPr>
  </w:style>
  <w:style w:type="paragraph" w:styleId="Heading5">
    <w:name w:val="heading 5"/>
    <w:basedOn w:val="Normal"/>
    <w:next w:val="Normal"/>
    <w:link w:val="Heading5Char"/>
    <w:unhideWhenUsed/>
    <w:rsid w:val="00926CE3"/>
    <w:pPr>
      <w:keepNext/>
      <w:keepLines/>
      <w:numPr>
        <w:ilvl w:val="4"/>
        <w:numId w:val="10"/>
      </w:numPr>
      <w:spacing w:before="240"/>
      <w:outlineLvl w:val="4"/>
    </w:pPr>
    <w:rPr>
      <w:rFonts w:asciiTheme="majorHAnsi" w:eastAsiaTheme="majorEastAsia" w:hAnsiTheme="majorHAnsi" w:cstheme="majorBidi"/>
      <w:color w:val="747678" w:themeColor="text2"/>
    </w:rPr>
  </w:style>
  <w:style w:type="paragraph" w:styleId="Heading6">
    <w:name w:val="heading 6"/>
    <w:basedOn w:val="Normal"/>
    <w:next w:val="Normal"/>
    <w:link w:val="Heading6Char"/>
    <w:unhideWhenUsed/>
    <w:rsid w:val="00B75FE6"/>
    <w:pPr>
      <w:numPr>
        <w:ilvl w:val="5"/>
        <w:numId w:val="10"/>
      </w:numPr>
      <w:spacing w:before="240"/>
      <w:outlineLvl w:val="5"/>
    </w:pPr>
    <w:rPr>
      <w:b/>
    </w:rPr>
  </w:style>
  <w:style w:type="paragraph" w:styleId="Heading7">
    <w:name w:val="heading 7"/>
    <w:basedOn w:val="Normal"/>
    <w:next w:val="Normal"/>
    <w:link w:val="Heading7Char"/>
    <w:semiHidden/>
    <w:rsid w:val="00926CE3"/>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rsid w:val="00926CE3"/>
    <w:pPr>
      <w:keepNext/>
      <w:keepLines/>
      <w:numPr>
        <w:ilvl w:val="7"/>
        <w:numId w:val="10"/>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rsid w:val="00926CE3"/>
    <w:pPr>
      <w:keepNext/>
      <w:keepLines/>
      <w:numPr>
        <w:ilvl w:val="8"/>
        <w:numId w:val="10"/>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26621"/>
    <w:rPr>
      <w:rFonts w:cstheme="minorHAnsi"/>
      <w:szCs w:val="20"/>
    </w:rPr>
  </w:style>
  <w:style w:type="character" w:customStyle="1" w:styleId="BodyTextChar">
    <w:name w:val="Body Text Char"/>
    <w:basedOn w:val="DefaultParagraphFont"/>
    <w:link w:val="BodyText"/>
    <w:rsid w:val="00605DC8"/>
    <w:rPr>
      <w:rFonts w:asciiTheme="minorHAnsi" w:hAnsiTheme="minorHAnsi" w:cstheme="minorHAnsi"/>
      <w:color w:val="000000" w:themeColor="text1"/>
      <w:sz w:val="18"/>
    </w:rPr>
  </w:style>
  <w:style w:type="character" w:styleId="Hyperlink">
    <w:name w:val="Hyperlink"/>
    <w:basedOn w:val="DefaultParagraphFont"/>
    <w:uiPriority w:val="99"/>
    <w:unhideWhenUsed/>
    <w:rsid w:val="00272C3B"/>
    <w:rPr>
      <w:noProof w:val="0"/>
      <w:color w:val="0000FF" w:themeColor="hyperlink"/>
      <w:u w:val="single"/>
      <w:lang w:val="en-GB"/>
    </w:rPr>
  </w:style>
  <w:style w:type="character" w:customStyle="1" w:styleId="Heading2Char">
    <w:name w:val="Heading 2 Char"/>
    <w:basedOn w:val="DefaultParagraphFont"/>
    <w:link w:val="Heading2"/>
    <w:rsid w:val="00F02B40"/>
    <w:rPr>
      <w:rFonts w:asciiTheme="majorHAnsi" w:hAnsiTheme="majorHAnsi" w:cstheme="majorBidi"/>
      <w:bCs/>
      <w:iCs/>
      <w:color w:val="4F2D7F" w:themeColor="accent1"/>
      <w:sz w:val="24"/>
      <w:szCs w:val="18"/>
      <w:lang w:val="cs-CZ"/>
    </w:rPr>
  </w:style>
  <w:style w:type="character" w:customStyle="1" w:styleId="Heading3Char">
    <w:name w:val="Heading 3 Char"/>
    <w:basedOn w:val="DefaultParagraphFont"/>
    <w:link w:val="Heading3"/>
    <w:rsid w:val="00F02B40"/>
    <w:rPr>
      <w:rFonts w:asciiTheme="majorHAnsi" w:hAnsiTheme="majorHAnsi" w:cstheme="majorBidi"/>
      <w:b/>
      <w:bCs/>
      <w:iCs/>
      <w:color w:val="00A7B5" w:themeColor="accent3"/>
      <w:szCs w:val="18"/>
      <w:lang w:val="cs-CZ"/>
    </w:rPr>
  </w:style>
  <w:style w:type="character" w:customStyle="1" w:styleId="Heading4Char">
    <w:name w:val="Heading 4 Char"/>
    <w:basedOn w:val="DefaultParagraphFont"/>
    <w:link w:val="Heading4"/>
    <w:rsid w:val="00F02B40"/>
    <w:rPr>
      <w:rFonts w:asciiTheme="majorHAnsi" w:eastAsiaTheme="majorEastAsia" w:hAnsiTheme="majorHAnsi" w:cstheme="majorBidi"/>
      <w:bCs/>
      <w:iCs/>
      <w:color w:val="4F2D7F" w:themeColor="accent1"/>
      <w:szCs w:val="18"/>
      <w:lang w:val="cs-CZ"/>
    </w:rPr>
  </w:style>
  <w:style w:type="paragraph" w:customStyle="1" w:styleId="Bulletlist1">
    <w:name w:val="Bullet list 1"/>
    <w:basedOn w:val="Normal"/>
    <w:qFormat/>
    <w:rsid w:val="00A31A5B"/>
    <w:pPr>
      <w:numPr>
        <w:numId w:val="6"/>
      </w:numPr>
    </w:pPr>
  </w:style>
  <w:style w:type="paragraph" w:customStyle="1" w:styleId="Bulletlist2">
    <w:name w:val="Bullet list 2"/>
    <w:basedOn w:val="Bulletlist1"/>
    <w:qFormat/>
    <w:rsid w:val="00A31A5B"/>
    <w:pPr>
      <w:numPr>
        <w:ilvl w:val="1"/>
      </w:numPr>
    </w:pPr>
  </w:style>
  <w:style w:type="paragraph" w:styleId="ListBullet3">
    <w:name w:val="List Bullet 3"/>
    <w:basedOn w:val="Normal"/>
    <w:semiHidden/>
    <w:unhideWhenUsed/>
    <w:rsid w:val="001061AE"/>
    <w:pPr>
      <w:numPr>
        <w:ilvl w:val="2"/>
        <w:numId w:val="5"/>
      </w:numPr>
      <w:tabs>
        <w:tab w:val="num" w:pos="360"/>
      </w:tabs>
    </w:pPr>
  </w:style>
  <w:style w:type="paragraph" w:styleId="Header">
    <w:name w:val="header"/>
    <w:basedOn w:val="Normal"/>
    <w:link w:val="HeaderChar"/>
    <w:semiHidden/>
    <w:rsid w:val="006A7BC8"/>
    <w:pPr>
      <w:tabs>
        <w:tab w:val="center" w:pos="4513"/>
        <w:tab w:val="right" w:pos="9026"/>
      </w:tabs>
    </w:pPr>
  </w:style>
  <w:style w:type="character" w:customStyle="1" w:styleId="HeaderChar">
    <w:name w:val="Header Char"/>
    <w:basedOn w:val="DefaultParagraphFont"/>
    <w:link w:val="Header"/>
    <w:semiHidden/>
    <w:rsid w:val="00AF30EB"/>
    <w:rPr>
      <w:sz w:val="24"/>
      <w:szCs w:val="24"/>
    </w:rPr>
  </w:style>
  <w:style w:type="paragraph" w:customStyle="1" w:styleId="Lettersocialmedia">
    <w:name w:val="Letter social media"/>
    <w:basedOn w:val="Letteraddress"/>
    <w:semiHidden/>
    <w:unhideWhenUsed/>
    <w:rsid w:val="00AF7053"/>
    <w:pPr>
      <w:framePr w:wrap="around"/>
    </w:pPr>
    <w:rPr>
      <w:b/>
      <w:sz w:val="12"/>
    </w:rPr>
  </w:style>
  <w:style w:type="paragraph" w:styleId="Footer">
    <w:name w:val="footer"/>
    <w:basedOn w:val="Normal"/>
    <w:link w:val="FooterChar"/>
    <w:uiPriority w:val="9"/>
    <w:unhideWhenUsed/>
    <w:rsid w:val="00641B07"/>
    <w:pPr>
      <w:tabs>
        <w:tab w:val="center" w:pos="4513"/>
        <w:tab w:val="right" w:pos="9026"/>
      </w:tabs>
      <w:spacing w:before="0" w:after="0"/>
      <w:jc w:val="right"/>
    </w:pPr>
    <w:rPr>
      <w:sz w:val="12"/>
    </w:rPr>
  </w:style>
  <w:style w:type="table" w:styleId="TableGrid">
    <w:name w:val="Table Grid"/>
    <w:basedOn w:val="TableNormal"/>
    <w:rsid w:val="0093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ez odsazeni"/>
    <w:basedOn w:val="Normal"/>
    <w:link w:val="NoSpacingChar"/>
    <w:uiPriority w:val="1"/>
    <w:unhideWhenUsed/>
    <w:qFormat/>
    <w:rsid w:val="00025513"/>
    <w:pPr>
      <w:spacing w:before="0" w:after="0"/>
    </w:pPr>
    <w:rPr>
      <w:rFonts w:cstheme="minorHAnsi"/>
      <w:sz w:val="4"/>
      <w:szCs w:val="4"/>
    </w:rPr>
  </w:style>
  <w:style w:type="character" w:customStyle="1" w:styleId="PageNumber1">
    <w:name w:val="Page Number1"/>
    <w:basedOn w:val="DefaultParagraphFont"/>
    <w:uiPriority w:val="1"/>
    <w:unhideWhenUsed/>
    <w:rsid w:val="008A6711"/>
    <w:rPr>
      <w:rFonts w:asciiTheme="minorHAnsi" w:hAnsiTheme="minorHAnsi"/>
      <w:color w:val="4F2D7F" w:themeColor="accent1"/>
      <w:lang w:val="en-GB"/>
    </w:rPr>
  </w:style>
  <w:style w:type="paragraph" w:styleId="Date">
    <w:name w:val="Date"/>
    <w:aliases w:val="cover date"/>
    <w:basedOn w:val="BodyText"/>
    <w:next w:val="BodyText"/>
    <w:link w:val="DateChar"/>
    <w:unhideWhenUsed/>
    <w:rsid w:val="00265D85"/>
    <w:pPr>
      <w:spacing w:before="0" w:after="360"/>
      <w:ind w:right="6095"/>
    </w:pPr>
    <w:rPr>
      <w:b/>
      <w:color w:val="4F2D7F" w:themeColor="accent1"/>
    </w:rPr>
  </w:style>
  <w:style w:type="character" w:customStyle="1" w:styleId="DateChar">
    <w:name w:val="Date Char"/>
    <w:aliases w:val="cover date Char"/>
    <w:basedOn w:val="DefaultParagraphFont"/>
    <w:link w:val="Date"/>
    <w:rsid w:val="00605DC8"/>
    <w:rPr>
      <w:rFonts w:asciiTheme="minorHAnsi" w:hAnsiTheme="minorHAnsi" w:cstheme="minorHAnsi"/>
      <w:b/>
      <w:color w:val="4F2D7F" w:themeColor="accent1"/>
      <w:sz w:val="22"/>
    </w:rPr>
  </w:style>
  <w:style w:type="paragraph" w:customStyle="1" w:styleId="Covertitle">
    <w:name w:val="Cover title"/>
    <w:basedOn w:val="BodyText"/>
    <w:next w:val="Coversubheading"/>
    <w:unhideWhenUsed/>
    <w:rsid w:val="00D04141"/>
    <w:pPr>
      <w:spacing w:before="0" w:after="0" w:line="216" w:lineRule="auto"/>
      <w:ind w:right="1304"/>
    </w:pPr>
    <w:rPr>
      <w:rFonts w:eastAsiaTheme="majorEastAsia"/>
      <w:b/>
      <w:color w:val="4F2D7F" w:themeColor="accent1"/>
      <w:sz w:val="72"/>
      <w:szCs w:val="72"/>
    </w:rPr>
  </w:style>
  <w:style w:type="paragraph" w:customStyle="1" w:styleId="Coversubheading">
    <w:name w:val="Cover subheading"/>
    <w:basedOn w:val="BodyText"/>
    <w:next w:val="Normal"/>
    <w:unhideWhenUsed/>
    <w:rsid w:val="00D87FF6"/>
    <w:pPr>
      <w:spacing w:before="600" w:after="360"/>
      <w:ind w:right="4394"/>
    </w:pPr>
    <w:rPr>
      <w:sz w:val="36"/>
    </w:rPr>
  </w:style>
  <w:style w:type="character" w:customStyle="1" w:styleId="Heading1Char">
    <w:name w:val="Heading 1 Char"/>
    <w:basedOn w:val="DefaultParagraphFont"/>
    <w:link w:val="Heading1"/>
    <w:rsid w:val="00F02B40"/>
    <w:rPr>
      <w:rFonts w:asciiTheme="minorHAnsi" w:hAnsiTheme="minorHAnsi" w:cstheme="minorHAnsi"/>
      <w:b/>
      <w:noProof/>
      <w:color w:val="4F2D7F" w:themeColor="accent1"/>
      <w:sz w:val="72"/>
      <w:szCs w:val="56"/>
      <w:lang w:val="cs-CZ"/>
    </w:rPr>
  </w:style>
  <w:style w:type="paragraph" w:styleId="TOC1">
    <w:name w:val="toc 1"/>
    <w:basedOn w:val="Normal"/>
    <w:next w:val="BodyText"/>
    <w:uiPriority w:val="39"/>
    <w:rsid w:val="00D648C5"/>
    <w:pPr>
      <w:tabs>
        <w:tab w:val="right" w:leader="dot" w:pos="10206"/>
      </w:tabs>
    </w:pPr>
    <w:rPr>
      <w:rFonts w:cstheme="minorHAnsi"/>
      <w:b/>
      <w:noProof/>
    </w:rPr>
  </w:style>
  <w:style w:type="paragraph" w:styleId="TOC2">
    <w:name w:val="toc 2"/>
    <w:basedOn w:val="TOC1"/>
    <w:next w:val="Normal"/>
    <w:uiPriority w:val="39"/>
    <w:rsid w:val="000F5B3F"/>
    <w:pPr>
      <w:tabs>
        <w:tab w:val="clear" w:pos="10206"/>
      </w:tabs>
      <w:spacing w:before="0"/>
    </w:pPr>
    <w:rPr>
      <w:b w:val="0"/>
      <w:color w:val="auto"/>
    </w:rPr>
  </w:style>
  <w:style w:type="paragraph" w:styleId="TOC3">
    <w:name w:val="toc 3"/>
    <w:basedOn w:val="BodyText"/>
    <w:next w:val="BodyText"/>
    <w:uiPriority w:val="39"/>
    <w:rsid w:val="004F68E6"/>
    <w:pPr>
      <w:tabs>
        <w:tab w:val="right" w:leader="dot" w:pos="10427"/>
      </w:tabs>
      <w:spacing w:before="0"/>
    </w:pPr>
    <w:rPr>
      <w:i/>
      <w:noProof/>
    </w:rPr>
  </w:style>
  <w:style w:type="paragraph" w:customStyle="1" w:styleId="Tabletextleft">
    <w:name w:val="Table text left"/>
    <w:basedOn w:val="BodyText"/>
    <w:qFormat/>
    <w:rsid w:val="00AA6F1D"/>
    <w:pPr>
      <w:spacing w:before="40" w:after="40"/>
    </w:pPr>
    <w:rPr>
      <w:sz w:val="18"/>
    </w:rPr>
  </w:style>
  <w:style w:type="paragraph" w:customStyle="1" w:styleId="TableTotalLeft">
    <w:name w:val="Table Total Left"/>
    <w:basedOn w:val="Tabletextleft"/>
    <w:unhideWhenUsed/>
    <w:rsid w:val="00464CDB"/>
    <w:rPr>
      <w:b/>
      <w:color w:val="FFFFFF" w:themeColor="background1"/>
    </w:rPr>
  </w:style>
  <w:style w:type="paragraph" w:customStyle="1" w:styleId="Tableheaderleft">
    <w:name w:val="Table header left"/>
    <w:basedOn w:val="Tabletextleft"/>
    <w:qFormat/>
    <w:rsid w:val="007E4080"/>
    <w:rPr>
      <w:b/>
      <w:color w:val="00A7B5" w:themeColor="accent3"/>
      <w:sz w:val="20"/>
    </w:rPr>
  </w:style>
  <w:style w:type="paragraph" w:customStyle="1" w:styleId="Tableheaderright">
    <w:name w:val="Table header right"/>
    <w:basedOn w:val="Tableheaderleft"/>
    <w:qFormat/>
    <w:rsid w:val="008019B1"/>
    <w:pPr>
      <w:jc w:val="right"/>
    </w:pPr>
  </w:style>
  <w:style w:type="paragraph" w:customStyle="1" w:styleId="TableTotalRight">
    <w:name w:val="Table Total Right"/>
    <w:basedOn w:val="TableTotalLeft"/>
    <w:unhideWhenUsed/>
    <w:rsid w:val="008019B1"/>
    <w:pPr>
      <w:jc w:val="right"/>
    </w:pPr>
  </w:style>
  <w:style w:type="paragraph" w:customStyle="1" w:styleId="Tabletextright">
    <w:name w:val="Table text right"/>
    <w:basedOn w:val="Tabletextleft"/>
    <w:qFormat/>
    <w:rsid w:val="008019B1"/>
    <w:pPr>
      <w:jc w:val="right"/>
    </w:pPr>
  </w:style>
  <w:style w:type="paragraph" w:customStyle="1" w:styleId="Bulletlist3">
    <w:name w:val="Bullet list 3"/>
    <w:basedOn w:val="Bulletlist1"/>
    <w:qFormat/>
    <w:rsid w:val="00A31A5B"/>
    <w:pPr>
      <w:numPr>
        <w:ilvl w:val="2"/>
      </w:numPr>
    </w:pPr>
  </w:style>
  <w:style w:type="paragraph" w:customStyle="1" w:styleId="Tablerowheader1">
    <w:name w:val="Table row header 1"/>
    <w:basedOn w:val="Tabletextleft"/>
    <w:unhideWhenUsed/>
    <w:rsid w:val="00EC27F6"/>
    <w:rPr>
      <w:b/>
      <w:color w:val="FFFFFF" w:themeColor="background1"/>
    </w:rPr>
  </w:style>
  <w:style w:type="paragraph" w:customStyle="1" w:styleId="Tablerowheader2">
    <w:name w:val="Table row header 2"/>
    <w:basedOn w:val="Tablerowheader1"/>
    <w:unhideWhenUsed/>
    <w:rsid w:val="00EC27F6"/>
    <w:rPr>
      <w:b w:val="0"/>
      <w:color w:val="4F2D7F" w:themeColor="accent1"/>
    </w:rPr>
  </w:style>
  <w:style w:type="paragraph" w:customStyle="1" w:styleId="CVname">
    <w:name w:val="CV name"/>
    <w:basedOn w:val="Tabletextleft"/>
    <w:next w:val="CVdetails"/>
    <w:rsid w:val="00966161"/>
    <w:pPr>
      <w:spacing w:after="120"/>
    </w:pPr>
    <w:rPr>
      <w:color w:val="4F2D7F" w:themeColor="accent1"/>
      <w:sz w:val="36"/>
      <w:szCs w:val="28"/>
    </w:rPr>
  </w:style>
  <w:style w:type="paragraph" w:customStyle="1" w:styleId="CVtitle">
    <w:name w:val="CV title"/>
    <w:basedOn w:val="Heading5"/>
    <w:link w:val="CVtitleChar"/>
    <w:rsid w:val="007E246F"/>
    <w:pPr>
      <w:spacing w:before="0"/>
      <w:ind w:left="227" w:hanging="227"/>
    </w:pPr>
    <w:rPr>
      <w:color w:val="000000" w:themeColor="text1"/>
    </w:rPr>
  </w:style>
  <w:style w:type="paragraph" w:customStyle="1" w:styleId="CVdetails">
    <w:name w:val="CV details"/>
    <w:basedOn w:val="Tabletextleft"/>
    <w:unhideWhenUsed/>
    <w:rsid w:val="00D236E7"/>
    <w:pPr>
      <w:contextualSpacing/>
    </w:pPr>
  </w:style>
  <w:style w:type="paragraph" w:customStyle="1" w:styleId="Sourcesnotes">
    <w:name w:val="Sources &amp; notes"/>
    <w:basedOn w:val="BodyText"/>
    <w:unhideWhenUsed/>
    <w:rsid w:val="007C7956"/>
    <w:pPr>
      <w:contextualSpacing/>
    </w:pPr>
    <w:rPr>
      <w:sz w:val="16"/>
    </w:rPr>
  </w:style>
  <w:style w:type="paragraph" w:customStyle="1" w:styleId="Disclaimer">
    <w:name w:val="Disclaimer"/>
    <w:basedOn w:val="Normal"/>
    <w:unhideWhenUsed/>
    <w:rsid w:val="000D4056"/>
    <w:pPr>
      <w:framePr w:w="6671" w:wrap="around" w:vAnchor="text" w:hAnchor="page" w:x="4321" w:y="14001"/>
      <w:tabs>
        <w:tab w:val="center" w:pos="4513"/>
        <w:tab w:val="right" w:pos="9026"/>
      </w:tabs>
      <w:spacing w:before="60" w:after="60"/>
    </w:pPr>
    <w:rPr>
      <w:rFonts w:eastAsiaTheme="minorEastAsia" w:cstheme="minorHAnsi"/>
      <w:noProof/>
      <w:sz w:val="12"/>
      <w:lang w:val="en-US"/>
    </w:rPr>
  </w:style>
  <w:style w:type="paragraph" w:customStyle="1" w:styleId="Contactname">
    <w:name w:val="Contact name"/>
    <w:basedOn w:val="BodyText"/>
    <w:unhideWhenUsed/>
    <w:rsid w:val="00FC00BD"/>
    <w:pPr>
      <w:contextualSpacing/>
    </w:pPr>
    <w:rPr>
      <w:color w:val="747678" w:themeColor="text2"/>
      <w:sz w:val="26"/>
      <w:szCs w:val="26"/>
    </w:rPr>
  </w:style>
  <w:style w:type="numbering" w:customStyle="1" w:styleId="Listlevelforbullets">
    <w:name w:val="List level for bullets"/>
    <w:uiPriority w:val="99"/>
    <w:rsid w:val="00025513"/>
    <w:pPr>
      <w:numPr>
        <w:numId w:val="4"/>
      </w:numPr>
    </w:pPr>
  </w:style>
  <w:style w:type="paragraph" w:styleId="BalloonText">
    <w:name w:val="Balloon Text"/>
    <w:basedOn w:val="Normal"/>
    <w:link w:val="BalloonTextChar"/>
    <w:semiHidden/>
    <w:rsid w:val="0029295F"/>
    <w:rPr>
      <w:rFonts w:ascii="Tahoma" w:hAnsi="Tahoma" w:cs="Tahoma"/>
      <w:sz w:val="16"/>
      <w:szCs w:val="16"/>
    </w:rPr>
  </w:style>
  <w:style w:type="character" w:customStyle="1" w:styleId="BalloonTextChar">
    <w:name w:val="Balloon Text Char"/>
    <w:basedOn w:val="DefaultParagraphFont"/>
    <w:link w:val="BalloonText"/>
    <w:semiHidden/>
    <w:rsid w:val="0029295F"/>
    <w:rPr>
      <w:rFonts w:ascii="Tahoma" w:hAnsi="Tahoma" w:cs="Tahoma"/>
      <w:sz w:val="16"/>
      <w:szCs w:val="16"/>
    </w:rPr>
  </w:style>
  <w:style w:type="paragraph" w:customStyle="1" w:styleId="CVsubheading">
    <w:name w:val="CV sub heading"/>
    <w:basedOn w:val="Tabletextleft"/>
    <w:rsid w:val="00B75FE6"/>
    <w:pPr>
      <w:spacing w:before="120" w:after="120"/>
    </w:pPr>
    <w:rPr>
      <w:b/>
      <w:color w:val="4F2D7F" w:themeColor="accent1"/>
    </w:rPr>
  </w:style>
  <w:style w:type="paragraph" w:styleId="Quote">
    <w:name w:val="Quote"/>
    <w:basedOn w:val="BodyText"/>
    <w:next w:val="BodyText"/>
    <w:link w:val="QuoteChar"/>
    <w:uiPriority w:val="29"/>
    <w:qFormat/>
    <w:rsid w:val="00387E59"/>
    <w:pPr>
      <w:spacing w:after="0"/>
    </w:pPr>
    <w:rPr>
      <w:iCs/>
      <w:color w:val="4F2D7F" w:themeColor="accent1"/>
      <w:sz w:val="36"/>
      <w:szCs w:val="22"/>
      <w:lang w:val="en-US"/>
    </w:rPr>
  </w:style>
  <w:style w:type="character" w:customStyle="1" w:styleId="QuoteChar">
    <w:name w:val="Quote Char"/>
    <w:basedOn w:val="DefaultParagraphFont"/>
    <w:link w:val="Quote"/>
    <w:uiPriority w:val="29"/>
    <w:rsid w:val="00387E59"/>
    <w:rPr>
      <w:rFonts w:asciiTheme="minorHAnsi" w:hAnsiTheme="minorHAnsi" w:cstheme="minorHAnsi"/>
      <w:iCs/>
      <w:color w:val="4F2D7F" w:themeColor="accent1"/>
      <w:sz w:val="36"/>
      <w:szCs w:val="22"/>
      <w:lang w:val="en-US"/>
    </w:rPr>
  </w:style>
  <w:style w:type="paragraph" w:styleId="FootnoteText">
    <w:name w:val="footnote text"/>
    <w:basedOn w:val="Normal"/>
    <w:link w:val="FootnoteTextChar"/>
    <w:semiHidden/>
    <w:rsid w:val="00500EAF"/>
    <w:pPr>
      <w:spacing w:after="40"/>
    </w:pPr>
    <w:rPr>
      <w:sz w:val="16"/>
      <w:szCs w:val="20"/>
    </w:rPr>
  </w:style>
  <w:style w:type="character" w:customStyle="1" w:styleId="FootnoteTextChar">
    <w:name w:val="Footnote Text Char"/>
    <w:basedOn w:val="DefaultParagraphFont"/>
    <w:link w:val="FootnoteText"/>
    <w:semiHidden/>
    <w:rsid w:val="00CF0AE5"/>
    <w:rPr>
      <w:rFonts w:asciiTheme="minorHAnsi" w:hAnsiTheme="minorHAnsi"/>
      <w:color w:val="000000" w:themeColor="text1"/>
      <w:sz w:val="16"/>
    </w:rPr>
  </w:style>
  <w:style w:type="character" w:customStyle="1" w:styleId="Highlightblue">
    <w:name w:val="Highlight blue"/>
    <w:basedOn w:val="DefaultParagraphFont"/>
    <w:uiPriority w:val="1"/>
    <w:qFormat/>
    <w:rsid w:val="007D6312"/>
    <w:rPr>
      <w:b w:val="0"/>
      <w:noProof w:val="0"/>
      <w:color w:val="00A7B5" w:themeColor="accent3"/>
      <w:lang w:val="en-GB"/>
    </w:rPr>
  </w:style>
  <w:style w:type="paragraph" w:styleId="NormalWeb">
    <w:name w:val="Normal (Web)"/>
    <w:basedOn w:val="Normal"/>
    <w:uiPriority w:val="99"/>
    <w:semiHidden/>
    <w:unhideWhenUsed/>
    <w:rsid w:val="008834DC"/>
    <w:pPr>
      <w:spacing w:before="100" w:beforeAutospacing="1" w:after="100" w:afterAutospacing="1"/>
    </w:pPr>
    <w:rPr>
      <w:rFonts w:eastAsiaTheme="minorEastAsia"/>
    </w:rPr>
  </w:style>
  <w:style w:type="character" w:customStyle="1" w:styleId="Heading5Char">
    <w:name w:val="Heading 5 Char"/>
    <w:basedOn w:val="DefaultParagraphFont"/>
    <w:link w:val="Heading5"/>
    <w:rsid w:val="00605DC8"/>
    <w:rPr>
      <w:rFonts w:asciiTheme="majorHAnsi" w:eastAsiaTheme="majorEastAsia" w:hAnsiTheme="majorHAnsi" w:cstheme="majorBidi"/>
      <w:color w:val="747678" w:themeColor="text2"/>
      <w:szCs w:val="18"/>
      <w:lang w:val="cs-CZ"/>
    </w:rPr>
  </w:style>
  <w:style w:type="character" w:customStyle="1" w:styleId="Heading6Char">
    <w:name w:val="Heading 6 Char"/>
    <w:basedOn w:val="DefaultParagraphFont"/>
    <w:link w:val="Heading6"/>
    <w:rsid w:val="00605DC8"/>
    <w:rPr>
      <w:rFonts w:asciiTheme="minorHAnsi" w:hAnsiTheme="minorHAnsi"/>
      <w:b/>
      <w:color w:val="000000" w:themeColor="text1"/>
      <w:szCs w:val="18"/>
      <w:lang w:val="cs-CZ"/>
    </w:rPr>
  </w:style>
  <w:style w:type="character" w:customStyle="1" w:styleId="Heading7Char">
    <w:name w:val="Heading 7 Char"/>
    <w:basedOn w:val="DefaultParagraphFont"/>
    <w:link w:val="Heading7"/>
    <w:semiHidden/>
    <w:rsid w:val="00926CE3"/>
    <w:rPr>
      <w:rFonts w:asciiTheme="majorHAnsi" w:eastAsiaTheme="majorEastAsia" w:hAnsiTheme="majorHAnsi" w:cstheme="majorBidi"/>
      <w:i/>
      <w:iCs/>
      <w:color w:val="404040" w:themeColor="text1" w:themeTint="BF"/>
      <w:szCs w:val="18"/>
      <w:lang w:val="cs-CZ"/>
    </w:rPr>
  </w:style>
  <w:style w:type="character" w:customStyle="1" w:styleId="Heading8Char">
    <w:name w:val="Heading 8 Char"/>
    <w:basedOn w:val="DefaultParagraphFont"/>
    <w:link w:val="Heading8"/>
    <w:semiHidden/>
    <w:rsid w:val="00926CE3"/>
    <w:rPr>
      <w:rFonts w:asciiTheme="majorHAnsi" w:eastAsiaTheme="majorEastAsia" w:hAnsiTheme="majorHAnsi" w:cstheme="majorBidi"/>
      <w:color w:val="404040" w:themeColor="text1" w:themeTint="BF"/>
      <w:lang w:val="cs-CZ"/>
    </w:rPr>
  </w:style>
  <w:style w:type="character" w:customStyle="1" w:styleId="Heading9Char">
    <w:name w:val="Heading 9 Char"/>
    <w:basedOn w:val="DefaultParagraphFont"/>
    <w:link w:val="Heading9"/>
    <w:semiHidden/>
    <w:rsid w:val="00926CE3"/>
    <w:rPr>
      <w:rFonts w:asciiTheme="majorHAnsi" w:eastAsiaTheme="majorEastAsia" w:hAnsiTheme="majorHAnsi" w:cstheme="majorBidi"/>
      <w:i/>
      <w:iCs/>
      <w:color w:val="404040" w:themeColor="text1" w:themeTint="BF"/>
      <w:lang w:val="cs-CZ"/>
    </w:rPr>
  </w:style>
  <w:style w:type="numbering" w:customStyle="1" w:styleId="NumberList">
    <w:name w:val="Number List"/>
    <w:uiPriority w:val="99"/>
    <w:rsid w:val="00926CE3"/>
    <w:pPr>
      <w:numPr>
        <w:numId w:val="2"/>
      </w:numPr>
    </w:pPr>
  </w:style>
  <w:style w:type="paragraph" w:customStyle="1" w:styleId="ReportFooterURL">
    <w:name w:val="Report Footer URL"/>
    <w:basedOn w:val="Normal"/>
    <w:uiPriority w:val="9"/>
    <w:semiHidden/>
    <w:rsid w:val="00E57844"/>
    <w:pPr>
      <w:spacing w:before="0" w:line="240" w:lineRule="atLeast"/>
    </w:pPr>
    <w:rPr>
      <w:rFonts w:cs="Arial"/>
      <w:b/>
      <w:color w:val="auto"/>
      <w:sz w:val="16"/>
      <w:szCs w:val="16"/>
      <w:lang w:eastAsia="en-US"/>
    </w:rPr>
  </w:style>
  <w:style w:type="character" w:styleId="CommentReference">
    <w:name w:val="annotation reference"/>
    <w:basedOn w:val="DefaultParagraphFont"/>
    <w:semiHidden/>
    <w:unhideWhenUsed/>
    <w:rsid w:val="00944C0F"/>
    <w:rPr>
      <w:sz w:val="16"/>
      <w:szCs w:val="16"/>
    </w:rPr>
  </w:style>
  <w:style w:type="paragraph" w:styleId="CommentText">
    <w:name w:val="annotation text"/>
    <w:basedOn w:val="Normal"/>
    <w:link w:val="CommentTextChar"/>
    <w:unhideWhenUsed/>
    <w:rsid w:val="00944C0F"/>
    <w:rPr>
      <w:szCs w:val="20"/>
    </w:rPr>
  </w:style>
  <w:style w:type="character" w:customStyle="1" w:styleId="CommentTextChar">
    <w:name w:val="Comment Text Char"/>
    <w:basedOn w:val="DefaultParagraphFont"/>
    <w:link w:val="CommentText"/>
    <w:rsid w:val="00944C0F"/>
    <w:rPr>
      <w:rFonts w:asciiTheme="minorHAnsi" w:hAnsiTheme="minorHAnsi"/>
      <w:color w:val="000000" w:themeColor="text1"/>
    </w:rPr>
  </w:style>
  <w:style w:type="paragraph" w:styleId="CommentSubject">
    <w:name w:val="annotation subject"/>
    <w:basedOn w:val="CommentText"/>
    <w:next w:val="CommentText"/>
    <w:link w:val="CommentSubjectChar"/>
    <w:semiHidden/>
    <w:unhideWhenUsed/>
    <w:rsid w:val="00944C0F"/>
    <w:rPr>
      <w:b/>
      <w:bCs/>
    </w:rPr>
  </w:style>
  <w:style w:type="character" w:customStyle="1" w:styleId="CommentSubjectChar">
    <w:name w:val="Comment Subject Char"/>
    <w:basedOn w:val="CommentTextChar"/>
    <w:link w:val="CommentSubject"/>
    <w:semiHidden/>
    <w:rsid w:val="00944C0F"/>
    <w:rPr>
      <w:rFonts w:asciiTheme="minorHAnsi" w:hAnsiTheme="minorHAnsi"/>
      <w:b/>
      <w:bCs/>
      <w:color w:val="000000" w:themeColor="text1"/>
    </w:rPr>
  </w:style>
  <w:style w:type="character" w:customStyle="1" w:styleId="CVtitleChar">
    <w:name w:val="CV title Char"/>
    <w:basedOn w:val="DefaultParagraphFont"/>
    <w:link w:val="CVtitle"/>
    <w:rsid w:val="00966161"/>
    <w:rPr>
      <w:rFonts w:asciiTheme="majorHAnsi" w:eastAsiaTheme="majorEastAsia" w:hAnsiTheme="majorHAnsi" w:cstheme="majorBidi"/>
      <w:color w:val="000000" w:themeColor="text1"/>
      <w:szCs w:val="18"/>
      <w:lang w:val="cs-CZ"/>
    </w:rPr>
  </w:style>
  <w:style w:type="character" w:styleId="Emphasis">
    <w:name w:val="Emphasis"/>
    <w:basedOn w:val="DefaultParagraphFont"/>
    <w:unhideWhenUsed/>
    <w:rsid w:val="004211A9"/>
    <w:rPr>
      <w:b/>
      <w:i w:val="0"/>
      <w:iCs/>
    </w:rPr>
  </w:style>
  <w:style w:type="character" w:styleId="PlaceholderText">
    <w:name w:val="Placeholder Text"/>
    <w:basedOn w:val="DefaultParagraphFont"/>
    <w:uiPriority w:val="99"/>
    <w:semiHidden/>
    <w:rsid w:val="000860EA"/>
    <w:rPr>
      <w:color w:val="808080"/>
    </w:rPr>
  </w:style>
  <w:style w:type="paragraph" w:customStyle="1" w:styleId="Styletabletotalright">
    <w:name w:val="Style table total right"/>
    <w:basedOn w:val="TableTotalLeft"/>
    <w:unhideWhenUsed/>
    <w:rsid w:val="00EC27F6"/>
    <w:pPr>
      <w:jc w:val="right"/>
    </w:pPr>
    <w:rPr>
      <w:rFonts w:cs="Times New Roman"/>
      <w:bCs/>
    </w:rPr>
  </w:style>
  <w:style w:type="paragraph" w:customStyle="1" w:styleId="Casestudytitle">
    <w:name w:val="Case study title"/>
    <w:basedOn w:val="Heading2"/>
    <w:semiHidden/>
    <w:unhideWhenUsed/>
    <w:rsid w:val="00B715B6"/>
    <w:pPr>
      <w:framePr w:wrap="around" w:hAnchor="text"/>
      <w:spacing w:before="80"/>
    </w:pPr>
    <w:rPr>
      <w:lang w:val="en-US"/>
    </w:rPr>
  </w:style>
  <w:style w:type="numbering" w:customStyle="1" w:styleId="Bulletlist">
    <w:name w:val="Bullet list"/>
    <w:uiPriority w:val="99"/>
    <w:rsid w:val="00AB3FCF"/>
    <w:pPr>
      <w:numPr>
        <w:numId w:val="1"/>
      </w:numPr>
    </w:pPr>
  </w:style>
  <w:style w:type="paragraph" w:customStyle="1" w:styleId="Introtext">
    <w:name w:val="Intro text"/>
    <w:basedOn w:val="Heading4"/>
    <w:qFormat/>
    <w:rsid w:val="00DC53EC"/>
    <w:pPr>
      <w:numPr>
        <w:ilvl w:val="0"/>
        <w:numId w:val="0"/>
      </w:numPr>
      <w:spacing w:before="0"/>
    </w:pPr>
    <w:rPr>
      <w:sz w:val="32"/>
    </w:rPr>
  </w:style>
  <w:style w:type="paragraph" w:customStyle="1" w:styleId="Coverdate">
    <w:name w:val="Cover date"/>
    <w:basedOn w:val="Date"/>
    <w:unhideWhenUsed/>
    <w:rsid w:val="00D87FF6"/>
    <w:pPr>
      <w:spacing w:before="720" w:after="0"/>
      <w:ind w:right="4394"/>
    </w:pPr>
    <w:rPr>
      <w:color w:val="00A7B5" w:themeColor="accent3"/>
      <w:sz w:val="18"/>
    </w:rPr>
  </w:style>
  <w:style w:type="paragraph" w:customStyle="1" w:styleId="Graphictextlarge">
    <w:name w:val="Graphic text large"/>
    <w:basedOn w:val="Normal"/>
    <w:qFormat/>
    <w:rsid w:val="00896DD3"/>
    <w:pPr>
      <w:spacing w:before="0" w:after="0"/>
    </w:pPr>
    <w:rPr>
      <w:color w:val="00A7B5" w:themeColor="accent3"/>
      <w:sz w:val="72"/>
      <w:szCs w:val="40"/>
    </w:rPr>
  </w:style>
  <w:style w:type="paragraph" w:customStyle="1" w:styleId="Graphictextsmall">
    <w:name w:val="Graphic text small"/>
    <w:basedOn w:val="Heading4"/>
    <w:link w:val="GraphictextsmallChar"/>
    <w:qFormat/>
    <w:rsid w:val="00D82F23"/>
    <w:pPr>
      <w:numPr>
        <w:ilvl w:val="0"/>
        <w:numId w:val="0"/>
      </w:numPr>
      <w:spacing w:before="0" w:after="0"/>
    </w:pPr>
    <w:rPr>
      <w:lang w:val="en-US"/>
    </w:rPr>
  </w:style>
  <w:style w:type="paragraph" w:customStyle="1" w:styleId="Tabletotalleft0">
    <w:name w:val="Table total left"/>
    <w:basedOn w:val="Tableheaderleft"/>
    <w:qFormat/>
    <w:rsid w:val="007C7570"/>
  </w:style>
  <w:style w:type="paragraph" w:customStyle="1" w:styleId="Tabletotalright0">
    <w:name w:val="Table total right"/>
    <w:basedOn w:val="Tableheaderright"/>
    <w:qFormat/>
    <w:rsid w:val="007C7570"/>
  </w:style>
  <w:style w:type="character" w:customStyle="1" w:styleId="Highlightbold">
    <w:name w:val="Highlight bold"/>
    <w:uiPriority w:val="1"/>
    <w:qFormat/>
    <w:rsid w:val="00312F1E"/>
    <w:rPr>
      <w:b/>
      <w:bCs/>
      <w:lang w:val="en-US"/>
    </w:rPr>
  </w:style>
  <w:style w:type="paragraph" w:customStyle="1" w:styleId="Letterdate">
    <w:name w:val="Letter date"/>
    <w:basedOn w:val="Normal"/>
    <w:unhideWhenUsed/>
    <w:rsid w:val="00FF2758"/>
    <w:pPr>
      <w:spacing w:after="1200"/>
    </w:pPr>
    <w:rPr>
      <w:rFonts w:eastAsiaTheme="minorEastAsia"/>
      <w:lang w:val="en-US"/>
    </w:rPr>
  </w:style>
  <w:style w:type="paragraph" w:customStyle="1" w:styleId="Letteraddress">
    <w:name w:val="Letter address"/>
    <w:basedOn w:val="Normal"/>
    <w:unhideWhenUsed/>
    <w:rsid w:val="00AF7053"/>
    <w:pPr>
      <w:framePr w:w="2368" w:wrap="around" w:vAnchor="text" w:hAnchor="page" w:x="13524" w:y="2357"/>
      <w:spacing w:before="0" w:after="60"/>
    </w:pPr>
    <w:rPr>
      <w:rFonts w:eastAsiaTheme="minorEastAsia"/>
      <w:sz w:val="16"/>
      <w:lang w:val="en-US"/>
    </w:rPr>
  </w:style>
  <w:style w:type="paragraph" w:customStyle="1" w:styleId="Imageplaceholder">
    <w:name w:val="Image placeholder"/>
    <w:basedOn w:val="Normal"/>
    <w:unhideWhenUsed/>
    <w:rsid w:val="00B26599"/>
    <w:pPr>
      <w:spacing w:before="0" w:after="0"/>
      <w:jc w:val="center"/>
    </w:pPr>
    <w:rPr>
      <w:noProof/>
    </w:rPr>
  </w:style>
  <w:style w:type="paragraph" w:customStyle="1" w:styleId="CVcontactdetails">
    <w:name w:val="CV contact details"/>
    <w:basedOn w:val="CVtitle"/>
    <w:unhideWhenUsed/>
    <w:rsid w:val="007E246F"/>
    <w:pPr>
      <w:spacing w:after="0"/>
    </w:pPr>
  </w:style>
  <w:style w:type="character" w:customStyle="1" w:styleId="Highlightwhite">
    <w:name w:val="Highlight white"/>
    <w:uiPriority w:val="1"/>
    <w:qFormat/>
    <w:rsid w:val="00F057C4"/>
    <w:rPr>
      <w:color w:val="FFFFFF" w:themeColor="background1"/>
    </w:rPr>
  </w:style>
  <w:style w:type="paragraph" w:customStyle="1" w:styleId="Letterfooter">
    <w:name w:val="Letter footer"/>
    <w:basedOn w:val="Normal"/>
    <w:unhideWhenUsed/>
    <w:rsid w:val="00BF42A9"/>
    <w:pPr>
      <w:tabs>
        <w:tab w:val="center" w:pos="4513"/>
        <w:tab w:val="right" w:pos="9026"/>
      </w:tabs>
      <w:spacing w:before="60" w:after="60"/>
    </w:pPr>
    <w:rPr>
      <w:rFonts w:cstheme="minorHAnsi"/>
      <w:noProof/>
      <w:sz w:val="12"/>
    </w:rPr>
  </w:style>
  <w:style w:type="paragraph" w:customStyle="1" w:styleId="Quoteshort">
    <w:name w:val="Quote short"/>
    <w:basedOn w:val="Quote"/>
    <w:qFormat/>
    <w:rsid w:val="00DA5D66"/>
    <w:pPr>
      <w:tabs>
        <w:tab w:val="left" w:pos="5387"/>
      </w:tabs>
      <w:ind w:right="655"/>
    </w:pPr>
    <w:rPr>
      <w:rFonts w:eastAsiaTheme="minorEastAsia"/>
    </w:rPr>
  </w:style>
  <w:style w:type="paragraph" w:customStyle="1" w:styleId="GTLetterfooter">
    <w:name w:val="GT Letter footer"/>
    <w:basedOn w:val="Normal"/>
    <w:unhideWhenUsed/>
    <w:rsid w:val="00BF42A9"/>
    <w:pPr>
      <w:tabs>
        <w:tab w:val="center" w:pos="4513"/>
        <w:tab w:val="right" w:pos="9026"/>
      </w:tabs>
      <w:spacing w:before="60" w:after="60"/>
      <w:jc w:val="right"/>
    </w:pPr>
    <w:rPr>
      <w:rFonts w:cstheme="minorHAnsi"/>
      <w:noProof/>
      <w:sz w:val="16"/>
    </w:rPr>
  </w:style>
  <w:style w:type="table" w:customStyle="1" w:styleId="GTFinancialTable">
    <w:name w:val="GT Financial Table"/>
    <w:basedOn w:val="TableNormal"/>
    <w:uiPriority w:val="99"/>
    <w:rsid w:val="00E73C8B"/>
    <w:tblPr>
      <w:tblBorders>
        <w:insideH w:val="single" w:sz="4" w:space="0" w:color="000000" w:themeColor="text1"/>
      </w:tblBorders>
    </w:tblPr>
    <w:tblStylePr w:type="firstRow">
      <w:tblPr/>
      <w:tcPr>
        <w:tcBorders>
          <w:bottom w:val="single" w:sz="12" w:space="0" w:color="000000" w:themeColor="text1"/>
        </w:tcBorders>
      </w:tcPr>
    </w:tblStylePr>
    <w:tblStylePr w:type="lastRow">
      <w:tblPr/>
      <w:tcPr>
        <w:tcBorders>
          <w:top w:val="single" w:sz="12" w:space="0" w:color="auto"/>
          <w:left w:val="nil"/>
          <w:bottom w:val="nil"/>
          <w:right w:val="nil"/>
          <w:insideH w:val="nil"/>
          <w:insideV w:val="nil"/>
          <w:tl2br w:val="nil"/>
          <w:tr2bl w:val="nil"/>
        </w:tcBorders>
      </w:tcPr>
    </w:tblStylePr>
  </w:style>
  <w:style w:type="paragraph" w:customStyle="1" w:styleId="Content">
    <w:name w:val="Content"/>
    <w:basedOn w:val="Heading1"/>
    <w:next w:val="Normal"/>
    <w:unhideWhenUsed/>
    <w:rsid w:val="004F68E6"/>
    <w:pPr>
      <w:framePr w:wrap="around" w:y="-3492"/>
      <w:pBdr>
        <w:top w:val="none" w:sz="0" w:space="0" w:color="auto"/>
        <w:bottom w:val="none" w:sz="0" w:space="0" w:color="auto"/>
      </w:pBdr>
      <w:outlineLvl w:val="9"/>
    </w:pPr>
  </w:style>
  <w:style w:type="paragraph" w:customStyle="1" w:styleId="notused">
    <w:name w:val="not used"/>
    <w:semiHidden/>
    <w:rsid w:val="00E737DC"/>
    <w:pPr>
      <w:framePr w:w="3316" w:wrap="around" w:hAnchor="text" w:x="12586" w:y="2354"/>
    </w:pPr>
    <w:rPr>
      <w:rFonts w:asciiTheme="minorHAnsi" w:eastAsiaTheme="minorEastAsia" w:hAnsiTheme="minorHAnsi"/>
      <w:color w:val="000000" w:themeColor="text1"/>
      <w:sz w:val="16"/>
      <w:szCs w:val="18"/>
      <w:lang w:val="en-US"/>
    </w:rPr>
  </w:style>
  <w:style w:type="paragraph" w:customStyle="1" w:styleId="TradingName">
    <w:name w:val="Trading Name"/>
    <w:semiHidden/>
    <w:rsid w:val="00EA18D1"/>
    <w:pPr>
      <w:spacing w:line="180" w:lineRule="atLeast"/>
    </w:pPr>
    <w:rPr>
      <w:rFonts w:asciiTheme="minorHAnsi" w:eastAsia="SimHei" w:hAnsiTheme="minorHAnsi" w:cs="Arial"/>
      <w:b/>
      <w:sz w:val="16"/>
      <w:lang w:eastAsia="en-US"/>
    </w:rPr>
  </w:style>
  <w:style w:type="paragraph" w:customStyle="1" w:styleId="PartnerAddress">
    <w:name w:val="Partner Address"/>
    <w:semiHidden/>
    <w:rsid w:val="00EA18D1"/>
    <w:rPr>
      <w:rFonts w:asciiTheme="minorHAnsi" w:eastAsia="SimHei" w:hAnsiTheme="minorHAnsi" w:cs="Arial"/>
      <w:sz w:val="16"/>
      <w:lang w:eastAsia="en-US"/>
    </w:rPr>
  </w:style>
  <w:style w:type="paragraph" w:customStyle="1" w:styleId="HalfLineBreak">
    <w:name w:val="Half Line Break"/>
    <w:semiHidden/>
    <w:rsid w:val="00EA18D1"/>
    <w:pPr>
      <w:framePr w:wrap="around" w:vAnchor="page" w:hAnchor="page" w:x="9016" w:y="3970"/>
      <w:suppressOverlap/>
    </w:pPr>
    <w:rPr>
      <w:rFonts w:asciiTheme="minorHAnsi" w:eastAsia="SimHei" w:hAnsiTheme="minorHAnsi" w:cs="Arial"/>
      <w:b/>
      <w:sz w:val="7"/>
      <w:lang w:eastAsia="en-US"/>
    </w:rPr>
  </w:style>
  <w:style w:type="table" w:styleId="DarkList-Accent5">
    <w:name w:val="Dark List Accent 5"/>
    <w:basedOn w:val="TableNormal"/>
    <w:uiPriority w:val="70"/>
    <w:semiHidden/>
    <w:unhideWhenUsed/>
    <w:rsid w:val="00EA18D1"/>
    <w:rPr>
      <w:color w:val="FFFFFF" w:themeColor="background1"/>
      <w:lang w:val="en-US" w:eastAsia="en-US"/>
    </w:rPr>
    <w:tblPr>
      <w:tblStyleRowBandSize w:val="1"/>
      <w:tblStyleColBandSize w:val="1"/>
    </w:tblPr>
    <w:tcPr>
      <w:shd w:val="clear" w:color="auto" w:fill="9BD73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5" w:themeFillShade="BF"/>
      </w:tcPr>
    </w:tblStylePr>
    <w:tblStylePr w:type="band1Vert">
      <w:tblPr/>
      <w:tcPr>
        <w:tcBorders>
          <w:top w:val="nil"/>
          <w:left w:val="nil"/>
          <w:bottom w:val="nil"/>
          <w:right w:val="nil"/>
          <w:insideH w:val="nil"/>
          <w:insideV w:val="nil"/>
        </w:tcBorders>
        <w:shd w:val="clear" w:color="auto" w:fill="75A520" w:themeFill="accent5" w:themeFillShade="BF"/>
      </w:tcPr>
    </w:tblStylePr>
    <w:tblStylePr w:type="band1Horz">
      <w:tblPr/>
      <w:tcPr>
        <w:tcBorders>
          <w:top w:val="nil"/>
          <w:left w:val="nil"/>
          <w:bottom w:val="nil"/>
          <w:right w:val="nil"/>
          <w:insideH w:val="nil"/>
          <w:insideV w:val="nil"/>
        </w:tcBorders>
        <w:shd w:val="clear" w:color="auto" w:fill="75A520" w:themeFill="accent5" w:themeFillShade="BF"/>
      </w:tcPr>
    </w:tblStylePr>
  </w:style>
  <w:style w:type="character" w:customStyle="1" w:styleId="FooterChar">
    <w:name w:val="Footer Char"/>
    <w:basedOn w:val="DefaultParagraphFont"/>
    <w:link w:val="Footer"/>
    <w:uiPriority w:val="9"/>
    <w:rsid w:val="00641B07"/>
    <w:rPr>
      <w:rFonts w:asciiTheme="minorHAnsi" w:hAnsiTheme="minorHAnsi"/>
      <w:color w:val="000000" w:themeColor="text1"/>
      <w:sz w:val="12"/>
      <w:szCs w:val="18"/>
    </w:rPr>
  </w:style>
  <w:style w:type="paragraph" w:customStyle="1" w:styleId="Quotename">
    <w:name w:val="Quote name"/>
    <w:basedOn w:val="Normal"/>
    <w:next w:val="Normal"/>
    <w:qFormat/>
    <w:rsid w:val="00387E59"/>
    <w:pPr>
      <w:spacing w:before="0"/>
    </w:pPr>
    <w:rPr>
      <w:color w:val="4F2D7F" w:themeColor="accent1"/>
    </w:rPr>
  </w:style>
  <w:style w:type="character" w:customStyle="1" w:styleId="Highlightpurple">
    <w:name w:val="Highlight purple"/>
    <w:uiPriority w:val="1"/>
    <w:qFormat/>
    <w:rsid w:val="00DC53EC"/>
    <w:rPr>
      <w:rFonts w:ascii="Arial" w:hAnsi="Arial"/>
      <w:b w:val="0"/>
      <w:i w:val="0"/>
      <w:color w:val="4F2D7F" w:themeColor="accent1"/>
    </w:rPr>
  </w:style>
  <w:style w:type="paragraph" w:customStyle="1" w:styleId="Letterclientaddress">
    <w:name w:val="Letter client address"/>
    <w:basedOn w:val="Normal"/>
    <w:unhideWhenUsed/>
    <w:rsid w:val="00CE1F87"/>
    <w:pPr>
      <w:spacing w:before="0" w:after="0"/>
    </w:pPr>
    <w:rPr>
      <w:rFonts w:eastAsiaTheme="minorEastAsia"/>
    </w:rPr>
  </w:style>
  <w:style w:type="paragraph" w:customStyle="1" w:styleId="Letterwebaddress">
    <w:name w:val="Letter webaddress"/>
    <w:basedOn w:val="Normal"/>
    <w:semiHidden/>
    <w:unhideWhenUsed/>
    <w:rsid w:val="001B7FD8"/>
    <w:pPr>
      <w:spacing w:before="0" w:after="0"/>
      <w:jc w:val="right"/>
    </w:pPr>
    <w:rPr>
      <w:b/>
      <w:sz w:val="14"/>
    </w:rPr>
  </w:style>
  <w:style w:type="paragraph" w:styleId="BodyTextIndent2">
    <w:name w:val="Body Text Indent 2"/>
    <w:basedOn w:val="Normal"/>
    <w:link w:val="BodyTextIndent2Char"/>
    <w:unhideWhenUsed/>
    <w:rsid w:val="00995E70"/>
    <w:pPr>
      <w:spacing w:line="480" w:lineRule="auto"/>
      <w:ind w:left="283"/>
    </w:pPr>
  </w:style>
  <w:style w:type="character" w:customStyle="1" w:styleId="BodyTextIndent2Char">
    <w:name w:val="Body Text Indent 2 Char"/>
    <w:basedOn w:val="DefaultParagraphFont"/>
    <w:link w:val="BodyTextIndent2"/>
    <w:rsid w:val="00995E70"/>
    <w:rPr>
      <w:rFonts w:asciiTheme="minorHAnsi" w:hAnsiTheme="minorHAnsi"/>
      <w:color w:val="000000" w:themeColor="text1"/>
      <w:sz w:val="18"/>
      <w:szCs w:val="18"/>
    </w:rPr>
  </w:style>
  <w:style w:type="paragraph" w:customStyle="1" w:styleId="Sectionttitle">
    <w:name w:val="Sectiont title"/>
    <w:basedOn w:val="Normal"/>
    <w:link w:val="SectionttitleChar"/>
    <w:qFormat/>
    <w:rsid w:val="007D746B"/>
    <w:pPr>
      <w:spacing w:before="8000" w:after="0"/>
      <w:contextualSpacing/>
    </w:pPr>
    <w:rPr>
      <w:rFonts w:cstheme="minorHAnsi"/>
      <w:b/>
      <w:color w:val="4F2D7F" w:themeColor="accent1"/>
      <w:sz w:val="72"/>
      <w:szCs w:val="56"/>
    </w:rPr>
  </w:style>
  <w:style w:type="paragraph" w:customStyle="1" w:styleId="Image">
    <w:name w:val="Image"/>
    <w:basedOn w:val="Imageplaceholder"/>
    <w:rsid w:val="007728E1"/>
    <w:pPr>
      <w:jc w:val="left"/>
    </w:pPr>
  </w:style>
  <w:style w:type="paragraph" w:customStyle="1" w:styleId="ATitletext">
    <w:name w:val="A Title text"/>
    <w:basedOn w:val="Normal"/>
    <w:uiPriority w:val="99"/>
    <w:rsid w:val="00511CF4"/>
    <w:pPr>
      <w:suppressAutoHyphens/>
      <w:autoSpaceDE w:val="0"/>
      <w:autoSpaceDN w:val="0"/>
      <w:adjustRightInd w:val="0"/>
      <w:spacing w:before="0" w:after="0" w:line="800" w:lineRule="atLeast"/>
      <w:textAlignment w:val="center"/>
    </w:pPr>
    <w:rPr>
      <w:rFonts w:ascii="GT Walsheim Pro Bold" w:hAnsi="GT Walsheim Pro Bold" w:cs="GT Walsheim Pro Bold"/>
      <w:b/>
      <w:bCs/>
      <w:color w:val="512177"/>
      <w:spacing w:val="-22"/>
      <w:sz w:val="72"/>
      <w:szCs w:val="72"/>
    </w:rPr>
  </w:style>
  <w:style w:type="paragraph" w:customStyle="1" w:styleId="MNotesSources">
    <w:name w:val="M Notes &amp; Sources"/>
    <w:basedOn w:val="Normal"/>
    <w:uiPriority w:val="99"/>
    <w:rsid w:val="00896DD3"/>
    <w:pPr>
      <w:tabs>
        <w:tab w:val="left" w:pos="737"/>
        <w:tab w:val="left" w:pos="907"/>
      </w:tabs>
      <w:suppressAutoHyphens/>
      <w:autoSpaceDE w:val="0"/>
      <w:autoSpaceDN w:val="0"/>
      <w:adjustRightInd w:val="0"/>
      <w:spacing w:before="0" w:after="0" w:line="288" w:lineRule="auto"/>
      <w:textAlignment w:val="center"/>
    </w:pPr>
    <w:rPr>
      <w:rFonts w:ascii="GT Walsheim Pro Light" w:hAnsi="GT Walsheim Pro Light" w:cs="GT Walsheim Pro Light"/>
      <w:color w:val="000000"/>
      <w:spacing w:val="-3"/>
      <w:sz w:val="16"/>
      <w:szCs w:val="16"/>
    </w:rPr>
  </w:style>
  <w:style w:type="paragraph" w:customStyle="1" w:styleId="NotesandSources">
    <w:name w:val="Notes and Sources"/>
    <w:basedOn w:val="MNotesSources"/>
    <w:qFormat/>
    <w:rsid w:val="00896DD3"/>
    <w:pPr>
      <w:tabs>
        <w:tab w:val="clear" w:pos="737"/>
        <w:tab w:val="clear" w:pos="907"/>
        <w:tab w:val="left" w:pos="709"/>
      </w:tabs>
      <w:spacing w:line="240" w:lineRule="auto"/>
      <w:ind w:left="993" w:hanging="993"/>
    </w:pPr>
    <w:rPr>
      <w:rFonts w:asciiTheme="minorHAnsi" w:hAnsiTheme="minorHAnsi"/>
    </w:rPr>
  </w:style>
  <w:style w:type="paragraph" w:customStyle="1" w:styleId="NPulloutfigure">
    <w:name w:val="N Pullout figure"/>
    <w:basedOn w:val="Normal"/>
    <w:uiPriority w:val="99"/>
    <w:rsid w:val="00896DD3"/>
    <w:pPr>
      <w:tabs>
        <w:tab w:val="left" w:pos="200"/>
      </w:tabs>
      <w:suppressAutoHyphens/>
      <w:autoSpaceDE w:val="0"/>
      <w:autoSpaceDN w:val="0"/>
      <w:adjustRightInd w:val="0"/>
      <w:spacing w:before="0" w:after="57" w:line="288" w:lineRule="auto"/>
      <w:textAlignment w:val="center"/>
    </w:pPr>
    <w:rPr>
      <w:rFonts w:ascii="GT Walsheim Pro Light" w:hAnsi="GT Walsheim Pro Light" w:cs="GT Walsheim Pro Light"/>
      <w:color w:val="00A5B5"/>
      <w:spacing w:val="-18"/>
      <w:sz w:val="72"/>
      <w:szCs w:val="72"/>
      <w:lang w:val="en-US"/>
    </w:rPr>
  </w:style>
  <w:style w:type="paragraph" w:customStyle="1" w:styleId="NNPulloutsmall">
    <w:name w:val="NN Pullout small"/>
    <w:basedOn w:val="Normal"/>
    <w:uiPriority w:val="99"/>
    <w:rsid w:val="00896DD3"/>
    <w:pPr>
      <w:autoSpaceDE w:val="0"/>
      <w:autoSpaceDN w:val="0"/>
      <w:adjustRightInd w:val="0"/>
      <w:spacing w:before="113" w:after="113" w:line="240" w:lineRule="atLeast"/>
      <w:textAlignment w:val="center"/>
    </w:pPr>
    <w:rPr>
      <w:rFonts w:ascii="GT Walsheim Pro Regular" w:hAnsi="GT Walsheim Pro Regular" w:cs="GT Walsheim Pro Regular"/>
      <w:color w:val="00A5B5"/>
    </w:rPr>
  </w:style>
  <w:style w:type="paragraph" w:customStyle="1" w:styleId="MTablefooterRight">
    <w:name w:val="M Table footer_Right"/>
    <w:basedOn w:val="Normal"/>
    <w:uiPriority w:val="99"/>
    <w:rsid w:val="00896DD3"/>
    <w:pPr>
      <w:suppressAutoHyphens/>
      <w:autoSpaceDE w:val="0"/>
      <w:autoSpaceDN w:val="0"/>
      <w:adjustRightInd w:val="0"/>
      <w:spacing w:before="113" w:after="113" w:line="240" w:lineRule="atLeast"/>
      <w:jc w:val="right"/>
      <w:textAlignment w:val="center"/>
    </w:pPr>
    <w:rPr>
      <w:rFonts w:ascii="GT Walsheim Pro Bold" w:hAnsi="GT Walsheim Pro Bold" w:cs="GT Walsheim Pro Bold"/>
      <w:b/>
      <w:bCs/>
      <w:color w:val="5A2B81"/>
    </w:rPr>
  </w:style>
  <w:style w:type="paragraph" w:customStyle="1" w:styleId="MTableheading">
    <w:name w:val="M Table heading"/>
    <w:basedOn w:val="Normal"/>
    <w:uiPriority w:val="99"/>
    <w:rsid w:val="00524220"/>
    <w:pPr>
      <w:suppressAutoHyphens/>
      <w:autoSpaceDE w:val="0"/>
      <w:autoSpaceDN w:val="0"/>
      <w:adjustRightInd w:val="0"/>
      <w:spacing w:before="113" w:after="113" w:line="240" w:lineRule="atLeast"/>
      <w:textAlignment w:val="center"/>
    </w:pPr>
    <w:rPr>
      <w:rFonts w:ascii="GT Walsheim Pro Bold" w:hAnsi="GT Walsheim Pro Bold" w:cs="GT Walsheim Pro Bold"/>
      <w:b/>
      <w:bCs/>
      <w:color w:val="5A2B81"/>
    </w:rPr>
  </w:style>
  <w:style w:type="paragraph" w:customStyle="1" w:styleId="Imagecentre">
    <w:name w:val="Image centre"/>
    <w:basedOn w:val="Normal"/>
    <w:qFormat/>
    <w:rsid w:val="006266AA"/>
    <w:pPr>
      <w:spacing w:before="60" w:after="60"/>
      <w:jc w:val="center"/>
    </w:pPr>
  </w:style>
  <w:style w:type="paragraph" w:styleId="ListBullet">
    <w:name w:val="List Bullet"/>
    <w:basedOn w:val="Normal"/>
    <w:unhideWhenUsed/>
    <w:rsid w:val="00347D2D"/>
    <w:pPr>
      <w:numPr>
        <w:numId w:val="3"/>
      </w:numPr>
      <w:contextualSpacing/>
    </w:pPr>
  </w:style>
  <w:style w:type="paragraph" w:styleId="ListContinue">
    <w:name w:val="List Continue"/>
    <w:basedOn w:val="Normal"/>
    <w:unhideWhenUsed/>
    <w:rsid w:val="00347D2D"/>
    <w:pPr>
      <w:ind w:left="283"/>
      <w:contextualSpacing/>
    </w:pPr>
  </w:style>
  <w:style w:type="paragraph" w:styleId="ListNumber">
    <w:name w:val="List Number"/>
    <w:basedOn w:val="Normal"/>
    <w:rsid w:val="006266AA"/>
    <w:pPr>
      <w:numPr>
        <w:numId w:val="7"/>
      </w:numPr>
      <w:spacing w:before="0"/>
    </w:pPr>
    <w:rPr>
      <w:lang w:val="en-US"/>
    </w:rPr>
  </w:style>
  <w:style w:type="paragraph" w:styleId="ListNumber2">
    <w:name w:val="List Number 2"/>
    <w:basedOn w:val="Normal"/>
    <w:unhideWhenUsed/>
    <w:rsid w:val="00D833F2"/>
    <w:pPr>
      <w:numPr>
        <w:numId w:val="8"/>
      </w:numPr>
      <w:spacing w:before="0"/>
    </w:pPr>
    <w:rPr>
      <w:noProof/>
    </w:rPr>
  </w:style>
  <w:style w:type="paragraph" w:styleId="ListNumber3">
    <w:name w:val="List Number 3"/>
    <w:basedOn w:val="Normal"/>
    <w:unhideWhenUsed/>
    <w:rsid w:val="00347D2D"/>
    <w:pPr>
      <w:numPr>
        <w:numId w:val="9"/>
      </w:numPr>
      <w:contextualSpacing/>
    </w:pPr>
  </w:style>
  <w:style w:type="paragraph" w:customStyle="1" w:styleId="SectiontitleImage">
    <w:name w:val="Section title_Image"/>
    <w:basedOn w:val="Sectionttitle"/>
    <w:link w:val="SectiontitleImageChar"/>
    <w:qFormat/>
    <w:rsid w:val="00052C7B"/>
    <w:pPr>
      <w:spacing w:before="0"/>
    </w:pPr>
  </w:style>
  <w:style w:type="paragraph" w:customStyle="1" w:styleId="Sectionsubheading">
    <w:name w:val="Section subheading"/>
    <w:basedOn w:val="Normal"/>
    <w:qFormat/>
    <w:rsid w:val="007D746B"/>
    <w:rPr>
      <w:color w:val="00A7B5" w:themeColor="accent3"/>
      <w:sz w:val="36"/>
    </w:rPr>
  </w:style>
  <w:style w:type="paragraph" w:customStyle="1" w:styleId="Graphictext18pt">
    <w:name w:val="Graphic text 18pt"/>
    <w:basedOn w:val="Normal"/>
    <w:qFormat/>
    <w:rsid w:val="008A2749"/>
    <w:pPr>
      <w:jc w:val="center"/>
    </w:pPr>
    <w:rPr>
      <w:color w:val="auto"/>
      <w:sz w:val="36"/>
      <w:szCs w:val="36"/>
    </w:rPr>
  </w:style>
  <w:style w:type="paragraph" w:customStyle="1" w:styleId="Graphictextsmall2">
    <w:name w:val="Graphic text small_2"/>
    <w:basedOn w:val="Graphictextsmall"/>
    <w:link w:val="Graphictextsmall2Char"/>
    <w:qFormat/>
    <w:rsid w:val="00D82F23"/>
    <w:rPr>
      <w:b/>
      <w:color w:val="00A7B5" w:themeColor="accent3"/>
    </w:rPr>
  </w:style>
  <w:style w:type="character" w:customStyle="1" w:styleId="GraphictextsmallChar">
    <w:name w:val="Graphic text small Char"/>
    <w:basedOn w:val="Heading4Char"/>
    <w:link w:val="Graphictextsmall"/>
    <w:rsid w:val="00D82F23"/>
    <w:rPr>
      <w:rFonts w:asciiTheme="majorHAnsi" w:eastAsiaTheme="majorEastAsia" w:hAnsiTheme="majorHAnsi" w:cstheme="majorBidi"/>
      <w:bCs/>
      <w:iCs/>
      <w:color w:val="4F2D7F" w:themeColor="accent1"/>
      <w:sz w:val="22"/>
      <w:szCs w:val="18"/>
      <w:lang w:val="en-US"/>
    </w:rPr>
  </w:style>
  <w:style w:type="character" w:customStyle="1" w:styleId="Graphictextsmall2Char">
    <w:name w:val="Graphic text small_2 Char"/>
    <w:basedOn w:val="GraphictextsmallChar"/>
    <w:link w:val="Graphictextsmall2"/>
    <w:rsid w:val="00D82F23"/>
    <w:rPr>
      <w:rFonts w:asciiTheme="majorHAnsi" w:eastAsiaTheme="majorEastAsia" w:hAnsiTheme="majorHAnsi" w:cstheme="majorBidi"/>
      <w:b/>
      <w:bCs/>
      <w:iCs/>
      <w:color w:val="00A7B5" w:themeColor="accent3"/>
      <w:sz w:val="22"/>
      <w:szCs w:val="18"/>
      <w:lang w:val="en-US"/>
    </w:rPr>
  </w:style>
  <w:style w:type="character" w:customStyle="1" w:styleId="NoSpacingChar">
    <w:name w:val="No Spacing Char"/>
    <w:aliases w:val="bez odsazeni Char"/>
    <w:basedOn w:val="DefaultParagraphFont"/>
    <w:link w:val="NoSpacing"/>
    <w:uiPriority w:val="1"/>
    <w:rsid w:val="00F553B0"/>
    <w:rPr>
      <w:rFonts w:asciiTheme="minorHAnsi" w:hAnsiTheme="minorHAnsi" w:cstheme="minorHAnsi"/>
      <w:color w:val="000000" w:themeColor="text1"/>
      <w:sz w:val="4"/>
      <w:szCs w:val="4"/>
      <w:lang w:val="cs-CZ"/>
    </w:rPr>
  </w:style>
  <w:style w:type="paragraph" w:customStyle="1" w:styleId="Obsah">
    <w:name w:val="Obsah"/>
    <w:basedOn w:val="SectiontitleImage"/>
    <w:link w:val="ObsahChar"/>
    <w:qFormat/>
    <w:rsid w:val="00F02B40"/>
    <w:pPr>
      <w:spacing w:after="840"/>
    </w:pPr>
  </w:style>
  <w:style w:type="character" w:customStyle="1" w:styleId="SectionttitleChar">
    <w:name w:val="Sectiont title Char"/>
    <w:basedOn w:val="DefaultParagraphFont"/>
    <w:link w:val="Sectionttitle"/>
    <w:rsid w:val="00B45677"/>
    <w:rPr>
      <w:rFonts w:asciiTheme="minorHAnsi" w:hAnsiTheme="minorHAnsi" w:cstheme="minorHAnsi"/>
      <w:b/>
      <w:color w:val="4F2D7F" w:themeColor="accent1"/>
      <w:sz w:val="72"/>
      <w:szCs w:val="56"/>
      <w:lang w:val="cs-CZ"/>
    </w:rPr>
  </w:style>
  <w:style w:type="character" w:customStyle="1" w:styleId="SectiontitleImageChar">
    <w:name w:val="Section title_Image Char"/>
    <w:basedOn w:val="SectionttitleChar"/>
    <w:link w:val="SectiontitleImage"/>
    <w:rsid w:val="00B45677"/>
    <w:rPr>
      <w:rFonts w:asciiTheme="minorHAnsi" w:hAnsiTheme="minorHAnsi" w:cstheme="minorHAnsi"/>
      <w:b/>
      <w:color w:val="4F2D7F" w:themeColor="accent1"/>
      <w:sz w:val="72"/>
      <w:szCs w:val="56"/>
      <w:lang w:val="cs-CZ"/>
    </w:rPr>
  </w:style>
  <w:style w:type="character" w:customStyle="1" w:styleId="ObsahChar">
    <w:name w:val="Obsah Char"/>
    <w:basedOn w:val="SectiontitleImageChar"/>
    <w:link w:val="Obsah"/>
    <w:rsid w:val="00F02B40"/>
    <w:rPr>
      <w:rFonts w:asciiTheme="minorHAnsi" w:hAnsiTheme="minorHAnsi" w:cstheme="minorHAnsi"/>
      <w:b/>
      <w:color w:val="4F2D7F" w:themeColor="accent1"/>
      <w:sz w:val="72"/>
      <w:szCs w:val="56"/>
      <w:lang w:val="cs-CZ"/>
    </w:rPr>
  </w:style>
  <w:style w:type="table" w:customStyle="1" w:styleId="GTITableStyle1">
    <w:name w:val="GTI Table Style 1"/>
    <w:basedOn w:val="TableNormal"/>
    <w:uiPriority w:val="99"/>
    <w:rsid w:val="00B718E5"/>
    <w:rPr>
      <w:rFonts w:ascii="Arial" w:hAnsi="Arial"/>
      <w:lang w:val="en-US" w:eastAsia="en-US"/>
    </w:rPr>
    <w:tblPr>
      <w:tblBorders>
        <w:bottom w:val="single" w:sz="2" w:space="0" w:color="4F2D7F"/>
        <w:insideH w:val="single" w:sz="2" w:space="0" w:color="4F2D7F"/>
      </w:tblBorders>
      <w:tblCellMar>
        <w:left w:w="28" w:type="dxa"/>
        <w:right w:w="28" w:type="dxa"/>
      </w:tblCellMar>
    </w:tblPr>
    <w:tcPr>
      <w:shd w:val="clear" w:color="auto" w:fill="auto"/>
    </w:tcPr>
    <w:tblStylePr w:type="firstRow">
      <w:rPr>
        <w:rFonts w:ascii="Arial" w:hAnsi="Arial"/>
        <w:color w:val="4F2D7F"/>
      </w:rPr>
      <w:tblPr/>
      <w:tcPr>
        <w:tcBorders>
          <w:top w:val="nil"/>
          <w:left w:val="nil"/>
          <w:bottom w:val="single" w:sz="8" w:space="0" w:color="4F2D7F"/>
          <w:right w:val="nil"/>
          <w:insideH w:val="nil"/>
          <w:insideV w:val="nil"/>
          <w:tl2br w:val="nil"/>
          <w:tr2bl w:val="nil"/>
        </w:tcBorders>
        <w:shd w:val="clear" w:color="auto" w:fill="auto"/>
      </w:tcPr>
    </w:tblStylePr>
  </w:style>
  <w:style w:type="paragraph" w:customStyle="1" w:styleId="TableHeading">
    <w:name w:val="Table Heading"/>
    <w:uiPriority w:val="2"/>
    <w:qFormat/>
    <w:rsid w:val="000F7B89"/>
    <w:pPr>
      <w:spacing w:before="60" w:after="60"/>
    </w:pPr>
    <w:rPr>
      <w:rFonts w:asciiTheme="minorHAnsi" w:hAnsiTheme="minorHAnsi" w:cs="Arial"/>
      <w:b/>
      <w:bCs/>
      <w:color w:val="4F2D7F" w:themeColor="accent1"/>
      <w:kern w:val="28"/>
      <w:sz w:val="18"/>
      <w:szCs w:val="32"/>
      <w:lang w:eastAsia="en-US"/>
    </w:rPr>
  </w:style>
  <w:style w:type="paragraph" w:customStyle="1" w:styleId="TableText">
    <w:name w:val="Table Text"/>
    <w:uiPriority w:val="2"/>
    <w:qFormat/>
    <w:rsid w:val="000F7B89"/>
    <w:pPr>
      <w:spacing w:before="60" w:after="60"/>
    </w:pPr>
    <w:rPr>
      <w:rFonts w:asciiTheme="minorHAnsi" w:hAnsiTheme="minorHAnsi" w:cs="Arial"/>
      <w:sz w:val="18"/>
      <w:lang w:eastAsia="en-US"/>
    </w:rPr>
  </w:style>
  <w:style w:type="paragraph" w:customStyle="1" w:styleId="Notesandsources0">
    <w:name w:val="Notes and sources"/>
    <w:basedOn w:val="BodyText"/>
    <w:rsid w:val="000F7B89"/>
    <w:pPr>
      <w:tabs>
        <w:tab w:val="left" w:pos="567"/>
      </w:tabs>
      <w:spacing w:before="60" w:after="60"/>
      <w:ind w:left="754" w:hanging="754"/>
    </w:pPr>
    <w:rPr>
      <w:rFonts w:cs="Arial"/>
      <w:color w:val="auto"/>
      <w:sz w:val="12"/>
      <w:szCs w:val="12"/>
      <w:lang w:val="en-GB" w:eastAsia="en-US"/>
    </w:rPr>
  </w:style>
  <w:style w:type="character" w:styleId="FootnoteReference">
    <w:name w:val="footnote reference"/>
    <w:basedOn w:val="DefaultParagraphFont"/>
    <w:semiHidden/>
    <w:unhideWhenUsed/>
    <w:rsid w:val="00F91E8D"/>
    <w:rPr>
      <w:vertAlign w:val="superscript"/>
    </w:rPr>
  </w:style>
  <w:style w:type="paragraph" w:styleId="Caption">
    <w:name w:val="caption"/>
    <w:basedOn w:val="Normal"/>
    <w:next w:val="Normal"/>
    <w:unhideWhenUsed/>
    <w:qFormat/>
    <w:rsid w:val="00F7402C"/>
    <w:pPr>
      <w:spacing w:before="0" w:after="200"/>
    </w:pPr>
    <w:rPr>
      <w:i/>
      <w:iCs/>
      <w:color w:val="747678" w:themeColor="text2"/>
      <w:sz w:val="18"/>
    </w:rPr>
  </w:style>
  <w:style w:type="paragraph" w:styleId="ListParagraph">
    <w:name w:val="List Paragraph"/>
    <w:basedOn w:val="Normal"/>
    <w:uiPriority w:val="34"/>
    <w:rsid w:val="006A6ED8"/>
    <w:pPr>
      <w:ind w:left="720"/>
      <w:contextualSpacing/>
    </w:pPr>
  </w:style>
  <w:style w:type="paragraph" w:styleId="Revision">
    <w:name w:val="Revision"/>
    <w:hidden/>
    <w:uiPriority w:val="99"/>
    <w:semiHidden/>
    <w:rsid w:val="00F45207"/>
    <w:rPr>
      <w:rFonts w:asciiTheme="minorHAnsi" w:hAnsiTheme="minorHAnsi"/>
      <w:color w:val="000000" w:themeColor="text1"/>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6937">
      <w:bodyDiv w:val="1"/>
      <w:marLeft w:val="0"/>
      <w:marRight w:val="0"/>
      <w:marTop w:val="0"/>
      <w:marBottom w:val="0"/>
      <w:divBdr>
        <w:top w:val="none" w:sz="0" w:space="0" w:color="auto"/>
        <w:left w:val="none" w:sz="0" w:space="0" w:color="auto"/>
        <w:bottom w:val="none" w:sz="0" w:space="0" w:color="auto"/>
        <w:right w:val="none" w:sz="0" w:space="0" w:color="auto"/>
      </w:divBdr>
    </w:div>
    <w:div w:id="35281399">
      <w:bodyDiv w:val="1"/>
      <w:marLeft w:val="0"/>
      <w:marRight w:val="0"/>
      <w:marTop w:val="0"/>
      <w:marBottom w:val="0"/>
      <w:divBdr>
        <w:top w:val="none" w:sz="0" w:space="0" w:color="auto"/>
        <w:left w:val="none" w:sz="0" w:space="0" w:color="auto"/>
        <w:bottom w:val="none" w:sz="0" w:space="0" w:color="auto"/>
        <w:right w:val="none" w:sz="0" w:space="0" w:color="auto"/>
      </w:divBdr>
    </w:div>
    <w:div w:id="43725958">
      <w:bodyDiv w:val="1"/>
      <w:marLeft w:val="0"/>
      <w:marRight w:val="0"/>
      <w:marTop w:val="0"/>
      <w:marBottom w:val="0"/>
      <w:divBdr>
        <w:top w:val="none" w:sz="0" w:space="0" w:color="auto"/>
        <w:left w:val="none" w:sz="0" w:space="0" w:color="auto"/>
        <w:bottom w:val="none" w:sz="0" w:space="0" w:color="auto"/>
        <w:right w:val="none" w:sz="0" w:space="0" w:color="auto"/>
      </w:divBdr>
    </w:div>
    <w:div w:id="57556508">
      <w:bodyDiv w:val="1"/>
      <w:marLeft w:val="0"/>
      <w:marRight w:val="0"/>
      <w:marTop w:val="0"/>
      <w:marBottom w:val="0"/>
      <w:divBdr>
        <w:top w:val="none" w:sz="0" w:space="0" w:color="auto"/>
        <w:left w:val="none" w:sz="0" w:space="0" w:color="auto"/>
        <w:bottom w:val="none" w:sz="0" w:space="0" w:color="auto"/>
        <w:right w:val="none" w:sz="0" w:space="0" w:color="auto"/>
      </w:divBdr>
    </w:div>
    <w:div w:id="60101391">
      <w:bodyDiv w:val="1"/>
      <w:marLeft w:val="0"/>
      <w:marRight w:val="0"/>
      <w:marTop w:val="0"/>
      <w:marBottom w:val="0"/>
      <w:divBdr>
        <w:top w:val="none" w:sz="0" w:space="0" w:color="auto"/>
        <w:left w:val="none" w:sz="0" w:space="0" w:color="auto"/>
        <w:bottom w:val="none" w:sz="0" w:space="0" w:color="auto"/>
        <w:right w:val="none" w:sz="0" w:space="0" w:color="auto"/>
      </w:divBdr>
    </w:div>
    <w:div w:id="64374914">
      <w:bodyDiv w:val="1"/>
      <w:marLeft w:val="0"/>
      <w:marRight w:val="0"/>
      <w:marTop w:val="0"/>
      <w:marBottom w:val="0"/>
      <w:divBdr>
        <w:top w:val="none" w:sz="0" w:space="0" w:color="auto"/>
        <w:left w:val="none" w:sz="0" w:space="0" w:color="auto"/>
        <w:bottom w:val="none" w:sz="0" w:space="0" w:color="auto"/>
        <w:right w:val="none" w:sz="0" w:space="0" w:color="auto"/>
      </w:divBdr>
    </w:div>
    <w:div w:id="86125165">
      <w:bodyDiv w:val="1"/>
      <w:marLeft w:val="0"/>
      <w:marRight w:val="0"/>
      <w:marTop w:val="0"/>
      <w:marBottom w:val="0"/>
      <w:divBdr>
        <w:top w:val="none" w:sz="0" w:space="0" w:color="auto"/>
        <w:left w:val="none" w:sz="0" w:space="0" w:color="auto"/>
        <w:bottom w:val="none" w:sz="0" w:space="0" w:color="auto"/>
        <w:right w:val="none" w:sz="0" w:space="0" w:color="auto"/>
      </w:divBdr>
    </w:div>
    <w:div w:id="87315306">
      <w:bodyDiv w:val="1"/>
      <w:marLeft w:val="0"/>
      <w:marRight w:val="0"/>
      <w:marTop w:val="0"/>
      <w:marBottom w:val="0"/>
      <w:divBdr>
        <w:top w:val="none" w:sz="0" w:space="0" w:color="auto"/>
        <w:left w:val="none" w:sz="0" w:space="0" w:color="auto"/>
        <w:bottom w:val="none" w:sz="0" w:space="0" w:color="auto"/>
        <w:right w:val="none" w:sz="0" w:space="0" w:color="auto"/>
      </w:divBdr>
    </w:div>
    <w:div w:id="262228716">
      <w:bodyDiv w:val="1"/>
      <w:marLeft w:val="0"/>
      <w:marRight w:val="0"/>
      <w:marTop w:val="0"/>
      <w:marBottom w:val="0"/>
      <w:divBdr>
        <w:top w:val="none" w:sz="0" w:space="0" w:color="auto"/>
        <w:left w:val="none" w:sz="0" w:space="0" w:color="auto"/>
        <w:bottom w:val="none" w:sz="0" w:space="0" w:color="auto"/>
        <w:right w:val="none" w:sz="0" w:space="0" w:color="auto"/>
      </w:divBdr>
    </w:div>
    <w:div w:id="297222300">
      <w:bodyDiv w:val="1"/>
      <w:marLeft w:val="0"/>
      <w:marRight w:val="0"/>
      <w:marTop w:val="0"/>
      <w:marBottom w:val="0"/>
      <w:divBdr>
        <w:top w:val="none" w:sz="0" w:space="0" w:color="auto"/>
        <w:left w:val="none" w:sz="0" w:space="0" w:color="auto"/>
        <w:bottom w:val="none" w:sz="0" w:space="0" w:color="auto"/>
        <w:right w:val="none" w:sz="0" w:space="0" w:color="auto"/>
      </w:divBdr>
    </w:div>
    <w:div w:id="307053506">
      <w:bodyDiv w:val="1"/>
      <w:marLeft w:val="0"/>
      <w:marRight w:val="0"/>
      <w:marTop w:val="0"/>
      <w:marBottom w:val="0"/>
      <w:divBdr>
        <w:top w:val="none" w:sz="0" w:space="0" w:color="auto"/>
        <w:left w:val="none" w:sz="0" w:space="0" w:color="auto"/>
        <w:bottom w:val="none" w:sz="0" w:space="0" w:color="auto"/>
        <w:right w:val="none" w:sz="0" w:space="0" w:color="auto"/>
      </w:divBdr>
    </w:div>
    <w:div w:id="363286861">
      <w:bodyDiv w:val="1"/>
      <w:marLeft w:val="0"/>
      <w:marRight w:val="0"/>
      <w:marTop w:val="0"/>
      <w:marBottom w:val="0"/>
      <w:divBdr>
        <w:top w:val="none" w:sz="0" w:space="0" w:color="auto"/>
        <w:left w:val="none" w:sz="0" w:space="0" w:color="auto"/>
        <w:bottom w:val="none" w:sz="0" w:space="0" w:color="auto"/>
        <w:right w:val="none" w:sz="0" w:space="0" w:color="auto"/>
      </w:divBdr>
    </w:div>
    <w:div w:id="365640396">
      <w:bodyDiv w:val="1"/>
      <w:marLeft w:val="0"/>
      <w:marRight w:val="0"/>
      <w:marTop w:val="0"/>
      <w:marBottom w:val="0"/>
      <w:divBdr>
        <w:top w:val="none" w:sz="0" w:space="0" w:color="auto"/>
        <w:left w:val="none" w:sz="0" w:space="0" w:color="auto"/>
        <w:bottom w:val="none" w:sz="0" w:space="0" w:color="auto"/>
        <w:right w:val="none" w:sz="0" w:space="0" w:color="auto"/>
      </w:divBdr>
    </w:div>
    <w:div w:id="403767890">
      <w:bodyDiv w:val="1"/>
      <w:marLeft w:val="0"/>
      <w:marRight w:val="0"/>
      <w:marTop w:val="0"/>
      <w:marBottom w:val="0"/>
      <w:divBdr>
        <w:top w:val="none" w:sz="0" w:space="0" w:color="auto"/>
        <w:left w:val="none" w:sz="0" w:space="0" w:color="auto"/>
        <w:bottom w:val="none" w:sz="0" w:space="0" w:color="auto"/>
        <w:right w:val="none" w:sz="0" w:space="0" w:color="auto"/>
      </w:divBdr>
    </w:div>
    <w:div w:id="415178224">
      <w:bodyDiv w:val="1"/>
      <w:marLeft w:val="0"/>
      <w:marRight w:val="0"/>
      <w:marTop w:val="0"/>
      <w:marBottom w:val="0"/>
      <w:divBdr>
        <w:top w:val="none" w:sz="0" w:space="0" w:color="auto"/>
        <w:left w:val="none" w:sz="0" w:space="0" w:color="auto"/>
        <w:bottom w:val="none" w:sz="0" w:space="0" w:color="auto"/>
        <w:right w:val="none" w:sz="0" w:space="0" w:color="auto"/>
      </w:divBdr>
    </w:div>
    <w:div w:id="438179068">
      <w:bodyDiv w:val="1"/>
      <w:marLeft w:val="0"/>
      <w:marRight w:val="0"/>
      <w:marTop w:val="0"/>
      <w:marBottom w:val="0"/>
      <w:divBdr>
        <w:top w:val="none" w:sz="0" w:space="0" w:color="auto"/>
        <w:left w:val="none" w:sz="0" w:space="0" w:color="auto"/>
        <w:bottom w:val="none" w:sz="0" w:space="0" w:color="auto"/>
        <w:right w:val="none" w:sz="0" w:space="0" w:color="auto"/>
      </w:divBdr>
    </w:div>
    <w:div w:id="439185885">
      <w:bodyDiv w:val="1"/>
      <w:marLeft w:val="0"/>
      <w:marRight w:val="0"/>
      <w:marTop w:val="0"/>
      <w:marBottom w:val="0"/>
      <w:divBdr>
        <w:top w:val="none" w:sz="0" w:space="0" w:color="auto"/>
        <w:left w:val="none" w:sz="0" w:space="0" w:color="auto"/>
        <w:bottom w:val="none" w:sz="0" w:space="0" w:color="auto"/>
        <w:right w:val="none" w:sz="0" w:space="0" w:color="auto"/>
      </w:divBdr>
    </w:div>
    <w:div w:id="486098536">
      <w:bodyDiv w:val="1"/>
      <w:marLeft w:val="0"/>
      <w:marRight w:val="0"/>
      <w:marTop w:val="0"/>
      <w:marBottom w:val="0"/>
      <w:divBdr>
        <w:top w:val="none" w:sz="0" w:space="0" w:color="auto"/>
        <w:left w:val="none" w:sz="0" w:space="0" w:color="auto"/>
        <w:bottom w:val="none" w:sz="0" w:space="0" w:color="auto"/>
        <w:right w:val="none" w:sz="0" w:space="0" w:color="auto"/>
      </w:divBdr>
    </w:div>
    <w:div w:id="538014876">
      <w:bodyDiv w:val="1"/>
      <w:marLeft w:val="0"/>
      <w:marRight w:val="0"/>
      <w:marTop w:val="0"/>
      <w:marBottom w:val="0"/>
      <w:divBdr>
        <w:top w:val="none" w:sz="0" w:space="0" w:color="auto"/>
        <w:left w:val="none" w:sz="0" w:space="0" w:color="auto"/>
        <w:bottom w:val="none" w:sz="0" w:space="0" w:color="auto"/>
        <w:right w:val="none" w:sz="0" w:space="0" w:color="auto"/>
      </w:divBdr>
    </w:div>
    <w:div w:id="598219244">
      <w:bodyDiv w:val="1"/>
      <w:marLeft w:val="0"/>
      <w:marRight w:val="0"/>
      <w:marTop w:val="0"/>
      <w:marBottom w:val="0"/>
      <w:divBdr>
        <w:top w:val="none" w:sz="0" w:space="0" w:color="auto"/>
        <w:left w:val="none" w:sz="0" w:space="0" w:color="auto"/>
        <w:bottom w:val="none" w:sz="0" w:space="0" w:color="auto"/>
        <w:right w:val="none" w:sz="0" w:space="0" w:color="auto"/>
      </w:divBdr>
    </w:div>
    <w:div w:id="644705935">
      <w:bodyDiv w:val="1"/>
      <w:marLeft w:val="0"/>
      <w:marRight w:val="0"/>
      <w:marTop w:val="0"/>
      <w:marBottom w:val="0"/>
      <w:divBdr>
        <w:top w:val="none" w:sz="0" w:space="0" w:color="auto"/>
        <w:left w:val="none" w:sz="0" w:space="0" w:color="auto"/>
        <w:bottom w:val="none" w:sz="0" w:space="0" w:color="auto"/>
        <w:right w:val="none" w:sz="0" w:space="0" w:color="auto"/>
      </w:divBdr>
    </w:div>
    <w:div w:id="763261328">
      <w:bodyDiv w:val="1"/>
      <w:marLeft w:val="0"/>
      <w:marRight w:val="0"/>
      <w:marTop w:val="0"/>
      <w:marBottom w:val="0"/>
      <w:divBdr>
        <w:top w:val="none" w:sz="0" w:space="0" w:color="auto"/>
        <w:left w:val="none" w:sz="0" w:space="0" w:color="auto"/>
        <w:bottom w:val="none" w:sz="0" w:space="0" w:color="auto"/>
        <w:right w:val="none" w:sz="0" w:space="0" w:color="auto"/>
      </w:divBdr>
    </w:div>
    <w:div w:id="783960356">
      <w:bodyDiv w:val="1"/>
      <w:marLeft w:val="0"/>
      <w:marRight w:val="0"/>
      <w:marTop w:val="0"/>
      <w:marBottom w:val="0"/>
      <w:divBdr>
        <w:top w:val="none" w:sz="0" w:space="0" w:color="auto"/>
        <w:left w:val="none" w:sz="0" w:space="0" w:color="auto"/>
        <w:bottom w:val="none" w:sz="0" w:space="0" w:color="auto"/>
        <w:right w:val="none" w:sz="0" w:space="0" w:color="auto"/>
      </w:divBdr>
    </w:div>
    <w:div w:id="814294762">
      <w:bodyDiv w:val="1"/>
      <w:marLeft w:val="0"/>
      <w:marRight w:val="0"/>
      <w:marTop w:val="0"/>
      <w:marBottom w:val="0"/>
      <w:divBdr>
        <w:top w:val="none" w:sz="0" w:space="0" w:color="auto"/>
        <w:left w:val="none" w:sz="0" w:space="0" w:color="auto"/>
        <w:bottom w:val="none" w:sz="0" w:space="0" w:color="auto"/>
        <w:right w:val="none" w:sz="0" w:space="0" w:color="auto"/>
      </w:divBdr>
    </w:div>
    <w:div w:id="862598147">
      <w:bodyDiv w:val="1"/>
      <w:marLeft w:val="0"/>
      <w:marRight w:val="0"/>
      <w:marTop w:val="0"/>
      <w:marBottom w:val="0"/>
      <w:divBdr>
        <w:top w:val="none" w:sz="0" w:space="0" w:color="auto"/>
        <w:left w:val="none" w:sz="0" w:space="0" w:color="auto"/>
        <w:bottom w:val="none" w:sz="0" w:space="0" w:color="auto"/>
        <w:right w:val="none" w:sz="0" w:space="0" w:color="auto"/>
      </w:divBdr>
    </w:div>
    <w:div w:id="890845743">
      <w:bodyDiv w:val="1"/>
      <w:marLeft w:val="0"/>
      <w:marRight w:val="0"/>
      <w:marTop w:val="0"/>
      <w:marBottom w:val="0"/>
      <w:divBdr>
        <w:top w:val="none" w:sz="0" w:space="0" w:color="auto"/>
        <w:left w:val="none" w:sz="0" w:space="0" w:color="auto"/>
        <w:bottom w:val="none" w:sz="0" w:space="0" w:color="auto"/>
        <w:right w:val="none" w:sz="0" w:space="0" w:color="auto"/>
      </w:divBdr>
    </w:div>
    <w:div w:id="951670590">
      <w:bodyDiv w:val="1"/>
      <w:marLeft w:val="0"/>
      <w:marRight w:val="0"/>
      <w:marTop w:val="0"/>
      <w:marBottom w:val="0"/>
      <w:divBdr>
        <w:top w:val="none" w:sz="0" w:space="0" w:color="auto"/>
        <w:left w:val="none" w:sz="0" w:space="0" w:color="auto"/>
        <w:bottom w:val="none" w:sz="0" w:space="0" w:color="auto"/>
        <w:right w:val="none" w:sz="0" w:space="0" w:color="auto"/>
      </w:divBdr>
    </w:div>
    <w:div w:id="989748811">
      <w:bodyDiv w:val="1"/>
      <w:marLeft w:val="0"/>
      <w:marRight w:val="0"/>
      <w:marTop w:val="0"/>
      <w:marBottom w:val="0"/>
      <w:divBdr>
        <w:top w:val="none" w:sz="0" w:space="0" w:color="auto"/>
        <w:left w:val="none" w:sz="0" w:space="0" w:color="auto"/>
        <w:bottom w:val="none" w:sz="0" w:space="0" w:color="auto"/>
        <w:right w:val="none" w:sz="0" w:space="0" w:color="auto"/>
      </w:divBdr>
    </w:div>
    <w:div w:id="1112473714">
      <w:bodyDiv w:val="1"/>
      <w:marLeft w:val="0"/>
      <w:marRight w:val="0"/>
      <w:marTop w:val="0"/>
      <w:marBottom w:val="0"/>
      <w:divBdr>
        <w:top w:val="none" w:sz="0" w:space="0" w:color="auto"/>
        <w:left w:val="none" w:sz="0" w:space="0" w:color="auto"/>
        <w:bottom w:val="none" w:sz="0" w:space="0" w:color="auto"/>
        <w:right w:val="none" w:sz="0" w:space="0" w:color="auto"/>
      </w:divBdr>
    </w:div>
    <w:div w:id="1241450630">
      <w:bodyDiv w:val="1"/>
      <w:marLeft w:val="0"/>
      <w:marRight w:val="0"/>
      <w:marTop w:val="0"/>
      <w:marBottom w:val="0"/>
      <w:divBdr>
        <w:top w:val="none" w:sz="0" w:space="0" w:color="auto"/>
        <w:left w:val="none" w:sz="0" w:space="0" w:color="auto"/>
        <w:bottom w:val="none" w:sz="0" w:space="0" w:color="auto"/>
        <w:right w:val="none" w:sz="0" w:space="0" w:color="auto"/>
      </w:divBdr>
    </w:div>
    <w:div w:id="1334644944">
      <w:bodyDiv w:val="1"/>
      <w:marLeft w:val="0"/>
      <w:marRight w:val="0"/>
      <w:marTop w:val="0"/>
      <w:marBottom w:val="0"/>
      <w:divBdr>
        <w:top w:val="none" w:sz="0" w:space="0" w:color="auto"/>
        <w:left w:val="none" w:sz="0" w:space="0" w:color="auto"/>
        <w:bottom w:val="none" w:sz="0" w:space="0" w:color="auto"/>
        <w:right w:val="none" w:sz="0" w:space="0" w:color="auto"/>
      </w:divBdr>
    </w:div>
    <w:div w:id="1345205901">
      <w:bodyDiv w:val="1"/>
      <w:marLeft w:val="0"/>
      <w:marRight w:val="0"/>
      <w:marTop w:val="0"/>
      <w:marBottom w:val="0"/>
      <w:divBdr>
        <w:top w:val="none" w:sz="0" w:space="0" w:color="auto"/>
        <w:left w:val="none" w:sz="0" w:space="0" w:color="auto"/>
        <w:bottom w:val="none" w:sz="0" w:space="0" w:color="auto"/>
        <w:right w:val="none" w:sz="0" w:space="0" w:color="auto"/>
      </w:divBdr>
    </w:div>
    <w:div w:id="1383941128">
      <w:bodyDiv w:val="1"/>
      <w:marLeft w:val="0"/>
      <w:marRight w:val="0"/>
      <w:marTop w:val="0"/>
      <w:marBottom w:val="0"/>
      <w:divBdr>
        <w:top w:val="none" w:sz="0" w:space="0" w:color="auto"/>
        <w:left w:val="none" w:sz="0" w:space="0" w:color="auto"/>
        <w:bottom w:val="none" w:sz="0" w:space="0" w:color="auto"/>
        <w:right w:val="none" w:sz="0" w:space="0" w:color="auto"/>
      </w:divBdr>
    </w:div>
    <w:div w:id="1434280190">
      <w:bodyDiv w:val="1"/>
      <w:marLeft w:val="0"/>
      <w:marRight w:val="0"/>
      <w:marTop w:val="0"/>
      <w:marBottom w:val="0"/>
      <w:divBdr>
        <w:top w:val="none" w:sz="0" w:space="0" w:color="auto"/>
        <w:left w:val="none" w:sz="0" w:space="0" w:color="auto"/>
        <w:bottom w:val="none" w:sz="0" w:space="0" w:color="auto"/>
        <w:right w:val="none" w:sz="0" w:space="0" w:color="auto"/>
      </w:divBdr>
    </w:div>
    <w:div w:id="1582594151">
      <w:bodyDiv w:val="1"/>
      <w:marLeft w:val="0"/>
      <w:marRight w:val="0"/>
      <w:marTop w:val="0"/>
      <w:marBottom w:val="0"/>
      <w:divBdr>
        <w:top w:val="none" w:sz="0" w:space="0" w:color="auto"/>
        <w:left w:val="none" w:sz="0" w:space="0" w:color="auto"/>
        <w:bottom w:val="none" w:sz="0" w:space="0" w:color="auto"/>
        <w:right w:val="none" w:sz="0" w:space="0" w:color="auto"/>
      </w:divBdr>
    </w:div>
    <w:div w:id="1613898031">
      <w:bodyDiv w:val="1"/>
      <w:marLeft w:val="0"/>
      <w:marRight w:val="0"/>
      <w:marTop w:val="0"/>
      <w:marBottom w:val="0"/>
      <w:divBdr>
        <w:top w:val="none" w:sz="0" w:space="0" w:color="auto"/>
        <w:left w:val="none" w:sz="0" w:space="0" w:color="auto"/>
        <w:bottom w:val="none" w:sz="0" w:space="0" w:color="auto"/>
        <w:right w:val="none" w:sz="0" w:space="0" w:color="auto"/>
      </w:divBdr>
    </w:div>
    <w:div w:id="1712025917">
      <w:bodyDiv w:val="1"/>
      <w:marLeft w:val="0"/>
      <w:marRight w:val="0"/>
      <w:marTop w:val="0"/>
      <w:marBottom w:val="0"/>
      <w:divBdr>
        <w:top w:val="none" w:sz="0" w:space="0" w:color="auto"/>
        <w:left w:val="none" w:sz="0" w:space="0" w:color="auto"/>
        <w:bottom w:val="none" w:sz="0" w:space="0" w:color="auto"/>
        <w:right w:val="none" w:sz="0" w:space="0" w:color="auto"/>
      </w:divBdr>
    </w:div>
    <w:div w:id="1734888574">
      <w:bodyDiv w:val="1"/>
      <w:marLeft w:val="0"/>
      <w:marRight w:val="0"/>
      <w:marTop w:val="0"/>
      <w:marBottom w:val="0"/>
      <w:divBdr>
        <w:top w:val="none" w:sz="0" w:space="0" w:color="auto"/>
        <w:left w:val="none" w:sz="0" w:space="0" w:color="auto"/>
        <w:bottom w:val="none" w:sz="0" w:space="0" w:color="auto"/>
        <w:right w:val="none" w:sz="0" w:space="0" w:color="auto"/>
      </w:divBdr>
    </w:div>
    <w:div w:id="1741638911">
      <w:bodyDiv w:val="1"/>
      <w:marLeft w:val="0"/>
      <w:marRight w:val="0"/>
      <w:marTop w:val="0"/>
      <w:marBottom w:val="0"/>
      <w:divBdr>
        <w:top w:val="none" w:sz="0" w:space="0" w:color="auto"/>
        <w:left w:val="none" w:sz="0" w:space="0" w:color="auto"/>
        <w:bottom w:val="none" w:sz="0" w:space="0" w:color="auto"/>
        <w:right w:val="none" w:sz="0" w:space="0" w:color="auto"/>
      </w:divBdr>
    </w:div>
    <w:div w:id="1750345551">
      <w:bodyDiv w:val="1"/>
      <w:marLeft w:val="0"/>
      <w:marRight w:val="0"/>
      <w:marTop w:val="0"/>
      <w:marBottom w:val="0"/>
      <w:divBdr>
        <w:top w:val="none" w:sz="0" w:space="0" w:color="auto"/>
        <w:left w:val="none" w:sz="0" w:space="0" w:color="auto"/>
        <w:bottom w:val="none" w:sz="0" w:space="0" w:color="auto"/>
        <w:right w:val="none" w:sz="0" w:space="0" w:color="auto"/>
      </w:divBdr>
    </w:div>
    <w:div w:id="1765954710">
      <w:bodyDiv w:val="1"/>
      <w:marLeft w:val="0"/>
      <w:marRight w:val="0"/>
      <w:marTop w:val="0"/>
      <w:marBottom w:val="0"/>
      <w:divBdr>
        <w:top w:val="none" w:sz="0" w:space="0" w:color="auto"/>
        <w:left w:val="none" w:sz="0" w:space="0" w:color="auto"/>
        <w:bottom w:val="none" w:sz="0" w:space="0" w:color="auto"/>
        <w:right w:val="none" w:sz="0" w:space="0" w:color="auto"/>
      </w:divBdr>
    </w:div>
    <w:div w:id="1777938731">
      <w:bodyDiv w:val="1"/>
      <w:marLeft w:val="0"/>
      <w:marRight w:val="0"/>
      <w:marTop w:val="0"/>
      <w:marBottom w:val="0"/>
      <w:divBdr>
        <w:top w:val="none" w:sz="0" w:space="0" w:color="auto"/>
        <w:left w:val="none" w:sz="0" w:space="0" w:color="auto"/>
        <w:bottom w:val="none" w:sz="0" w:space="0" w:color="auto"/>
        <w:right w:val="none" w:sz="0" w:space="0" w:color="auto"/>
      </w:divBdr>
    </w:div>
    <w:div w:id="1797217996">
      <w:bodyDiv w:val="1"/>
      <w:marLeft w:val="0"/>
      <w:marRight w:val="0"/>
      <w:marTop w:val="0"/>
      <w:marBottom w:val="0"/>
      <w:divBdr>
        <w:top w:val="none" w:sz="0" w:space="0" w:color="auto"/>
        <w:left w:val="none" w:sz="0" w:space="0" w:color="auto"/>
        <w:bottom w:val="none" w:sz="0" w:space="0" w:color="auto"/>
        <w:right w:val="none" w:sz="0" w:space="0" w:color="auto"/>
      </w:divBdr>
    </w:div>
    <w:div w:id="1802839196">
      <w:bodyDiv w:val="1"/>
      <w:marLeft w:val="0"/>
      <w:marRight w:val="0"/>
      <w:marTop w:val="0"/>
      <w:marBottom w:val="0"/>
      <w:divBdr>
        <w:top w:val="none" w:sz="0" w:space="0" w:color="auto"/>
        <w:left w:val="none" w:sz="0" w:space="0" w:color="auto"/>
        <w:bottom w:val="none" w:sz="0" w:space="0" w:color="auto"/>
        <w:right w:val="none" w:sz="0" w:space="0" w:color="auto"/>
      </w:divBdr>
    </w:div>
    <w:div w:id="1807317222">
      <w:bodyDiv w:val="1"/>
      <w:marLeft w:val="0"/>
      <w:marRight w:val="0"/>
      <w:marTop w:val="0"/>
      <w:marBottom w:val="0"/>
      <w:divBdr>
        <w:top w:val="none" w:sz="0" w:space="0" w:color="auto"/>
        <w:left w:val="none" w:sz="0" w:space="0" w:color="auto"/>
        <w:bottom w:val="none" w:sz="0" w:space="0" w:color="auto"/>
        <w:right w:val="none" w:sz="0" w:space="0" w:color="auto"/>
      </w:divBdr>
    </w:div>
    <w:div w:id="1856848454">
      <w:bodyDiv w:val="1"/>
      <w:marLeft w:val="0"/>
      <w:marRight w:val="0"/>
      <w:marTop w:val="0"/>
      <w:marBottom w:val="0"/>
      <w:divBdr>
        <w:top w:val="none" w:sz="0" w:space="0" w:color="auto"/>
        <w:left w:val="none" w:sz="0" w:space="0" w:color="auto"/>
        <w:bottom w:val="none" w:sz="0" w:space="0" w:color="auto"/>
        <w:right w:val="none" w:sz="0" w:space="0" w:color="auto"/>
      </w:divBdr>
    </w:div>
    <w:div w:id="1908109148">
      <w:bodyDiv w:val="1"/>
      <w:marLeft w:val="0"/>
      <w:marRight w:val="0"/>
      <w:marTop w:val="0"/>
      <w:marBottom w:val="0"/>
      <w:divBdr>
        <w:top w:val="none" w:sz="0" w:space="0" w:color="auto"/>
        <w:left w:val="none" w:sz="0" w:space="0" w:color="auto"/>
        <w:bottom w:val="none" w:sz="0" w:space="0" w:color="auto"/>
        <w:right w:val="none" w:sz="0" w:space="0" w:color="auto"/>
      </w:divBdr>
    </w:div>
    <w:div w:id="1979340889">
      <w:bodyDiv w:val="1"/>
      <w:marLeft w:val="0"/>
      <w:marRight w:val="0"/>
      <w:marTop w:val="0"/>
      <w:marBottom w:val="0"/>
      <w:divBdr>
        <w:top w:val="none" w:sz="0" w:space="0" w:color="auto"/>
        <w:left w:val="none" w:sz="0" w:space="0" w:color="auto"/>
        <w:bottom w:val="none" w:sz="0" w:space="0" w:color="auto"/>
        <w:right w:val="none" w:sz="0" w:space="0" w:color="auto"/>
      </w:divBdr>
    </w:div>
    <w:div w:id="2026975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_GT_TEMPLATES\Z&#225;v&#283;re&#269;n&#225;%20zpr&#225;va%20&#269;&#237;slovan&#225;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customXml" Target="../../customXml/item4.xml"/><Relationship Id="rId1" Type="http://schemas.openxmlformats.org/officeDocument/2006/relationships/customXml" Target="../../customXml/item3.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6BFEBE88FE4650AB1740137BEDDD8A"/>
        <w:category>
          <w:name w:val="General"/>
          <w:gallery w:val="placeholder"/>
        </w:category>
        <w:types>
          <w:type w:val="bbPlcHdr"/>
        </w:types>
        <w:behaviors>
          <w:behavior w:val="content"/>
        </w:behaviors>
        <w:guid w:val="{130E870D-7D79-47F2-A045-C573286356D8}"/>
      </w:docPartPr>
      <w:docPartBody>
        <w:p w:rsidR="00AC281A" w:rsidRDefault="00174562">
          <w:pPr>
            <w:pStyle w:val="746BFEBE88FE4650AB1740137BEDDD8A"/>
          </w:pPr>
          <w:r w:rsidRPr="00956BEA">
            <w:rPr>
              <w:rStyle w:val="Placeholder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GT Walsheim Pro Bold">
    <w:charset w:val="EE"/>
    <w:family w:val="auto"/>
    <w:pitch w:val="variable"/>
    <w:sig w:usb0="00000207" w:usb1="00000001" w:usb2="00000000" w:usb3="00000000" w:csb0="00000097" w:csb1="00000000"/>
  </w:font>
  <w:font w:name="GT Walsheim Pro Light">
    <w:charset w:val="EE"/>
    <w:family w:val="auto"/>
    <w:pitch w:val="variable"/>
    <w:sig w:usb0="00000207" w:usb1="00000001" w:usb2="00000000" w:usb3="00000000" w:csb0="00000097" w:csb1="00000000"/>
  </w:font>
  <w:font w:name="GT Walsheim Pro Regular">
    <w:altName w:val="Calibri"/>
    <w:panose1 w:val="00000000000000000000"/>
    <w:charset w:val="00"/>
    <w:family w:val="modern"/>
    <w:notTrueType/>
    <w:pitch w:val="variable"/>
    <w:sig w:usb0="A00002AF" w:usb1="5000206B" w:usb2="00000000" w:usb3="00000000" w:csb0="00000097"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62"/>
    <w:rsid w:val="000C0A52"/>
    <w:rsid w:val="000F32F4"/>
    <w:rsid w:val="00174562"/>
    <w:rsid w:val="003203C8"/>
    <w:rsid w:val="005665DD"/>
    <w:rsid w:val="0058396A"/>
    <w:rsid w:val="00637604"/>
    <w:rsid w:val="00837C24"/>
    <w:rsid w:val="00842B1D"/>
    <w:rsid w:val="00A52DBF"/>
    <w:rsid w:val="00A53C8F"/>
    <w:rsid w:val="00AC281A"/>
    <w:rsid w:val="00AE7348"/>
    <w:rsid w:val="00C022F0"/>
    <w:rsid w:val="00CD0858"/>
    <w:rsid w:val="00D93A34"/>
    <w:rsid w:val="00F14F3D"/>
    <w:rsid w:val="00FE2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46BFEBE88FE4650AB1740137BEDDD8A">
    <w:name w:val="746BFEBE88FE4650AB1740137BEDD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T Colour palette">
      <a:dk1>
        <a:sysClr val="windowText" lastClr="000000"/>
      </a:dk1>
      <a:lt1>
        <a:sysClr val="window" lastClr="FFFFFF"/>
      </a:lt1>
      <a:dk2>
        <a:srgbClr val="747678"/>
      </a:dk2>
      <a:lt2>
        <a:srgbClr val="E7E0D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C&amp;W_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A1B73A-CF31-4920-9387-B15CB4349E38}">
  <ds:schemaRefs>
    <ds:schemaRef ds:uri="http://schemas.openxmlformats.org/officeDocument/2006/bibliography"/>
  </ds:schemaRefs>
</ds:datastoreItem>
</file>

<file path=customXml/itemProps3.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4.xml><?xml version="1.0" encoding="utf-8"?>
<ds:datastoreItem xmlns:ds="http://schemas.openxmlformats.org/officeDocument/2006/customXml" ds:itemID="{1DA1B73A-CF31-4920-9387-B15CB434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Závěrečná zpráva číslovaná21.dotx</Template>
  <TotalTime>99</TotalTime>
  <Pages>1</Pages>
  <Words>4929</Words>
  <Characters>28101</Characters>
  <Application>Microsoft Office Word</Application>
  <DocSecurity>4</DocSecurity>
  <Lines>234</Lines>
  <Paragraphs>65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Metodika rozvoje sítí elektronických komunikací na území Středočeského kraje</vt:lpstr>
      <vt:lpstr>Závěrečná zpráva</vt:lpstr>
    </vt:vector>
  </TitlesOfParts>
  <Company/>
  <LinksUpToDate>false</LinksUpToDate>
  <CharactersWithSpaces>32965</CharactersWithSpaces>
  <SharedDoc>false</SharedDoc>
  <HLinks>
    <vt:vector size="114" baseType="variant">
      <vt:variant>
        <vt:i4>1114167</vt:i4>
      </vt:variant>
      <vt:variant>
        <vt:i4>110</vt:i4>
      </vt:variant>
      <vt:variant>
        <vt:i4>0</vt:i4>
      </vt:variant>
      <vt:variant>
        <vt:i4>5</vt:i4>
      </vt:variant>
      <vt:variant>
        <vt:lpwstr/>
      </vt:variant>
      <vt:variant>
        <vt:lpwstr>_Toc106622221</vt:lpwstr>
      </vt:variant>
      <vt:variant>
        <vt:i4>1114167</vt:i4>
      </vt:variant>
      <vt:variant>
        <vt:i4>104</vt:i4>
      </vt:variant>
      <vt:variant>
        <vt:i4>0</vt:i4>
      </vt:variant>
      <vt:variant>
        <vt:i4>5</vt:i4>
      </vt:variant>
      <vt:variant>
        <vt:lpwstr/>
      </vt:variant>
      <vt:variant>
        <vt:lpwstr>_Toc106622220</vt:lpwstr>
      </vt:variant>
      <vt:variant>
        <vt:i4>1179703</vt:i4>
      </vt:variant>
      <vt:variant>
        <vt:i4>98</vt:i4>
      </vt:variant>
      <vt:variant>
        <vt:i4>0</vt:i4>
      </vt:variant>
      <vt:variant>
        <vt:i4>5</vt:i4>
      </vt:variant>
      <vt:variant>
        <vt:lpwstr/>
      </vt:variant>
      <vt:variant>
        <vt:lpwstr>_Toc106622219</vt:lpwstr>
      </vt:variant>
      <vt:variant>
        <vt:i4>1179703</vt:i4>
      </vt:variant>
      <vt:variant>
        <vt:i4>92</vt:i4>
      </vt:variant>
      <vt:variant>
        <vt:i4>0</vt:i4>
      </vt:variant>
      <vt:variant>
        <vt:i4>5</vt:i4>
      </vt:variant>
      <vt:variant>
        <vt:lpwstr/>
      </vt:variant>
      <vt:variant>
        <vt:lpwstr>_Toc106622218</vt:lpwstr>
      </vt:variant>
      <vt:variant>
        <vt:i4>1179703</vt:i4>
      </vt:variant>
      <vt:variant>
        <vt:i4>86</vt:i4>
      </vt:variant>
      <vt:variant>
        <vt:i4>0</vt:i4>
      </vt:variant>
      <vt:variant>
        <vt:i4>5</vt:i4>
      </vt:variant>
      <vt:variant>
        <vt:lpwstr/>
      </vt:variant>
      <vt:variant>
        <vt:lpwstr>_Toc106622217</vt:lpwstr>
      </vt:variant>
      <vt:variant>
        <vt:i4>1179703</vt:i4>
      </vt:variant>
      <vt:variant>
        <vt:i4>80</vt:i4>
      </vt:variant>
      <vt:variant>
        <vt:i4>0</vt:i4>
      </vt:variant>
      <vt:variant>
        <vt:i4>5</vt:i4>
      </vt:variant>
      <vt:variant>
        <vt:lpwstr/>
      </vt:variant>
      <vt:variant>
        <vt:lpwstr>_Toc106622216</vt:lpwstr>
      </vt:variant>
      <vt:variant>
        <vt:i4>1179703</vt:i4>
      </vt:variant>
      <vt:variant>
        <vt:i4>74</vt:i4>
      </vt:variant>
      <vt:variant>
        <vt:i4>0</vt:i4>
      </vt:variant>
      <vt:variant>
        <vt:i4>5</vt:i4>
      </vt:variant>
      <vt:variant>
        <vt:lpwstr/>
      </vt:variant>
      <vt:variant>
        <vt:lpwstr>_Toc106622215</vt:lpwstr>
      </vt:variant>
      <vt:variant>
        <vt:i4>1179703</vt:i4>
      </vt:variant>
      <vt:variant>
        <vt:i4>68</vt:i4>
      </vt:variant>
      <vt:variant>
        <vt:i4>0</vt:i4>
      </vt:variant>
      <vt:variant>
        <vt:i4>5</vt:i4>
      </vt:variant>
      <vt:variant>
        <vt:lpwstr/>
      </vt:variant>
      <vt:variant>
        <vt:lpwstr>_Toc106622214</vt:lpwstr>
      </vt:variant>
      <vt:variant>
        <vt:i4>1179703</vt:i4>
      </vt:variant>
      <vt:variant>
        <vt:i4>62</vt:i4>
      </vt:variant>
      <vt:variant>
        <vt:i4>0</vt:i4>
      </vt:variant>
      <vt:variant>
        <vt:i4>5</vt:i4>
      </vt:variant>
      <vt:variant>
        <vt:lpwstr/>
      </vt:variant>
      <vt:variant>
        <vt:lpwstr>_Toc106622213</vt:lpwstr>
      </vt:variant>
      <vt:variant>
        <vt:i4>1179703</vt:i4>
      </vt:variant>
      <vt:variant>
        <vt:i4>56</vt:i4>
      </vt:variant>
      <vt:variant>
        <vt:i4>0</vt:i4>
      </vt:variant>
      <vt:variant>
        <vt:i4>5</vt:i4>
      </vt:variant>
      <vt:variant>
        <vt:lpwstr/>
      </vt:variant>
      <vt:variant>
        <vt:lpwstr>_Toc106622212</vt:lpwstr>
      </vt:variant>
      <vt:variant>
        <vt:i4>1179703</vt:i4>
      </vt:variant>
      <vt:variant>
        <vt:i4>50</vt:i4>
      </vt:variant>
      <vt:variant>
        <vt:i4>0</vt:i4>
      </vt:variant>
      <vt:variant>
        <vt:i4>5</vt:i4>
      </vt:variant>
      <vt:variant>
        <vt:lpwstr/>
      </vt:variant>
      <vt:variant>
        <vt:lpwstr>_Toc106622211</vt:lpwstr>
      </vt:variant>
      <vt:variant>
        <vt:i4>1179703</vt:i4>
      </vt:variant>
      <vt:variant>
        <vt:i4>44</vt:i4>
      </vt:variant>
      <vt:variant>
        <vt:i4>0</vt:i4>
      </vt:variant>
      <vt:variant>
        <vt:i4>5</vt:i4>
      </vt:variant>
      <vt:variant>
        <vt:lpwstr/>
      </vt:variant>
      <vt:variant>
        <vt:lpwstr>_Toc106622210</vt:lpwstr>
      </vt:variant>
      <vt:variant>
        <vt:i4>1245239</vt:i4>
      </vt:variant>
      <vt:variant>
        <vt:i4>38</vt:i4>
      </vt:variant>
      <vt:variant>
        <vt:i4>0</vt:i4>
      </vt:variant>
      <vt:variant>
        <vt:i4>5</vt:i4>
      </vt:variant>
      <vt:variant>
        <vt:lpwstr/>
      </vt:variant>
      <vt:variant>
        <vt:lpwstr>_Toc106622209</vt:lpwstr>
      </vt:variant>
      <vt:variant>
        <vt:i4>1245239</vt:i4>
      </vt:variant>
      <vt:variant>
        <vt:i4>32</vt:i4>
      </vt:variant>
      <vt:variant>
        <vt:i4>0</vt:i4>
      </vt:variant>
      <vt:variant>
        <vt:i4>5</vt:i4>
      </vt:variant>
      <vt:variant>
        <vt:lpwstr/>
      </vt:variant>
      <vt:variant>
        <vt:lpwstr>_Toc106622208</vt:lpwstr>
      </vt:variant>
      <vt:variant>
        <vt:i4>1245239</vt:i4>
      </vt:variant>
      <vt:variant>
        <vt:i4>26</vt:i4>
      </vt:variant>
      <vt:variant>
        <vt:i4>0</vt:i4>
      </vt:variant>
      <vt:variant>
        <vt:i4>5</vt:i4>
      </vt:variant>
      <vt:variant>
        <vt:lpwstr/>
      </vt:variant>
      <vt:variant>
        <vt:lpwstr>_Toc106622207</vt:lpwstr>
      </vt:variant>
      <vt:variant>
        <vt:i4>1245239</vt:i4>
      </vt:variant>
      <vt:variant>
        <vt:i4>20</vt:i4>
      </vt:variant>
      <vt:variant>
        <vt:i4>0</vt:i4>
      </vt:variant>
      <vt:variant>
        <vt:i4>5</vt:i4>
      </vt:variant>
      <vt:variant>
        <vt:lpwstr/>
      </vt:variant>
      <vt:variant>
        <vt:lpwstr>_Toc106622206</vt:lpwstr>
      </vt:variant>
      <vt:variant>
        <vt:i4>1245239</vt:i4>
      </vt:variant>
      <vt:variant>
        <vt:i4>14</vt:i4>
      </vt:variant>
      <vt:variant>
        <vt:i4>0</vt:i4>
      </vt:variant>
      <vt:variant>
        <vt:i4>5</vt:i4>
      </vt:variant>
      <vt:variant>
        <vt:lpwstr/>
      </vt:variant>
      <vt:variant>
        <vt:lpwstr>_Toc106622205</vt:lpwstr>
      </vt:variant>
      <vt:variant>
        <vt:i4>1245239</vt:i4>
      </vt:variant>
      <vt:variant>
        <vt:i4>8</vt:i4>
      </vt:variant>
      <vt:variant>
        <vt:i4>0</vt:i4>
      </vt:variant>
      <vt:variant>
        <vt:i4>5</vt:i4>
      </vt:variant>
      <vt:variant>
        <vt:lpwstr/>
      </vt:variant>
      <vt:variant>
        <vt:lpwstr>_Toc106622204</vt:lpwstr>
      </vt:variant>
      <vt:variant>
        <vt:i4>1245239</vt:i4>
      </vt:variant>
      <vt:variant>
        <vt:i4>2</vt:i4>
      </vt:variant>
      <vt:variant>
        <vt:i4>0</vt:i4>
      </vt:variant>
      <vt:variant>
        <vt:i4>5</vt:i4>
      </vt:variant>
      <vt:variant>
        <vt:lpwstr/>
      </vt:variant>
      <vt:variant>
        <vt:lpwstr>_Toc106622203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 rozvoje sítí elektronických komunikací na území Středočeského kraje</dc:title>
  <dc:subject/>
  <dc:creator>Záhora, Petr</dc:creator>
  <cp:keywords/>
  <dc:description/>
  <cp:lastModifiedBy>Záhora, Petr</cp:lastModifiedBy>
  <cp:revision>71</cp:revision>
  <cp:lastPrinted>2018-01-05T23:18:00Z</cp:lastPrinted>
  <dcterms:created xsi:type="dcterms:W3CDTF">2022-06-20T18:07:00Z</dcterms:created>
  <dcterms:modified xsi:type="dcterms:W3CDTF">2022-06-20T19:57:00Z</dcterms:modified>
</cp:coreProperties>
</file>