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9803" w14:textId="670353D2" w:rsidR="004248C1" w:rsidRPr="00250BBB" w:rsidRDefault="004248C1" w:rsidP="00250BBB">
      <w:pPr>
        <w:spacing w:line="300" w:lineRule="auto"/>
        <w:jc w:val="both"/>
        <w:rPr>
          <w:rFonts w:ascii="Calibri" w:hAnsi="Calibri" w:cs="Calibri"/>
          <w:b/>
          <w:bCs/>
          <w:caps/>
          <w:sz w:val="20"/>
          <w:szCs w:val="20"/>
        </w:rPr>
      </w:pPr>
      <w:r w:rsidRPr="00250BBB">
        <w:rPr>
          <w:rFonts w:ascii="Calibri" w:hAnsi="Calibri" w:cs="Calibri"/>
          <w:b/>
          <w:bCs/>
          <w:caps/>
          <w:sz w:val="20"/>
          <w:szCs w:val="20"/>
        </w:rPr>
        <w:t>Komu je manuál určen</w:t>
      </w:r>
    </w:p>
    <w:p w14:paraId="47968B99" w14:textId="380B73A7" w:rsidR="004248C1" w:rsidRPr="002E6992" w:rsidRDefault="004248C1" w:rsidP="004248C1">
      <w:pPr>
        <w:spacing w:after="200" w:line="300" w:lineRule="auto"/>
        <w:rPr>
          <w:rFonts w:ascii="Calibri" w:hAnsi="Calibri" w:cs="Calibri"/>
          <w:sz w:val="20"/>
          <w:szCs w:val="20"/>
          <w:highlight w:val="yellow"/>
        </w:rPr>
      </w:pPr>
      <w:r>
        <w:rPr>
          <w:rFonts w:ascii="Calibri" w:hAnsi="Calibri" w:cs="Calibri"/>
          <w:sz w:val="20"/>
          <w:szCs w:val="20"/>
        </w:rPr>
        <w:t>Manuál</w:t>
      </w:r>
      <w:r w:rsidRPr="002E6992">
        <w:rPr>
          <w:rFonts w:ascii="Calibri" w:hAnsi="Calibri" w:cs="Calibri"/>
          <w:sz w:val="20"/>
          <w:szCs w:val="20"/>
        </w:rPr>
        <w:t xml:space="preserve"> </w:t>
      </w:r>
      <w:r>
        <w:rPr>
          <w:rFonts w:ascii="Calibri" w:hAnsi="Calibri" w:cs="Calibri"/>
          <w:sz w:val="20"/>
          <w:szCs w:val="20"/>
        </w:rPr>
        <w:t>je určen</w:t>
      </w:r>
      <w:r w:rsidRPr="002E6992">
        <w:rPr>
          <w:rFonts w:ascii="Calibri" w:hAnsi="Calibri" w:cs="Calibri"/>
          <w:sz w:val="20"/>
          <w:szCs w:val="20"/>
        </w:rPr>
        <w:t xml:space="preserve"> poskytovatel</w:t>
      </w:r>
      <w:r>
        <w:rPr>
          <w:rFonts w:ascii="Calibri" w:hAnsi="Calibri" w:cs="Calibri"/>
          <w:sz w:val="20"/>
          <w:szCs w:val="20"/>
        </w:rPr>
        <w:t>ům</w:t>
      </w:r>
      <w:r w:rsidRPr="002E6992">
        <w:rPr>
          <w:rFonts w:ascii="Calibri" w:hAnsi="Calibri" w:cs="Calibri"/>
          <w:sz w:val="20"/>
          <w:szCs w:val="20"/>
        </w:rPr>
        <w:t xml:space="preserve"> veřejně dostupných služeb elektronických komunikací jiných, než jsou přenosové služby v sítích používaných pro poskytování služby komunikace mezi stroji (dále také „</w:t>
      </w:r>
      <w:r w:rsidRPr="002E6992">
        <w:rPr>
          <w:rFonts w:ascii="Calibri" w:hAnsi="Calibri" w:cs="Calibri"/>
          <w:b/>
          <w:bCs/>
          <w:sz w:val="20"/>
          <w:szCs w:val="20"/>
        </w:rPr>
        <w:t>Poskytovatelé</w:t>
      </w:r>
      <w:r w:rsidRPr="002E6992">
        <w:rPr>
          <w:rFonts w:ascii="Calibri" w:hAnsi="Calibri" w:cs="Calibri"/>
          <w:sz w:val="20"/>
          <w:szCs w:val="20"/>
        </w:rPr>
        <w:t>“)</w:t>
      </w:r>
      <w:r>
        <w:rPr>
          <w:rFonts w:ascii="Calibri" w:hAnsi="Calibri" w:cs="Calibri"/>
          <w:sz w:val="20"/>
          <w:szCs w:val="20"/>
        </w:rPr>
        <w:t>.</w:t>
      </w:r>
    </w:p>
    <w:p w14:paraId="26FA77B1" w14:textId="2A609B4C" w:rsidR="004248C1" w:rsidRPr="00250BBB" w:rsidRDefault="004248C1" w:rsidP="00250BBB">
      <w:pPr>
        <w:spacing w:line="300" w:lineRule="auto"/>
        <w:jc w:val="both"/>
        <w:rPr>
          <w:rFonts w:ascii="Calibri" w:hAnsi="Calibri" w:cs="Calibri"/>
          <w:b/>
          <w:bCs/>
          <w:caps/>
          <w:sz w:val="20"/>
          <w:szCs w:val="20"/>
        </w:rPr>
      </w:pPr>
      <w:r w:rsidRPr="00250BBB">
        <w:rPr>
          <w:rFonts w:ascii="Calibri" w:hAnsi="Calibri" w:cs="Calibri"/>
          <w:b/>
          <w:bCs/>
          <w:caps/>
          <w:sz w:val="20"/>
          <w:szCs w:val="20"/>
        </w:rPr>
        <w:t>Co manuál obsahuje</w:t>
      </w:r>
    </w:p>
    <w:p w14:paraId="70206A41" w14:textId="77777777" w:rsidR="002E6F0B" w:rsidRDefault="002E6F0B" w:rsidP="002E6F0B">
      <w:pPr>
        <w:spacing w:line="300" w:lineRule="auto"/>
        <w:rPr>
          <w:rFonts w:ascii="Calibri" w:hAnsi="Calibri" w:cs="Calibri"/>
          <w:sz w:val="20"/>
          <w:szCs w:val="20"/>
        </w:rPr>
      </w:pPr>
      <w:r>
        <w:rPr>
          <w:rFonts w:ascii="Calibri" w:hAnsi="Calibri" w:cs="Calibri"/>
          <w:sz w:val="20"/>
          <w:szCs w:val="20"/>
        </w:rPr>
        <w:t>M</w:t>
      </w:r>
      <w:r w:rsidR="00CE5141">
        <w:rPr>
          <w:rFonts w:ascii="Calibri" w:hAnsi="Calibri" w:cs="Calibri"/>
          <w:sz w:val="20"/>
          <w:szCs w:val="20"/>
        </w:rPr>
        <w:t>anuál obsahuje</w:t>
      </w:r>
      <w:r>
        <w:rPr>
          <w:rFonts w:ascii="Calibri" w:hAnsi="Calibri" w:cs="Calibri"/>
          <w:sz w:val="20"/>
          <w:szCs w:val="20"/>
        </w:rPr>
        <w:t>:</w:t>
      </w:r>
      <w:r w:rsidR="00CE5141">
        <w:rPr>
          <w:rFonts w:ascii="Calibri" w:hAnsi="Calibri" w:cs="Calibri"/>
          <w:sz w:val="20"/>
          <w:szCs w:val="20"/>
        </w:rPr>
        <w:t xml:space="preserve"> </w:t>
      </w:r>
    </w:p>
    <w:p w14:paraId="059E079B" w14:textId="7092B53B" w:rsidR="002E6F0B" w:rsidRDefault="002E6F0B" w:rsidP="002E6F0B">
      <w:pPr>
        <w:pStyle w:val="Odstavecseseznamem"/>
        <w:numPr>
          <w:ilvl w:val="0"/>
          <w:numId w:val="18"/>
        </w:numPr>
        <w:spacing w:after="200" w:line="300" w:lineRule="auto"/>
        <w:ind w:left="567"/>
        <w:rPr>
          <w:rFonts w:ascii="Calibri" w:hAnsi="Calibri" w:cs="Calibri"/>
          <w:sz w:val="20"/>
          <w:szCs w:val="20"/>
        </w:rPr>
      </w:pPr>
      <w:r>
        <w:rPr>
          <w:rFonts w:ascii="Calibri" w:hAnsi="Calibri" w:cs="Calibri"/>
          <w:sz w:val="20"/>
          <w:szCs w:val="20"/>
        </w:rPr>
        <w:t>tuto úvodní část</w:t>
      </w:r>
    </w:p>
    <w:p w14:paraId="01D91F70" w14:textId="58F9E39E" w:rsidR="002E6F0B" w:rsidRDefault="00CE5141" w:rsidP="002E6F0B">
      <w:pPr>
        <w:pStyle w:val="Odstavecseseznamem"/>
        <w:numPr>
          <w:ilvl w:val="0"/>
          <w:numId w:val="18"/>
        </w:numPr>
        <w:spacing w:after="200" w:line="300" w:lineRule="auto"/>
        <w:ind w:left="567"/>
        <w:rPr>
          <w:rFonts w:ascii="Calibri" w:hAnsi="Calibri" w:cs="Calibri"/>
          <w:sz w:val="20"/>
          <w:szCs w:val="20"/>
        </w:rPr>
      </w:pPr>
      <w:r w:rsidRPr="002E6F0B">
        <w:rPr>
          <w:rFonts w:ascii="Calibri" w:hAnsi="Calibri" w:cs="Calibri"/>
          <w:sz w:val="20"/>
          <w:szCs w:val="20"/>
        </w:rPr>
        <w:t xml:space="preserve">šablonu </w:t>
      </w:r>
      <w:r w:rsidR="002E6F0B" w:rsidRPr="002E6F0B">
        <w:rPr>
          <w:rFonts w:ascii="Calibri" w:hAnsi="Calibri" w:cs="Calibri"/>
          <w:sz w:val="20"/>
          <w:szCs w:val="20"/>
        </w:rPr>
        <w:t>s</w:t>
      </w:r>
      <w:r w:rsidR="00250BBB" w:rsidRPr="002E6F0B">
        <w:rPr>
          <w:rFonts w:ascii="Calibri" w:hAnsi="Calibri" w:cs="Calibri"/>
          <w:sz w:val="20"/>
          <w:szCs w:val="20"/>
        </w:rPr>
        <w:t>hrnutí</w:t>
      </w:r>
      <w:r w:rsidRPr="002E6F0B">
        <w:rPr>
          <w:rFonts w:ascii="Calibri" w:hAnsi="Calibri" w:cs="Calibri"/>
          <w:sz w:val="20"/>
          <w:szCs w:val="20"/>
        </w:rPr>
        <w:t>, které mají poskytovatelé poskytnout spotřebitelům v souladu s právními předpisy</w:t>
      </w:r>
    </w:p>
    <w:p w14:paraId="1942FDE1" w14:textId="3272BFDF" w:rsidR="004248C1" w:rsidRPr="002E6F0B" w:rsidRDefault="002E6F0B" w:rsidP="002E6F0B">
      <w:pPr>
        <w:pStyle w:val="Odstavecseseznamem"/>
        <w:numPr>
          <w:ilvl w:val="0"/>
          <w:numId w:val="18"/>
        </w:numPr>
        <w:spacing w:after="200" w:line="300" w:lineRule="auto"/>
        <w:ind w:left="567"/>
        <w:rPr>
          <w:rFonts w:ascii="Calibri" w:hAnsi="Calibri" w:cs="Calibri"/>
          <w:sz w:val="20"/>
          <w:szCs w:val="20"/>
        </w:rPr>
      </w:pPr>
      <w:r>
        <w:rPr>
          <w:rFonts w:ascii="Calibri" w:hAnsi="Calibri" w:cs="Calibri"/>
          <w:sz w:val="20"/>
          <w:szCs w:val="20"/>
        </w:rPr>
        <w:t>p</w:t>
      </w:r>
      <w:r w:rsidR="00250BBB" w:rsidRPr="002E6F0B">
        <w:rPr>
          <w:rFonts w:ascii="Calibri" w:hAnsi="Calibri" w:cs="Calibri"/>
          <w:sz w:val="20"/>
          <w:szCs w:val="20"/>
        </w:rPr>
        <w:t>říklad vyplněné šablony</w:t>
      </w:r>
      <w:r>
        <w:rPr>
          <w:rFonts w:ascii="Calibri" w:hAnsi="Calibri" w:cs="Calibri"/>
          <w:sz w:val="20"/>
          <w:szCs w:val="20"/>
        </w:rPr>
        <w:t xml:space="preserve"> shrnutí</w:t>
      </w:r>
    </w:p>
    <w:p w14:paraId="6F3FB9D7" w14:textId="58C07AF2" w:rsidR="00F932DD" w:rsidRPr="00250BBB" w:rsidRDefault="00F932DD" w:rsidP="00250BBB">
      <w:pPr>
        <w:spacing w:line="300" w:lineRule="auto"/>
        <w:jc w:val="both"/>
        <w:rPr>
          <w:rFonts w:ascii="Calibri" w:hAnsi="Calibri" w:cs="Calibri"/>
          <w:b/>
          <w:bCs/>
          <w:caps/>
          <w:sz w:val="20"/>
          <w:szCs w:val="20"/>
        </w:rPr>
      </w:pPr>
      <w:r w:rsidRPr="00250BBB">
        <w:rPr>
          <w:rFonts w:ascii="Calibri" w:hAnsi="Calibri" w:cs="Calibri"/>
          <w:b/>
          <w:bCs/>
          <w:caps/>
          <w:sz w:val="20"/>
          <w:szCs w:val="20"/>
        </w:rPr>
        <w:t>Vysvětlivky</w:t>
      </w:r>
      <w:r w:rsidR="00CE5141" w:rsidRPr="00250BBB">
        <w:rPr>
          <w:rFonts w:ascii="Calibri" w:hAnsi="Calibri" w:cs="Calibri"/>
          <w:b/>
          <w:bCs/>
          <w:caps/>
          <w:sz w:val="20"/>
          <w:szCs w:val="20"/>
        </w:rPr>
        <w:t xml:space="preserve"> pro práci se šablonou</w:t>
      </w:r>
    </w:p>
    <w:p w14:paraId="58DFDCE6" w14:textId="5B12D72D" w:rsidR="00F932DD" w:rsidRPr="002E6F0B" w:rsidRDefault="00F932DD" w:rsidP="002E6F0B">
      <w:pPr>
        <w:pStyle w:val="Odstavecseseznamem"/>
        <w:numPr>
          <w:ilvl w:val="0"/>
          <w:numId w:val="19"/>
        </w:numPr>
        <w:spacing w:after="200" w:line="300" w:lineRule="auto"/>
        <w:ind w:left="567"/>
        <w:jc w:val="both"/>
        <w:rPr>
          <w:rFonts w:ascii="Calibri" w:hAnsi="Calibri" w:cs="Calibri"/>
          <w:color w:val="000000" w:themeColor="text1"/>
          <w:sz w:val="20"/>
          <w:szCs w:val="20"/>
        </w:rPr>
      </w:pPr>
      <w:bookmarkStart w:id="0" w:name="_Hlk103003730"/>
      <w:r w:rsidRPr="002E6F0B">
        <w:rPr>
          <w:rFonts w:ascii="Calibri" w:hAnsi="Calibri" w:cs="Calibri"/>
          <w:color w:val="000000" w:themeColor="text1"/>
          <w:sz w:val="20"/>
          <w:szCs w:val="20"/>
        </w:rPr>
        <w:t>Černý text představuje povinné náležitosti shrnutí smlouvy a ne</w:t>
      </w:r>
      <w:r w:rsidR="002819CC">
        <w:rPr>
          <w:rFonts w:ascii="Calibri" w:hAnsi="Calibri" w:cs="Calibri"/>
          <w:color w:val="000000" w:themeColor="text1"/>
          <w:sz w:val="20"/>
          <w:szCs w:val="20"/>
        </w:rPr>
        <w:t>smí</w:t>
      </w:r>
      <w:r w:rsidRPr="002E6F0B">
        <w:rPr>
          <w:rFonts w:ascii="Calibri" w:hAnsi="Calibri" w:cs="Calibri"/>
          <w:color w:val="000000" w:themeColor="text1"/>
          <w:sz w:val="20"/>
          <w:szCs w:val="20"/>
        </w:rPr>
        <w:t xml:space="preserve"> být odstraněn</w:t>
      </w:r>
    </w:p>
    <w:bookmarkEnd w:id="0"/>
    <w:p w14:paraId="5B7D8676" w14:textId="5539ED91" w:rsidR="00F932DD" w:rsidRPr="002E6F0B" w:rsidRDefault="00F932DD" w:rsidP="002E6F0B">
      <w:pPr>
        <w:pStyle w:val="Odstavecseseznamem"/>
        <w:numPr>
          <w:ilvl w:val="0"/>
          <w:numId w:val="19"/>
        </w:numPr>
        <w:spacing w:after="200" w:line="300" w:lineRule="auto"/>
        <w:ind w:left="567"/>
        <w:rPr>
          <w:rFonts w:ascii="Calibri" w:hAnsi="Calibri" w:cs="Calibri"/>
          <w:color w:val="000000" w:themeColor="text1"/>
          <w:sz w:val="20"/>
          <w:szCs w:val="20"/>
        </w:rPr>
      </w:pPr>
      <w:r w:rsidRPr="002E6F0B">
        <w:rPr>
          <w:rFonts w:ascii="Calibri" w:hAnsi="Calibri" w:cs="Calibri"/>
          <w:sz w:val="20"/>
          <w:szCs w:val="20"/>
          <w:highlight w:val="yellow"/>
        </w:rPr>
        <w:t>[Žlutě zvýrazněné části textu]</w:t>
      </w:r>
      <w:r w:rsidRPr="002E6F0B">
        <w:rPr>
          <w:rFonts w:ascii="Calibri" w:hAnsi="Calibri" w:cs="Calibri"/>
          <w:sz w:val="20"/>
          <w:szCs w:val="20"/>
        </w:rPr>
        <w:t xml:space="preserve"> </w:t>
      </w:r>
      <w:r w:rsidR="00A41F21">
        <w:rPr>
          <w:rFonts w:ascii="Calibri" w:hAnsi="Calibri" w:cs="Calibri"/>
          <w:sz w:val="20"/>
          <w:szCs w:val="20"/>
        </w:rPr>
        <w:t xml:space="preserve">představují povinné náležitosti shrnutí a </w:t>
      </w:r>
      <w:r w:rsidRPr="002E6F0B">
        <w:rPr>
          <w:rFonts w:ascii="Calibri" w:hAnsi="Calibri" w:cs="Calibri"/>
          <w:sz w:val="20"/>
          <w:szCs w:val="20"/>
        </w:rPr>
        <w:t>slouží k doplnění ze strany poskytovatele. V některých případech uvedených v</w:t>
      </w:r>
      <w:r w:rsidR="002E6F0B">
        <w:rPr>
          <w:rFonts w:ascii="Calibri" w:hAnsi="Calibri" w:cs="Calibri"/>
          <w:sz w:val="20"/>
          <w:szCs w:val="20"/>
        </w:rPr>
        <w:t xml:space="preserve"> poznámkách</w:t>
      </w:r>
      <w:r w:rsidRPr="002E6F0B">
        <w:rPr>
          <w:rFonts w:ascii="Calibri" w:hAnsi="Calibri" w:cs="Calibri"/>
          <w:sz w:val="20"/>
          <w:szCs w:val="20"/>
        </w:rPr>
        <w:t xml:space="preserve"> shrnutí je možné tyto části textu odstranit</w:t>
      </w:r>
      <w:r w:rsidR="00C844FB">
        <w:rPr>
          <w:rFonts w:ascii="Calibri" w:hAnsi="Calibri" w:cs="Calibri"/>
          <w:sz w:val="20"/>
          <w:szCs w:val="20"/>
        </w:rPr>
        <w:t>, jinak jsou povinné</w:t>
      </w:r>
      <w:r w:rsidRPr="002E6F0B">
        <w:rPr>
          <w:rFonts w:ascii="Calibri" w:hAnsi="Calibri" w:cs="Calibri"/>
          <w:sz w:val="20"/>
          <w:szCs w:val="20"/>
        </w:rPr>
        <w:t>.</w:t>
      </w:r>
    </w:p>
    <w:p w14:paraId="2B0656AC" w14:textId="135B03C2" w:rsidR="00F932DD" w:rsidRPr="002E6F0B" w:rsidRDefault="00F932DD" w:rsidP="002E6F0B">
      <w:pPr>
        <w:pStyle w:val="Odstavecseseznamem"/>
        <w:numPr>
          <w:ilvl w:val="0"/>
          <w:numId w:val="19"/>
        </w:numPr>
        <w:spacing w:after="200" w:line="300" w:lineRule="auto"/>
        <w:ind w:left="567"/>
        <w:rPr>
          <w:rFonts w:ascii="Calibri" w:hAnsi="Calibri" w:cs="Calibri"/>
          <w:color w:val="000000" w:themeColor="text1"/>
          <w:sz w:val="20"/>
          <w:szCs w:val="20"/>
        </w:rPr>
      </w:pPr>
      <w:r w:rsidRPr="002E6F0B">
        <w:rPr>
          <w:rFonts w:ascii="Calibri" w:hAnsi="Calibri" w:cs="Calibri"/>
          <w:sz w:val="20"/>
          <w:szCs w:val="20"/>
          <w:highlight w:val="cyan"/>
        </w:rPr>
        <w:t>[Tyrkysově zvýrazněné části textu]</w:t>
      </w:r>
      <w:r w:rsidRPr="002E6F0B">
        <w:rPr>
          <w:rFonts w:ascii="Calibri" w:hAnsi="Calibri" w:cs="Calibri"/>
          <w:sz w:val="20"/>
          <w:szCs w:val="20"/>
        </w:rPr>
        <w:t xml:space="preserve"> jsou dobrovolné. Poskytovatel je může doplnit nebo odstranit.</w:t>
      </w:r>
    </w:p>
    <w:p w14:paraId="5C2E20DC" w14:textId="38333A4C" w:rsidR="00F932DD" w:rsidRPr="00F932DD" w:rsidRDefault="00F932DD" w:rsidP="002E6F0B">
      <w:pPr>
        <w:pStyle w:val="Odstavecseseznamem"/>
        <w:numPr>
          <w:ilvl w:val="0"/>
          <w:numId w:val="19"/>
        </w:numPr>
        <w:spacing w:after="200" w:line="300" w:lineRule="auto"/>
        <w:ind w:left="567"/>
      </w:pPr>
      <w:r w:rsidRPr="002E6F0B">
        <w:rPr>
          <w:rFonts w:ascii="Calibri" w:hAnsi="Calibri" w:cs="Calibri"/>
          <w:sz w:val="20"/>
          <w:szCs w:val="20"/>
          <w:highlight w:val="green"/>
        </w:rPr>
        <w:t>Zeleně zvýrazněné části textu</w:t>
      </w:r>
      <w:r w:rsidRPr="002E6F0B">
        <w:rPr>
          <w:rFonts w:ascii="Calibri" w:hAnsi="Calibri" w:cs="Calibri"/>
          <w:sz w:val="20"/>
          <w:szCs w:val="20"/>
        </w:rPr>
        <w:t xml:space="preserve"> představují alternativy. Poskytovatel vybere alternativu</w:t>
      </w:r>
      <w:r w:rsidR="002E6F0B">
        <w:rPr>
          <w:rFonts w:ascii="Calibri" w:hAnsi="Calibri" w:cs="Calibri"/>
          <w:sz w:val="20"/>
          <w:szCs w:val="20"/>
        </w:rPr>
        <w:t xml:space="preserve"> (nebo alternativy)</w:t>
      </w:r>
      <w:r w:rsidRPr="002E6F0B">
        <w:rPr>
          <w:rFonts w:ascii="Calibri" w:hAnsi="Calibri" w:cs="Calibri"/>
          <w:sz w:val="20"/>
          <w:szCs w:val="20"/>
        </w:rPr>
        <w:t xml:space="preserve"> vhodn</w:t>
      </w:r>
      <w:r w:rsidR="002E6F0B">
        <w:rPr>
          <w:rFonts w:ascii="Calibri" w:hAnsi="Calibri" w:cs="Calibri"/>
          <w:sz w:val="20"/>
          <w:szCs w:val="20"/>
        </w:rPr>
        <w:t>é</w:t>
      </w:r>
      <w:r w:rsidRPr="002E6F0B">
        <w:rPr>
          <w:rFonts w:ascii="Calibri" w:hAnsi="Calibri" w:cs="Calibri"/>
          <w:sz w:val="20"/>
          <w:szCs w:val="20"/>
        </w:rPr>
        <w:t xml:space="preserve"> pro konkrétní případ </w:t>
      </w:r>
      <w:r w:rsidR="002E6F0B">
        <w:rPr>
          <w:rFonts w:ascii="Calibri" w:hAnsi="Calibri" w:cs="Calibri"/>
          <w:sz w:val="20"/>
          <w:szCs w:val="20"/>
        </w:rPr>
        <w:t xml:space="preserve">shrnutí smlouvy </w:t>
      </w:r>
      <w:r w:rsidRPr="002E6F0B">
        <w:rPr>
          <w:rFonts w:ascii="Calibri" w:hAnsi="Calibri" w:cs="Calibri"/>
          <w:sz w:val="20"/>
          <w:szCs w:val="20"/>
        </w:rPr>
        <w:t xml:space="preserve">a ostatní </w:t>
      </w:r>
      <w:r w:rsidR="002E6F0B">
        <w:rPr>
          <w:rFonts w:ascii="Calibri" w:hAnsi="Calibri" w:cs="Calibri"/>
          <w:sz w:val="20"/>
          <w:szCs w:val="20"/>
        </w:rPr>
        <w:t xml:space="preserve">alternativy </w:t>
      </w:r>
      <w:r w:rsidRPr="002E6F0B">
        <w:rPr>
          <w:rFonts w:ascii="Calibri" w:hAnsi="Calibri" w:cs="Calibri"/>
          <w:sz w:val="20"/>
          <w:szCs w:val="20"/>
        </w:rPr>
        <w:t>ze shrnutí smlouvy odstraní.</w:t>
      </w:r>
    </w:p>
    <w:p w14:paraId="57EA0695" w14:textId="790F2674" w:rsidR="00F932DD" w:rsidRPr="00F932DD" w:rsidRDefault="00F932DD" w:rsidP="002E6F0B">
      <w:pPr>
        <w:pStyle w:val="Odstavecseseznamem"/>
        <w:numPr>
          <w:ilvl w:val="0"/>
          <w:numId w:val="19"/>
        </w:numPr>
        <w:spacing w:after="200" w:line="300" w:lineRule="auto"/>
        <w:ind w:left="567"/>
      </w:pPr>
      <w:r w:rsidRPr="002E6F0B">
        <w:rPr>
          <w:rFonts w:ascii="Calibri" w:hAnsi="Calibri" w:cs="Calibri"/>
          <w:i/>
          <w:iCs/>
          <w:color w:val="FF0000"/>
          <w:sz w:val="20"/>
          <w:szCs w:val="20"/>
        </w:rPr>
        <w:t xml:space="preserve">Červený text </w:t>
      </w:r>
      <w:r w:rsidRPr="002E6F0B">
        <w:rPr>
          <w:rFonts w:ascii="Calibri" w:hAnsi="Calibri" w:cs="Calibri"/>
          <w:color w:val="000000" w:themeColor="text1"/>
          <w:sz w:val="20"/>
          <w:szCs w:val="20"/>
        </w:rPr>
        <w:t xml:space="preserve">představuje poznámky ČTÚ. Poznámky obsahují doporučení pro </w:t>
      </w:r>
      <w:r w:rsidR="002E6F0B">
        <w:rPr>
          <w:rFonts w:ascii="Calibri" w:hAnsi="Calibri" w:cs="Calibri"/>
          <w:color w:val="000000" w:themeColor="text1"/>
          <w:sz w:val="20"/>
          <w:szCs w:val="20"/>
        </w:rPr>
        <w:t>P</w:t>
      </w:r>
      <w:r w:rsidRPr="002E6F0B">
        <w:rPr>
          <w:rFonts w:ascii="Calibri" w:hAnsi="Calibri" w:cs="Calibri"/>
          <w:color w:val="000000" w:themeColor="text1"/>
          <w:sz w:val="20"/>
          <w:szCs w:val="20"/>
        </w:rPr>
        <w:t>oskytovatele, ve shrnutí poskytnutém zákazníkovi</w:t>
      </w:r>
      <w:r w:rsidR="001357C4" w:rsidRPr="002E6F0B">
        <w:rPr>
          <w:rFonts w:ascii="Calibri" w:hAnsi="Calibri" w:cs="Calibri"/>
          <w:color w:val="000000" w:themeColor="text1"/>
          <w:sz w:val="20"/>
          <w:szCs w:val="20"/>
        </w:rPr>
        <w:t xml:space="preserve"> poznámky </w:t>
      </w:r>
      <w:r w:rsidR="002E6F0B">
        <w:rPr>
          <w:rFonts w:ascii="Calibri" w:hAnsi="Calibri" w:cs="Calibri"/>
          <w:color w:val="000000" w:themeColor="text1"/>
          <w:sz w:val="20"/>
          <w:szCs w:val="20"/>
        </w:rPr>
        <w:t>nebudou</w:t>
      </w:r>
      <w:r w:rsidR="001357C4" w:rsidRPr="002E6F0B">
        <w:rPr>
          <w:rFonts w:ascii="Calibri" w:hAnsi="Calibri" w:cs="Calibri"/>
          <w:color w:val="000000" w:themeColor="text1"/>
          <w:sz w:val="20"/>
          <w:szCs w:val="20"/>
        </w:rPr>
        <w:t xml:space="preserve"> uvedeny.</w:t>
      </w:r>
    </w:p>
    <w:p w14:paraId="3931AE05" w14:textId="77777777" w:rsidR="00CE5141" w:rsidRPr="00250BBB" w:rsidRDefault="00CE5141" w:rsidP="00250BBB">
      <w:pPr>
        <w:spacing w:line="300" w:lineRule="auto"/>
        <w:jc w:val="both"/>
        <w:rPr>
          <w:rFonts w:ascii="Calibri" w:hAnsi="Calibri" w:cs="Calibri"/>
          <w:b/>
          <w:bCs/>
          <w:caps/>
          <w:sz w:val="20"/>
          <w:szCs w:val="20"/>
        </w:rPr>
      </w:pPr>
      <w:r w:rsidRPr="00250BBB">
        <w:rPr>
          <w:rFonts w:ascii="Calibri" w:hAnsi="Calibri" w:cs="Calibri"/>
          <w:b/>
          <w:bCs/>
          <w:caps/>
          <w:sz w:val="20"/>
          <w:szCs w:val="20"/>
        </w:rPr>
        <w:t>Právní základ</w:t>
      </w:r>
    </w:p>
    <w:p w14:paraId="5B9A6DD2" w14:textId="30B3E5BA" w:rsidR="00CE5141" w:rsidRPr="002E6F0B" w:rsidRDefault="002E6F0B" w:rsidP="002E6F0B">
      <w:pPr>
        <w:pStyle w:val="Odstavecseseznamem"/>
        <w:numPr>
          <w:ilvl w:val="0"/>
          <w:numId w:val="19"/>
        </w:numPr>
        <w:spacing w:after="200" w:line="300" w:lineRule="auto"/>
        <w:ind w:left="567"/>
        <w:jc w:val="both"/>
        <w:rPr>
          <w:rFonts w:ascii="Calibri" w:hAnsi="Calibri" w:cs="Calibri"/>
          <w:color w:val="000000" w:themeColor="text1"/>
          <w:sz w:val="20"/>
          <w:szCs w:val="20"/>
        </w:rPr>
      </w:pPr>
      <w:r w:rsidRPr="002E6F0B">
        <w:rPr>
          <w:rFonts w:ascii="Calibri" w:hAnsi="Calibri" w:cs="Calibri"/>
          <w:color w:val="000000" w:themeColor="text1"/>
          <w:sz w:val="20"/>
          <w:szCs w:val="20"/>
        </w:rPr>
        <w:t>S</w:t>
      </w:r>
      <w:r w:rsidR="00CE5141" w:rsidRPr="002E6F0B">
        <w:rPr>
          <w:rFonts w:ascii="Calibri" w:hAnsi="Calibri" w:cs="Calibri"/>
          <w:color w:val="000000" w:themeColor="text1"/>
          <w:sz w:val="20"/>
          <w:szCs w:val="20"/>
        </w:rPr>
        <w:t>měrnice Evropského parlamentu a Rady 2011/83/EU o právech spotřebitelů</w:t>
      </w:r>
    </w:p>
    <w:p w14:paraId="4E740880" w14:textId="7B2E0CF4" w:rsidR="00CE5141" w:rsidRPr="002E6F0B" w:rsidRDefault="002E6F0B" w:rsidP="002E6F0B">
      <w:pPr>
        <w:pStyle w:val="Odstavecseseznamem"/>
        <w:numPr>
          <w:ilvl w:val="0"/>
          <w:numId w:val="19"/>
        </w:numPr>
        <w:spacing w:after="200" w:line="300" w:lineRule="auto"/>
        <w:ind w:left="567"/>
        <w:jc w:val="both"/>
        <w:rPr>
          <w:rFonts w:ascii="Calibri" w:hAnsi="Calibri" w:cs="Calibri"/>
          <w:color w:val="000000" w:themeColor="text1"/>
          <w:sz w:val="20"/>
          <w:szCs w:val="20"/>
        </w:rPr>
      </w:pPr>
      <w:r w:rsidRPr="002E6F0B">
        <w:rPr>
          <w:rFonts w:ascii="Calibri" w:hAnsi="Calibri" w:cs="Calibri"/>
          <w:color w:val="000000" w:themeColor="text1"/>
          <w:sz w:val="20"/>
          <w:szCs w:val="20"/>
        </w:rPr>
        <w:t>S</w:t>
      </w:r>
      <w:r w:rsidR="00CE5141" w:rsidRPr="002E6F0B">
        <w:rPr>
          <w:rFonts w:ascii="Calibri" w:hAnsi="Calibri" w:cs="Calibri"/>
          <w:color w:val="000000" w:themeColor="text1"/>
          <w:sz w:val="20"/>
          <w:szCs w:val="20"/>
        </w:rPr>
        <w:t>měrnice Evropského parlamentu a Rady (EU) 2018/1972, kterou se stanoví evropský kodex pro elektronické komunikace</w:t>
      </w:r>
    </w:p>
    <w:p w14:paraId="037B544A" w14:textId="20EAC778" w:rsidR="00CE5141" w:rsidRDefault="002E6F0B" w:rsidP="002E6F0B">
      <w:pPr>
        <w:pStyle w:val="Odstavecseseznamem"/>
        <w:numPr>
          <w:ilvl w:val="0"/>
          <w:numId w:val="19"/>
        </w:numPr>
        <w:spacing w:after="200" w:line="300" w:lineRule="auto"/>
        <w:ind w:left="567"/>
        <w:jc w:val="both"/>
        <w:rPr>
          <w:rFonts w:ascii="Calibri" w:hAnsi="Calibri" w:cs="Calibri"/>
          <w:sz w:val="20"/>
          <w:szCs w:val="20"/>
        </w:rPr>
      </w:pPr>
      <w:r w:rsidRPr="002E6F0B">
        <w:rPr>
          <w:rFonts w:ascii="Calibri" w:hAnsi="Calibri" w:cs="Calibri"/>
          <w:color w:val="000000" w:themeColor="text1"/>
          <w:sz w:val="20"/>
          <w:szCs w:val="20"/>
        </w:rPr>
        <w:t>P</w:t>
      </w:r>
      <w:r w:rsidR="00CE5141" w:rsidRPr="002E6F0B">
        <w:rPr>
          <w:rFonts w:ascii="Calibri" w:hAnsi="Calibri" w:cs="Calibri"/>
          <w:color w:val="000000" w:themeColor="text1"/>
          <w:sz w:val="20"/>
          <w:szCs w:val="20"/>
        </w:rPr>
        <w:t>rováděcí</w:t>
      </w:r>
      <w:r w:rsidR="00CE5141" w:rsidRPr="002E6992">
        <w:rPr>
          <w:rFonts w:ascii="Calibri" w:hAnsi="Calibri" w:cs="Calibri"/>
          <w:sz w:val="20"/>
          <w:szCs w:val="20"/>
        </w:rPr>
        <w:t xml:space="preserve"> nařízení Komise (EU) 2019/2243, kterým se stanoví šablona shrnutí smlouvy, kterou mají použít poskytovatelé veřejně dostupných služeb elektronických komunikací podle Směrnice</w:t>
      </w:r>
    </w:p>
    <w:p w14:paraId="69F305E8" w14:textId="1A220A04" w:rsidR="002819CC" w:rsidRPr="002E6992" w:rsidRDefault="002819CC" w:rsidP="002E6F0B">
      <w:pPr>
        <w:pStyle w:val="Odstavecseseznamem"/>
        <w:numPr>
          <w:ilvl w:val="0"/>
          <w:numId w:val="19"/>
        </w:numPr>
        <w:spacing w:after="200" w:line="300" w:lineRule="auto"/>
        <w:ind w:left="567"/>
        <w:jc w:val="both"/>
        <w:rPr>
          <w:rFonts w:ascii="Calibri" w:hAnsi="Calibri" w:cs="Calibri"/>
          <w:sz w:val="20"/>
          <w:szCs w:val="20"/>
        </w:rPr>
      </w:pPr>
      <w:r w:rsidRPr="002819CC">
        <w:rPr>
          <w:rFonts w:ascii="Calibri" w:hAnsi="Calibri" w:cs="Calibri"/>
          <w:sz w:val="20"/>
          <w:szCs w:val="20"/>
        </w:rPr>
        <w:t>Zákon č. 127/2005 Sb.</w:t>
      </w:r>
      <w:r>
        <w:rPr>
          <w:rFonts w:ascii="Calibri" w:hAnsi="Calibri" w:cs="Calibri"/>
          <w:sz w:val="20"/>
          <w:szCs w:val="20"/>
        </w:rPr>
        <w:t>,</w:t>
      </w:r>
      <w:r w:rsidRPr="002819CC">
        <w:rPr>
          <w:rFonts w:ascii="Calibri" w:hAnsi="Calibri" w:cs="Calibri"/>
          <w:sz w:val="20"/>
          <w:szCs w:val="20"/>
        </w:rPr>
        <w:t xml:space="preserve"> o elektronických komunikacích a o změně některých souvisejících zákonů (zákon o elektronických komunikacích)</w:t>
      </w:r>
      <w:r>
        <w:rPr>
          <w:rFonts w:ascii="Calibri" w:hAnsi="Calibri" w:cs="Calibri"/>
          <w:sz w:val="20"/>
          <w:szCs w:val="20"/>
        </w:rPr>
        <w:t>, ve znění pozdějších předpisů</w:t>
      </w:r>
    </w:p>
    <w:p w14:paraId="2D5D51E2" w14:textId="525B3958" w:rsidR="00CE5141" w:rsidRPr="00250BBB" w:rsidRDefault="00CE5141" w:rsidP="00250BBB">
      <w:pPr>
        <w:spacing w:line="300" w:lineRule="auto"/>
        <w:jc w:val="both"/>
        <w:rPr>
          <w:rFonts w:ascii="Calibri" w:hAnsi="Calibri" w:cs="Calibri"/>
          <w:b/>
          <w:bCs/>
          <w:caps/>
          <w:sz w:val="20"/>
          <w:szCs w:val="20"/>
        </w:rPr>
      </w:pPr>
      <w:r w:rsidRPr="00250BBB">
        <w:rPr>
          <w:rFonts w:ascii="Calibri" w:hAnsi="Calibri" w:cs="Calibri"/>
          <w:b/>
          <w:bCs/>
          <w:caps/>
          <w:sz w:val="20"/>
          <w:szCs w:val="20"/>
        </w:rPr>
        <w:t xml:space="preserve">Formální požadavky shrnutí </w:t>
      </w:r>
    </w:p>
    <w:p w14:paraId="58826FF8" w14:textId="77777777" w:rsidR="00CE5141" w:rsidRPr="002E6992" w:rsidRDefault="00CE5141" w:rsidP="00CE5141">
      <w:pPr>
        <w:spacing w:after="200" w:line="300" w:lineRule="auto"/>
        <w:rPr>
          <w:rFonts w:ascii="Calibri" w:hAnsi="Calibri" w:cs="Calibri"/>
          <w:sz w:val="20"/>
          <w:szCs w:val="20"/>
        </w:rPr>
      </w:pPr>
      <w:r w:rsidRPr="002E6992">
        <w:rPr>
          <w:rFonts w:ascii="Calibri" w:hAnsi="Calibri" w:cs="Calibri"/>
          <w:sz w:val="20"/>
          <w:szCs w:val="20"/>
        </w:rPr>
        <w:t>Shrnutí musí být napsáno jazykem, který je pro spotřebitele snadno čitelný a srozumitelný. Shrnutí smlouvy se zaměřuje na klíčové informace, které spotřebitel potřebuje k porovnání nabídek a učinění informovaného rozhodnutí.</w:t>
      </w:r>
    </w:p>
    <w:p w14:paraId="7FACA031" w14:textId="77777777" w:rsidR="0062504C" w:rsidRDefault="00CE5141" w:rsidP="0062504C">
      <w:pPr>
        <w:spacing w:after="200" w:line="300" w:lineRule="auto"/>
        <w:rPr>
          <w:rFonts w:ascii="Calibri" w:hAnsi="Calibri" w:cs="Calibri"/>
          <w:sz w:val="20"/>
          <w:szCs w:val="20"/>
        </w:rPr>
      </w:pPr>
      <w:r w:rsidRPr="002E6992">
        <w:rPr>
          <w:rFonts w:ascii="Calibri" w:hAnsi="Calibri" w:cs="Calibri"/>
          <w:sz w:val="20"/>
          <w:szCs w:val="20"/>
        </w:rPr>
        <w:t xml:space="preserve">Délka </w:t>
      </w:r>
      <w:r w:rsidR="002E6F0B">
        <w:rPr>
          <w:rFonts w:ascii="Calibri" w:hAnsi="Calibri" w:cs="Calibri"/>
          <w:sz w:val="20"/>
          <w:szCs w:val="20"/>
        </w:rPr>
        <w:t>s</w:t>
      </w:r>
      <w:r w:rsidRPr="002E6992">
        <w:rPr>
          <w:rFonts w:ascii="Calibri" w:hAnsi="Calibri" w:cs="Calibri"/>
          <w:sz w:val="20"/>
          <w:szCs w:val="20"/>
        </w:rPr>
        <w:t>hrnutí nesmí bez řádného odůvodnění přesáhnout</w:t>
      </w:r>
      <w:r w:rsidR="0062504C">
        <w:rPr>
          <w:rFonts w:ascii="Calibri" w:hAnsi="Calibri" w:cs="Calibri"/>
          <w:sz w:val="20"/>
          <w:szCs w:val="20"/>
        </w:rPr>
        <w:t xml:space="preserve"> </w:t>
      </w:r>
      <w:r w:rsidRPr="0062504C">
        <w:rPr>
          <w:rFonts w:ascii="Calibri" w:hAnsi="Calibri" w:cs="Calibri"/>
          <w:sz w:val="20"/>
          <w:szCs w:val="20"/>
        </w:rPr>
        <w:t>1 stranu A4</w:t>
      </w:r>
      <w:r w:rsidR="0062504C">
        <w:rPr>
          <w:rFonts w:ascii="Calibri" w:hAnsi="Calibri" w:cs="Calibri"/>
          <w:sz w:val="20"/>
          <w:szCs w:val="20"/>
        </w:rPr>
        <w:t xml:space="preserve">, případně </w:t>
      </w:r>
      <w:r w:rsidRPr="0062504C">
        <w:rPr>
          <w:rFonts w:ascii="Calibri" w:hAnsi="Calibri" w:cs="Calibri"/>
          <w:sz w:val="20"/>
          <w:szCs w:val="20"/>
        </w:rPr>
        <w:t>3 strany A4, pokud se jedná o služby nebo služby a koncová zařízení</w:t>
      </w:r>
      <w:r w:rsidR="0062504C" w:rsidRPr="0062504C">
        <w:rPr>
          <w:rFonts w:ascii="Calibri" w:hAnsi="Calibri" w:cs="Calibri"/>
          <w:sz w:val="20"/>
          <w:szCs w:val="20"/>
        </w:rPr>
        <w:t xml:space="preserve"> sdružené jako balíček do jediné smlouvy </w:t>
      </w:r>
      <w:r w:rsidRPr="0062504C">
        <w:rPr>
          <w:rFonts w:ascii="Calibri" w:hAnsi="Calibri" w:cs="Calibri"/>
          <w:sz w:val="20"/>
          <w:szCs w:val="20"/>
        </w:rPr>
        <w:t>zahrnují</w:t>
      </w:r>
      <w:r w:rsidR="0062504C" w:rsidRPr="0062504C">
        <w:rPr>
          <w:rFonts w:ascii="Calibri" w:hAnsi="Calibri" w:cs="Calibri"/>
          <w:sz w:val="20"/>
          <w:szCs w:val="20"/>
        </w:rPr>
        <w:t>cí</w:t>
      </w:r>
      <w:r w:rsidRPr="0062504C">
        <w:rPr>
          <w:rFonts w:ascii="Calibri" w:hAnsi="Calibri" w:cs="Calibri"/>
          <w:sz w:val="20"/>
          <w:szCs w:val="20"/>
        </w:rPr>
        <w:t xml:space="preserve"> alespoň službu přístupu k internetu nebo veřejně dostupnou interpersonální komunikační službu založenou na číslech</w:t>
      </w:r>
      <w:r w:rsidR="0062504C">
        <w:rPr>
          <w:rFonts w:ascii="Calibri" w:hAnsi="Calibri" w:cs="Calibri"/>
          <w:sz w:val="20"/>
          <w:szCs w:val="20"/>
        </w:rPr>
        <w:t>.</w:t>
      </w:r>
    </w:p>
    <w:p w14:paraId="0AE0DCC9" w14:textId="2E7F17EB" w:rsidR="00CE5141" w:rsidRPr="0062504C" w:rsidRDefault="00CE5141" w:rsidP="0062504C">
      <w:pPr>
        <w:spacing w:after="200" w:line="300" w:lineRule="auto"/>
        <w:rPr>
          <w:rFonts w:ascii="Calibri" w:hAnsi="Calibri" w:cs="Calibri"/>
          <w:sz w:val="20"/>
          <w:szCs w:val="20"/>
        </w:rPr>
      </w:pPr>
      <w:r w:rsidRPr="002E6992">
        <w:rPr>
          <w:rFonts w:ascii="Calibri" w:hAnsi="Calibri" w:cs="Calibri"/>
          <w:sz w:val="20"/>
          <w:szCs w:val="20"/>
        </w:rPr>
        <w:t>Použité písmo musí</w:t>
      </w:r>
      <w:r w:rsidR="0062504C">
        <w:rPr>
          <w:rFonts w:ascii="Calibri" w:hAnsi="Calibri" w:cs="Calibri"/>
          <w:sz w:val="20"/>
          <w:szCs w:val="20"/>
        </w:rPr>
        <w:t xml:space="preserve"> b</w:t>
      </w:r>
      <w:r w:rsidRPr="0062504C">
        <w:rPr>
          <w:rFonts w:ascii="Calibri" w:hAnsi="Calibri" w:cs="Calibri"/>
          <w:sz w:val="20"/>
          <w:szCs w:val="20"/>
        </w:rPr>
        <w:t>ýt snadno čitelné</w:t>
      </w:r>
      <w:r w:rsidR="0062504C">
        <w:rPr>
          <w:rFonts w:ascii="Calibri" w:hAnsi="Calibri" w:cs="Calibri"/>
          <w:sz w:val="20"/>
          <w:szCs w:val="20"/>
        </w:rPr>
        <w:t xml:space="preserve"> </w:t>
      </w:r>
      <w:r w:rsidR="009E4903">
        <w:rPr>
          <w:rFonts w:ascii="Calibri" w:hAnsi="Calibri" w:cs="Calibri"/>
          <w:sz w:val="20"/>
          <w:szCs w:val="20"/>
        </w:rPr>
        <w:t>(v</w:t>
      </w:r>
      <w:r w:rsidR="009E4903" w:rsidRPr="009E4903">
        <w:rPr>
          <w:rFonts w:ascii="Calibri" w:hAnsi="Calibri" w:cs="Calibri"/>
          <w:sz w:val="20"/>
          <w:szCs w:val="20"/>
        </w:rPr>
        <w:t xml:space="preserve"> zájmu čitelnosti lze používat běžně používaná bezpatková písma</w:t>
      </w:r>
      <w:r w:rsidR="009E4903">
        <w:rPr>
          <w:rFonts w:ascii="Calibri" w:hAnsi="Calibri" w:cs="Calibri"/>
          <w:sz w:val="20"/>
          <w:szCs w:val="20"/>
        </w:rPr>
        <w:t xml:space="preserve">) </w:t>
      </w:r>
      <w:r w:rsidR="0062504C">
        <w:rPr>
          <w:rFonts w:ascii="Calibri" w:hAnsi="Calibri" w:cs="Calibri"/>
          <w:sz w:val="20"/>
          <w:szCs w:val="20"/>
        </w:rPr>
        <w:t>a m</w:t>
      </w:r>
      <w:r w:rsidRPr="0062504C">
        <w:rPr>
          <w:rFonts w:ascii="Calibri" w:hAnsi="Calibri" w:cs="Calibri"/>
          <w:sz w:val="20"/>
          <w:szCs w:val="20"/>
        </w:rPr>
        <w:t xml:space="preserve">ít velikost alespoň 10 bodů. V řádně odůvodněných případech může být velikost </w:t>
      </w:r>
      <w:proofErr w:type="gramStart"/>
      <w:r w:rsidRPr="0062504C">
        <w:rPr>
          <w:rFonts w:ascii="Calibri" w:hAnsi="Calibri" w:cs="Calibri"/>
          <w:sz w:val="20"/>
          <w:szCs w:val="20"/>
        </w:rPr>
        <w:t>menší,  v</w:t>
      </w:r>
      <w:proofErr w:type="gramEnd"/>
      <w:r w:rsidRPr="0062504C">
        <w:rPr>
          <w:rFonts w:ascii="Calibri" w:hAnsi="Calibri" w:cs="Calibri"/>
          <w:sz w:val="20"/>
          <w:szCs w:val="20"/>
        </w:rPr>
        <w:t xml:space="preserve"> takovém případě ale musí být poskytnuta možnost shrnutí smlouvy zvětšit elektronickými prostředky nebo na vyžádání obdržet jeho verzi s velikostí písma alespoň 10 bodů.</w:t>
      </w:r>
    </w:p>
    <w:p w14:paraId="6F82C1F0" w14:textId="77777777" w:rsidR="00CE5141" w:rsidRPr="002E6992" w:rsidRDefault="00CE5141" w:rsidP="0062504C">
      <w:pPr>
        <w:spacing w:line="300" w:lineRule="auto"/>
        <w:rPr>
          <w:rFonts w:ascii="Calibri" w:hAnsi="Calibri" w:cs="Calibri"/>
          <w:sz w:val="20"/>
          <w:szCs w:val="20"/>
        </w:rPr>
      </w:pPr>
      <w:r w:rsidRPr="002E6992">
        <w:rPr>
          <w:rFonts w:ascii="Calibri" w:hAnsi="Calibri" w:cs="Calibri"/>
          <w:sz w:val="20"/>
          <w:szCs w:val="20"/>
        </w:rPr>
        <w:t>Formátování musí splňovat následující požadavky:</w:t>
      </w:r>
    </w:p>
    <w:p w14:paraId="065719DD" w14:textId="77777777" w:rsidR="00CE5141" w:rsidRPr="002E6992" w:rsidRDefault="00CE5141" w:rsidP="00CE5141">
      <w:pPr>
        <w:pStyle w:val="Odstavecseseznamem"/>
        <w:numPr>
          <w:ilvl w:val="0"/>
          <w:numId w:val="14"/>
        </w:numPr>
        <w:spacing w:after="200" w:line="300" w:lineRule="auto"/>
        <w:rPr>
          <w:rFonts w:ascii="Calibri" w:hAnsi="Calibri" w:cs="Calibri"/>
          <w:sz w:val="20"/>
          <w:szCs w:val="20"/>
        </w:rPr>
      </w:pPr>
      <w:r w:rsidRPr="002E6992">
        <w:rPr>
          <w:rFonts w:ascii="Calibri" w:hAnsi="Calibri" w:cs="Calibri"/>
          <w:sz w:val="20"/>
          <w:szCs w:val="20"/>
        </w:rPr>
        <w:t>na výšku</w:t>
      </w:r>
    </w:p>
    <w:p w14:paraId="5687E88F" w14:textId="77777777" w:rsidR="00CE5141" w:rsidRPr="002E6992" w:rsidRDefault="00CE5141" w:rsidP="00CE5141">
      <w:pPr>
        <w:pStyle w:val="Odstavecseseznamem"/>
        <w:numPr>
          <w:ilvl w:val="0"/>
          <w:numId w:val="14"/>
        </w:numPr>
        <w:spacing w:after="200" w:line="300" w:lineRule="auto"/>
        <w:rPr>
          <w:rFonts w:ascii="Calibri" w:hAnsi="Calibri" w:cs="Calibri"/>
          <w:sz w:val="20"/>
          <w:szCs w:val="20"/>
        </w:rPr>
      </w:pPr>
      <w:r w:rsidRPr="002E6992">
        <w:rPr>
          <w:rFonts w:ascii="Calibri" w:hAnsi="Calibri" w:cs="Calibri"/>
          <w:sz w:val="20"/>
          <w:szCs w:val="20"/>
        </w:rPr>
        <w:lastRenderedPageBreak/>
        <w:t>mezi písmem a pozadím musí být dostatečný kontrast, zejména jsou-li použity barvy</w:t>
      </w:r>
    </w:p>
    <w:p w14:paraId="36F19569" w14:textId="77777777" w:rsidR="00CE5141" w:rsidRPr="002E6992" w:rsidRDefault="00CE5141" w:rsidP="00CE5141">
      <w:pPr>
        <w:pStyle w:val="Odstavecseseznamem"/>
        <w:numPr>
          <w:ilvl w:val="0"/>
          <w:numId w:val="14"/>
        </w:numPr>
        <w:spacing w:after="200" w:line="300" w:lineRule="auto"/>
        <w:rPr>
          <w:rFonts w:ascii="Calibri" w:hAnsi="Calibri" w:cs="Calibri"/>
          <w:sz w:val="20"/>
          <w:szCs w:val="20"/>
        </w:rPr>
      </w:pPr>
      <w:r w:rsidRPr="002E6992">
        <w:rPr>
          <w:rFonts w:ascii="Calibri" w:hAnsi="Calibri" w:cs="Calibri"/>
          <w:sz w:val="20"/>
          <w:szCs w:val="20"/>
        </w:rPr>
        <w:t>vizuální prvky nesmí překrývat text</w:t>
      </w:r>
    </w:p>
    <w:p w14:paraId="6CFDA05A" w14:textId="77777777" w:rsidR="00CE5141" w:rsidRPr="002E6992" w:rsidRDefault="00CE5141" w:rsidP="00CE5141">
      <w:pPr>
        <w:pStyle w:val="Odstavecseseznamem"/>
        <w:numPr>
          <w:ilvl w:val="0"/>
          <w:numId w:val="14"/>
        </w:numPr>
        <w:spacing w:after="200" w:line="300" w:lineRule="auto"/>
        <w:rPr>
          <w:rFonts w:ascii="Calibri" w:hAnsi="Calibri" w:cs="Calibri"/>
          <w:sz w:val="20"/>
          <w:szCs w:val="20"/>
        </w:rPr>
      </w:pPr>
      <w:r w:rsidRPr="002E6992">
        <w:rPr>
          <w:rFonts w:ascii="Calibri" w:hAnsi="Calibri" w:cs="Calibri"/>
          <w:sz w:val="20"/>
          <w:szCs w:val="20"/>
        </w:rPr>
        <w:t>nadpisy musí být zřetelně odlišitelné od textu</w:t>
      </w:r>
    </w:p>
    <w:p w14:paraId="24B273C8" w14:textId="77777777" w:rsidR="00250BBB" w:rsidRDefault="00250BBB">
      <w:pPr>
        <w:sectPr w:rsidR="00250BBB" w:rsidSect="000C0775">
          <w:headerReference w:type="default" r:id="rId8"/>
          <w:footerReference w:type="even" r:id="rId9"/>
          <w:footerReference w:type="default" r:id="rId10"/>
          <w:pgSz w:w="11910" w:h="16840"/>
          <w:pgMar w:top="1417" w:right="1417" w:bottom="1417" w:left="1417" w:header="708" w:footer="708" w:gutter="0"/>
          <w:cols w:space="708"/>
          <w:noEndnote/>
          <w:docGrid w:linePitch="326"/>
        </w:sectPr>
      </w:pP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3260"/>
        <w:gridCol w:w="5810"/>
      </w:tblGrid>
      <w:tr w:rsidR="00242176" w:rsidRPr="002E6992" w14:paraId="5E837D4A" w14:textId="77777777" w:rsidTr="00F00743">
        <w:trPr>
          <w:trHeight w:val="73"/>
        </w:trPr>
        <w:tc>
          <w:tcPr>
            <w:tcW w:w="3261" w:type="dxa"/>
            <w:vAlign w:val="center"/>
          </w:tcPr>
          <w:p w14:paraId="72787F98" w14:textId="223A0EB7" w:rsidR="00242176" w:rsidRPr="002E6992" w:rsidRDefault="00242176" w:rsidP="00510F7F">
            <w:pPr>
              <w:spacing w:before="60" w:after="60" w:line="300" w:lineRule="auto"/>
              <w:rPr>
                <w:rFonts w:ascii="Calibri" w:hAnsi="Calibri" w:cs="Calibri"/>
                <w:sz w:val="20"/>
                <w:szCs w:val="20"/>
              </w:rPr>
            </w:pPr>
            <w:r w:rsidRPr="002E6992">
              <w:rPr>
                <w:rFonts w:ascii="Calibri" w:hAnsi="Calibri" w:cs="Calibri"/>
                <w:sz w:val="20"/>
                <w:szCs w:val="20"/>
                <w:highlight w:val="yellow"/>
              </w:rPr>
              <w:lastRenderedPageBreak/>
              <w:t>[Název nebo obchodní značka služby]</w:t>
            </w:r>
          </w:p>
        </w:tc>
        <w:tc>
          <w:tcPr>
            <w:tcW w:w="5811" w:type="dxa"/>
            <w:vAlign w:val="center"/>
          </w:tcPr>
          <w:p w14:paraId="13C3EDB9" w14:textId="5EF28650" w:rsidR="00242176" w:rsidRPr="002E6992" w:rsidRDefault="003347BF" w:rsidP="00510F7F">
            <w:pPr>
              <w:spacing w:before="60" w:after="60" w:line="300" w:lineRule="auto"/>
              <w:jc w:val="right"/>
              <w:rPr>
                <w:rFonts w:ascii="Calibri" w:hAnsi="Calibri" w:cs="Calibri"/>
                <w:sz w:val="20"/>
                <w:szCs w:val="20"/>
                <w:highlight w:val="yellow"/>
              </w:rPr>
            </w:pPr>
            <w:r w:rsidRPr="002E6992">
              <w:rPr>
                <w:rFonts w:ascii="Calibri" w:hAnsi="Calibri" w:cs="Calibri"/>
                <w:sz w:val="20"/>
                <w:szCs w:val="20"/>
                <w:highlight w:val="cyan"/>
              </w:rPr>
              <w:t>[L</w:t>
            </w:r>
            <w:r w:rsidR="00510F7F" w:rsidRPr="002E6992">
              <w:rPr>
                <w:rFonts w:ascii="Calibri" w:hAnsi="Calibri" w:cs="Calibri"/>
                <w:sz w:val="20"/>
                <w:szCs w:val="20"/>
                <w:highlight w:val="cyan"/>
              </w:rPr>
              <w:t>ogo poskytovatele</w:t>
            </w:r>
            <w:r w:rsidR="00242176" w:rsidRPr="002E6992">
              <w:rPr>
                <w:rFonts w:ascii="Calibri" w:hAnsi="Calibri" w:cs="Calibri"/>
                <w:sz w:val="20"/>
                <w:szCs w:val="20"/>
                <w:highlight w:val="cyan"/>
              </w:rPr>
              <w:t>]</w:t>
            </w:r>
          </w:p>
        </w:tc>
      </w:tr>
      <w:tr w:rsidR="00510F7F" w:rsidRPr="002E6992" w14:paraId="058F7C13" w14:textId="77777777" w:rsidTr="00F00743">
        <w:trPr>
          <w:trHeight w:val="73"/>
        </w:trPr>
        <w:tc>
          <w:tcPr>
            <w:tcW w:w="3261" w:type="dxa"/>
            <w:vAlign w:val="center"/>
          </w:tcPr>
          <w:p w14:paraId="5F28EC4A" w14:textId="22B6C180" w:rsidR="00510F7F" w:rsidRPr="002E6992" w:rsidRDefault="0007373D" w:rsidP="00510F7F">
            <w:pPr>
              <w:spacing w:before="60" w:after="60" w:line="300" w:lineRule="auto"/>
              <w:rPr>
                <w:rFonts w:ascii="Calibri" w:hAnsi="Calibri" w:cs="Calibri"/>
                <w:sz w:val="20"/>
                <w:szCs w:val="20"/>
                <w:highlight w:val="yellow"/>
              </w:rPr>
            </w:pPr>
            <w:r w:rsidRPr="0007373D">
              <w:rPr>
                <w:rFonts w:ascii="Calibri" w:hAnsi="Calibri" w:cs="Calibri"/>
                <w:sz w:val="20"/>
                <w:szCs w:val="20"/>
              </w:rPr>
              <w:t xml:space="preserve">Datum </w:t>
            </w:r>
            <w:r>
              <w:rPr>
                <w:rFonts w:ascii="Calibri" w:hAnsi="Calibri" w:cs="Calibri"/>
                <w:sz w:val="20"/>
                <w:szCs w:val="20"/>
              </w:rPr>
              <w:t xml:space="preserve">vystavení </w:t>
            </w:r>
            <w:r w:rsidRPr="0007373D">
              <w:rPr>
                <w:rFonts w:ascii="Calibri" w:hAnsi="Calibri" w:cs="Calibri"/>
                <w:sz w:val="20"/>
                <w:szCs w:val="20"/>
              </w:rPr>
              <w:t xml:space="preserve">shrnutí </w:t>
            </w:r>
            <w:r w:rsidR="003347BF" w:rsidRPr="002E6992">
              <w:rPr>
                <w:rFonts w:ascii="Calibri" w:hAnsi="Calibri" w:cs="Calibri"/>
                <w:sz w:val="20"/>
                <w:szCs w:val="20"/>
                <w:highlight w:val="yellow"/>
              </w:rPr>
              <w:t>[Datum]</w:t>
            </w:r>
          </w:p>
        </w:tc>
        <w:tc>
          <w:tcPr>
            <w:tcW w:w="5811" w:type="dxa"/>
            <w:vAlign w:val="center"/>
          </w:tcPr>
          <w:p w14:paraId="3FFDC586" w14:textId="416D52B2" w:rsidR="00510F7F" w:rsidRPr="002E6992" w:rsidRDefault="00510F7F" w:rsidP="00510F7F">
            <w:pPr>
              <w:spacing w:before="60" w:after="60" w:line="300" w:lineRule="auto"/>
              <w:jc w:val="right"/>
              <w:rPr>
                <w:rFonts w:ascii="Calibri" w:hAnsi="Calibri" w:cs="Calibri"/>
                <w:sz w:val="20"/>
                <w:szCs w:val="20"/>
                <w:highlight w:val="yellow"/>
              </w:rPr>
            </w:pPr>
            <w:r w:rsidRPr="002E6992">
              <w:rPr>
                <w:rFonts w:ascii="Calibri" w:hAnsi="Calibri" w:cs="Calibri"/>
                <w:sz w:val="20"/>
                <w:szCs w:val="20"/>
                <w:highlight w:val="yellow"/>
              </w:rPr>
              <w:t>[Název poskytovatele]</w:t>
            </w:r>
          </w:p>
        </w:tc>
      </w:tr>
      <w:tr w:rsidR="00510F7F" w:rsidRPr="002E6992" w14:paraId="36E43486" w14:textId="77777777" w:rsidTr="00F00743">
        <w:trPr>
          <w:trHeight w:val="73"/>
        </w:trPr>
        <w:tc>
          <w:tcPr>
            <w:tcW w:w="3261" w:type="dxa"/>
            <w:vAlign w:val="center"/>
          </w:tcPr>
          <w:p w14:paraId="2B23C8EF" w14:textId="77777777" w:rsidR="00510F7F" w:rsidRPr="002E6992" w:rsidRDefault="00510F7F" w:rsidP="00510F7F">
            <w:pPr>
              <w:spacing w:before="60" w:after="60" w:line="300" w:lineRule="auto"/>
              <w:rPr>
                <w:rFonts w:ascii="Calibri" w:hAnsi="Calibri" w:cs="Calibri"/>
                <w:sz w:val="20"/>
                <w:szCs w:val="20"/>
                <w:highlight w:val="yellow"/>
              </w:rPr>
            </w:pPr>
          </w:p>
        </w:tc>
        <w:tc>
          <w:tcPr>
            <w:tcW w:w="5811" w:type="dxa"/>
            <w:vAlign w:val="center"/>
          </w:tcPr>
          <w:p w14:paraId="16E05331" w14:textId="54BED9ED" w:rsidR="00510F7F" w:rsidRPr="002E6992" w:rsidRDefault="00510F7F" w:rsidP="00510F7F">
            <w:pPr>
              <w:spacing w:before="60" w:after="60" w:line="300" w:lineRule="auto"/>
              <w:jc w:val="right"/>
              <w:rPr>
                <w:rFonts w:ascii="Calibri" w:hAnsi="Calibri" w:cs="Calibri"/>
                <w:sz w:val="20"/>
                <w:szCs w:val="20"/>
                <w:highlight w:val="yellow"/>
              </w:rPr>
            </w:pPr>
            <w:r w:rsidRPr="002E6992">
              <w:rPr>
                <w:rFonts w:ascii="Calibri" w:hAnsi="Calibri" w:cs="Calibri"/>
                <w:sz w:val="20"/>
                <w:szCs w:val="20"/>
                <w:highlight w:val="yellow"/>
              </w:rPr>
              <w:t>[Adresa/sídlo poskytovatele]</w:t>
            </w:r>
          </w:p>
        </w:tc>
      </w:tr>
      <w:tr w:rsidR="00510F7F" w:rsidRPr="002E6992" w14:paraId="610EE5D1" w14:textId="77777777" w:rsidTr="00F00743">
        <w:trPr>
          <w:trHeight w:val="73"/>
        </w:trPr>
        <w:tc>
          <w:tcPr>
            <w:tcW w:w="3261" w:type="dxa"/>
            <w:vAlign w:val="center"/>
          </w:tcPr>
          <w:p w14:paraId="57601525" w14:textId="77777777" w:rsidR="00510F7F" w:rsidRPr="002E6992" w:rsidRDefault="00510F7F" w:rsidP="00510F7F">
            <w:pPr>
              <w:spacing w:before="60" w:after="60" w:line="300" w:lineRule="auto"/>
              <w:rPr>
                <w:rFonts w:ascii="Calibri" w:hAnsi="Calibri" w:cs="Calibri"/>
                <w:sz w:val="20"/>
                <w:szCs w:val="20"/>
                <w:highlight w:val="yellow"/>
              </w:rPr>
            </w:pPr>
          </w:p>
        </w:tc>
        <w:tc>
          <w:tcPr>
            <w:tcW w:w="5811" w:type="dxa"/>
            <w:vAlign w:val="center"/>
          </w:tcPr>
          <w:p w14:paraId="1C18089B" w14:textId="304D6A3E" w:rsidR="00510F7F" w:rsidRPr="002E6992" w:rsidRDefault="00510F7F" w:rsidP="00510F7F">
            <w:pPr>
              <w:spacing w:before="60" w:after="60" w:line="300" w:lineRule="auto"/>
              <w:jc w:val="right"/>
              <w:rPr>
                <w:rFonts w:ascii="Calibri" w:hAnsi="Calibri" w:cs="Calibri"/>
                <w:sz w:val="20"/>
                <w:szCs w:val="20"/>
                <w:highlight w:val="yellow"/>
              </w:rPr>
            </w:pPr>
            <w:r w:rsidRPr="002E6992">
              <w:rPr>
                <w:rFonts w:ascii="Calibri" w:hAnsi="Calibri" w:cs="Calibri"/>
                <w:sz w:val="20"/>
                <w:szCs w:val="20"/>
                <w:highlight w:val="yellow"/>
              </w:rPr>
              <w:t>[Identifikační čísl</w:t>
            </w:r>
            <w:r w:rsidR="0007373D">
              <w:rPr>
                <w:rFonts w:ascii="Calibri" w:hAnsi="Calibri" w:cs="Calibri"/>
                <w:sz w:val="20"/>
                <w:szCs w:val="20"/>
                <w:highlight w:val="yellow"/>
              </w:rPr>
              <w:t>o, údaj o zápisu v OR</w:t>
            </w:r>
            <w:r w:rsidRPr="002E6992">
              <w:rPr>
                <w:rFonts w:ascii="Calibri" w:hAnsi="Calibri" w:cs="Calibri"/>
                <w:sz w:val="20"/>
                <w:szCs w:val="20"/>
                <w:highlight w:val="yellow"/>
              </w:rPr>
              <w:t xml:space="preserve">, popřípadě označení a adresa umístění odštěpného závodu na území České republiky a </w:t>
            </w:r>
            <w:r w:rsidR="0007373D">
              <w:rPr>
                <w:rFonts w:ascii="Calibri" w:hAnsi="Calibri" w:cs="Calibri"/>
                <w:sz w:val="20"/>
                <w:szCs w:val="20"/>
                <w:highlight w:val="yellow"/>
              </w:rPr>
              <w:t xml:space="preserve">jeho </w:t>
            </w:r>
            <w:r w:rsidRPr="002E6992">
              <w:rPr>
                <w:rFonts w:ascii="Calibri" w:hAnsi="Calibri" w:cs="Calibri"/>
                <w:sz w:val="20"/>
                <w:szCs w:val="20"/>
                <w:highlight w:val="yellow"/>
              </w:rPr>
              <w:t>identifikační číslo, byl</w:t>
            </w:r>
            <w:r w:rsidR="0007373D">
              <w:rPr>
                <w:rFonts w:ascii="Calibri" w:hAnsi="Calibri" w:cs="Calibri"/>
                <w:sz w:val="20"/>
                <w:szCs w:val="20"/>
                <w:highlight w:val="yellow"/>
              </w:rPr>
              <w:t>y</w:t>
            </w:r>
            <w:r w:rsidRPr="002E6992">
              <w:rPr>
                <w:rFonts w:ascii="Calibri" w:hAnsi="Calibri" w:cs="Calibri"/>
                <w:sz w:val="20"/>
                <w:szCs w:val="20"/>
                <w:highlight w:val="yellow"/>
              </w:rPr>
              <w:t>-li přidělen</w:t>
            </w:r>
            <w:r w:rsidR="0007373D">
              <w:rPr>
                <w:rFonts w:ascii="Calibri" w:hAnsi="Calibri" w:cs="Calibri"/>
                <w:sz w:val="20"/>
                <w:szCs w:val="20"/>
                <w:highlight w:val="yellow"/>
              </w:rPr>
              <w:t>y</w:t>
            </w:r>
            <w:r w:rsidRPr="002E6992">
              <w:rPr>
                <w:rFonts w:ascii="Calibri" w:hAnsi="Calibri" w:cs="Calibri"/>
                <w:sz w:val="20"/>
                <w:szCs w:val="20"/>
                <w:highlight w:val="yellow"/>
              </w:rPr>
              <w:t>]</w:t>
            </w:r>
          </w:p>
        </w:tc>
      </w:tr>
      <w:tr w:rsidR="00510F7F" w:rsidRPr="002E6992" w14:paraId="7A316A10" w14:textId="77777777" w:rsidTr="00F00743">
        <w:trPr>
          <w:trHeight w:val="73"/>
        </w:trPr>
        <w:tc>
          <w:tcPr>
            <w:tcW w:w="3261" w:type="dxa"/>
            <w:vAlign w:val="center"/>
          </w:tcPr>
          <w:p w14:paraId="34F27BEB" w14:textId="77777777" w:rsidR="00510F7F" w:rsidRPr="002E6992" w:rsidRDefault="00510F7F" w:rsidP="00510F7F">
            <w:pPr>
              <w:spacing w:before="60" w:after="60" w:line="300" w:lineRule="auto"/>
              <w:rPr>
                <w:rFonts w:ascii="Calibri" w:hAnsi="Calibri" w:cs="Calibri"/>
                <w:sz w:val="20"/>
                <w:szCs w:val="20"/>
                <w:highlight w:val="yellow"/>
              </w:rPr>
            </w:pPr>
          </w:p>
        </w:tc>
        <w:tc>
          <w:tcPr>
            <w:tcW w:w="5811" w:type="dxa"/>
            <w:vAlign w:val="center"/>
          </w:tcPr>
          <w:p w14:paraId="5588BFC2" w14:textId="66B4E68C" w:rsidR="00510F7F" w:rsidRPr="002E6992" w:rsidRDefault="00510F7F" w:rsidP="0007373D">
            <w:pPr>
              <w:spacing w:before="200" w:after="60" w:line="300" w:lineRule="auto"/>
              <w:jc w:val="right"/>
              <w:rPr>
                <w:rFonts w:ascii="Calibri" w:hAnsi="Calibri" w:cs="Calibri"/>
                <w:sz w:val="20"/>
                <w:szCs w:val="20"/>
                <w:highlight w:val="yellow"/>
              </w:rPr>
            </w:pPr>
            <w:r w:rsidRPr="001A10BA">
              <w:rPr>
                <w:rFonts w:ascii="Calibri" w:hAnsi="Calibri" w:cs="Calibri"/>
                <w:sz w:val="20"/>
                <w:szCs w:val="20"/>
                <w:highlight w:val="yellow"/>
              </w:rPr>
              <w:t>[e-mailová adresa a telefonní číslo]</w:t>
            </w:r>
          </w:p>
        </w:tc>
      </w:tr>
      <w:tr w:rsidR="00510F7F" w:rsidRPr="002E6992" w14:paraId="4FC89763" w14:textId="77777777" w:rsidTr="00F00743">
        <w:trPr>
          <w:trHeight w:val="73"/>
        </w:trPr>
        <w:tc>
          <w:tcPr>
            <w:tcW w:w="3261" w:type="dxa"/>
            <w:vAlign w:val="center"/>
          </w:tcPr>
          <w:p w14:paraId="7BBB3388" w14:textId="77777777" w:rsidR="00510F7F" w:rsidRPr="002E6992" w:rsidRDefault="00510F7F" w:rsidP="00510F7F">
            <w:pPr>
              <w:spacing w:before="60" w:after="60" w:line="300" w:lineRule="auto"/>
              <w:rPr>
                <w:rFonts w:ascii="Calibri" w:hAnsi="Calibri" w:cs="Calibri"/>
                <w:sz w:val="20"/>
                <w:szCs w:val="20"/>
                <w:highlight w:val="yellow"/>
              </w:rPr>
            </w:pPr>
          </w:p>
        </w:tc>
        <w:tc>
          <w:tcPr>
            <w:tcW w:w="5811" w:type="dxa"/>
            <w:vAlign w:val="center"/>
          </w:tcPr>
          <w:p w14:paraId="57B4D7D3" w14:textId="37558050" w:rsidR="00510F7F" w:rsidRPr="002E6992" w:rsidRDefault="00510F7F" w:rsidP="00510F7F">
            <w:pPr>
              <w:spacing w:before="60" w:after="60" w:line="300" w:lineRule="auto"/>
              <w:jc w:val="right"/>
              <w:rPr>
                <w:rFonts w:ascii="Calibri" w:hAnsi="Calibri" w:cs="Calibri"/>
                <w:sz w:val="20"/>
                <w:szCs w:val="20"/>
                <w:highlight w:val="yellow"/>
              </w:rPr>
            </w:pPr>
            <w:r w:rsidRPr="002E6992">
              <w:rPr>
                <w:rFonts w:ascii="Calibri" w:hAnsi="Calibri" w:cs="Calibri"/>
                <w:sz w:val="20"/>
                <w:szCs w:val="20"/>
                <w:highlight w:val="yellow"/>
              </w:rPr>
              <w:t>[</w:t>
            </w:r>
            <w:r w:rsidR="0075101D" w:rsidRPr="002E6992">
              <w:rPr>
                <w:rFonts w:ascii="Calibri" w:hAnsi="Calibri" w:cs="Calibri"/>
                <w:sz w:val="20"/>
                <w:szCs w:val="20"/>
                <w:highlight w:val="yellow"/>
              </w:rPr>
              <w:t>kontaktní údaje pro případné stížnosti, jsou-li odlišné</w:t>
            </w:r>
            <w:r w:rsidRPr="002E6992">
              <w:rPr>
                <w:rFonts w:ascii="Calibri" w:hAnsi="Calibri" w:cs="Calibri"/>
                <w:sz w:val="20"/>
                <w:szCs w:val="20"/>
                <w:highlight w:val="yellow"/>
              </w:rPr>
              <w:t>]</w:t>
            </w:r>
          </w:p>
        </w:tc>
      </w:tr>
      <w:tr w:rsidR="00510F7F" w:rsidRPr="002E6992" w14:paraId="78C69FC9" w14:textId="77777777" w:rsidTr="00F00743">
        <w:trPr>
          <w:trHeight w:val="73"/>
        </w:trPr>
        <w:tc>
          <w:tcPr>
            <w:tcW w:w="3261" w:type="dxa"/>
            <w:vAlign w:val="center"/>
          </w:tcPr>
          <w:p w14:paraId="3CACD79B" w14:textId="77777777" w:rsidR="00510F7F" w:rsidRPr="002E6992" w:rsidRDefault="00510F7F" w:rsidP="00510F7F">
            <w:pPr>
              <w:spacing w:before="60" w:after="60" w:line="300" w:lineRule="auto"/>
              <w:rPr>
                <w:rFonts w:ascii="Calibri" w:hAnsi="Calibri" w:cs="Calibri"/>
                <w:sz w:val="20"/>
                <w:szCs w:val="20"/>
                <w:highlight w:val="yellow"/>
              </w:rPr>
            </w:pPr>
          </w:p>
        </w:tc>
        <w:tc>
          <w:tcPr>
            <w:tcW w:w="5811" w:type="dxa"/>
            <w:vAlign w:val="center"/>
          </w:tcPr>
          <w:p w14:paraId="4DD829C1" w14:textId="5687976C" w:rsidR="00510F7F" w:rsidRPr="002E6992" w:rsidRDefault="0075101D" w:rsidP="00510F7F">
            <w:pPr>
              <w:spacing w:before="60" w:after="60" w:line="300" w:lineRule="auto"/>
              <w:jc w:val="right"/>
              <w:rPr>
                <w:rFonts w:ascii="Calibri" w:hAnsi="Calibri" w:cs="Calibri"/>
                <w:sz w:val="20"/>
                <w:szCs w:val="20"/>
                <w:highlight w:val="yellow"/>
              </w:rPr>
            </w:pPr>
            <w:r w:rsidRPr="002E6992">
              <w:rPr>
                <w:rFonts w:ascii="Calibri" w:hAnsi="Calibri" w:cs="Calibri"/>
                <w:sz w:val="20"/>
                <w:szCs w:val="20"/>
                <w:highlight w:val="cyan"/>
              </w:rPr>
              <w:t>[odkaz na kontaktní formulář, kontakt v aplikaci atp.]</w:t>
            </w:r>
          </w:p>
        </w:tc>
      </w:tr>
    </w:tbl>
    <w:p w14:paraId="494415AC" w14:textId="587BBAA7" w:rsidR="00242176" w:rsidRPr="002E6992" w:rsidRDefault="00242176" w:rsidP="003347BF">
      <w:pPr>
        <w:spacing w:before="200" w:after="200" w:line="300" w:lineRule="auto"/>
        <w:jc w:val="center"/>
        <w:rPr>
          <w:rFonts w:ascii="Calibri" w:hAnsi="Calibri" w:cs="Calibri"/>
          <w:b/>
          <w:bCs/>
          <w:caps/>
          <w:sz w:val="20"/>
          <w:szCs w:val="20"/>
        </w:rPr>
      </w:pPr>
      <w:r w:rsidRPr="002E6992">
        <w:rPr>
          <w:rFonts w:ascii="Calibri" w:hAnsi="Calibri" w:cs="Calibri"/>
          <w:b/>
          <w:bCs/>
          <w:caps/>
          <w:sz w:val="20"/>
          <w:szCs w:val="20"/>
        </w:rPr>
        <w:t>Shrnutí smlouvy</w:t>
      </w:r>
    </w:p>
    <w:p w14:paraId="00867D95" w14:textId="24188F17" w:rsidR="003347BF" w:rsidRPr="002E6992" w:rsidRDefault="00242176" w:rsidP="0054009D">
      <w:pPr>
        <w:pStyle w:val="Odstavecseseznamem"/>
        <w:numPr>
          <w:ilvl w:val="0"/>
          <w:numId w:val="2"/>
        </w:numPr>
        <w:spacing w:after="200" w:line="300" w:lineRule="auto"/>
        <w:ind w:left="284" w:hanging="283"/>
        <w:jc w:val="both"/>
        <w:rPr>
          <w:rFonts w:ascii="Calibri" w:hAnsi="Calibri" w:cs="Calibri"/>
          <w:sz w:val="20"/>
          <w:szCs w:val="20"/>
        </w:rPr>
      </w:pPr>
      <w:r w:rsidRPr="002E6992">
        <w:rPr>
          <w:rFonts w:ascii="Calibri" w:hAnsi="Calibri" w:cs="Calibri"/>
          <w:sz w:val="20"/>
          <w:szCs w:val="20"/>
        </w:rPr>
        <w:t>Toto shrnutí smlouvy uvádí hlavní prvky této nabídky služeb, jak vyžadují právní předpisy EU.</w:t>
      </w:r>
      <w:r w:rsidR="00A41F21">
        <w:rPr>
          <w:rStyle w:val="Znakapoznpodarou"/>
          <w:rFonts w:ascii="Calibri" w:hAnsi="Calibri" w:cs="Calibri"/>
          <w:sz w:val="20"/>
          <w:szCs w:val="20"/>
        </w:rPr>
        <w:footnoteReference w:id="1"/>
      </w:r>
    </w:p>
    <w:p w14:paraId="213E96AE" w14:textId="77777777" w:rsidR="003347BF" w:rsidRPr="002E6992" w:rsidRDefault="00242176" w:rsidP="0054009D">
      <w:pPr>
        <w:pStyle w:val="Odstavecseseznamem"/>
        <w:numPr>
          <w:ilvl w:val="0"/>
          <w:numId w:val="2"/>
        </w:numPr>
        <w:spacing w:after="200" w:line="300" w:lineRule="auto"/>
        <w:ind w:left="284" w:hanging="283"/>
        <w:jc w:val="both"/>
        <w:rPr>
          <w:rFonts w:ascii="Calibri" w:hAnsi="Calibri" w:cs="Calibri"/>
          <w:sz w:val="20"/>
          <w:szCs w:val="20"/>
        </w:rPr>
      </w:pPr>
      <w:r w:rsidRPr="002E6992">
        <w:rPr>
          <w:rFonts w:ascii="Calibri" w:hAnsi="Calibri" w:cs="Calibri"/>
          <w:sz w:val="20"/>
          <w:szCs w:val="20"/>
        </w:rPr>
        <w:t>Pomáhá porovnat různé nabídky služeb.</w:t>
      </w:r>
      <w:r w:rsidR="00510F7F" w:rsidRPr="002E6992">
        <w:rPr>
          <w:rFonts w:ascii="Calibri" w:hAnsi="Calibri" w:cs="Calibri"/>
          <w:sz w:val="20"/>
          <w:szCs w:val="20"/>
        </w:rPr>
        <w:t xml:space="preserve"> </w:t>
      </w:r>
    </w:p>
    <w:p w14:paraId="73B48B05" w14:textId="428C73AD" w:rsidR="00242176" w:rsidRPr="002E6992" w:rsidRDefault="00242176" w:rsidP="0054009D">
      <w:pPr>
        <w:pStyle w:val="Odstavecseseznamem"/>
        <w:numPr>
          <w:ilvl w:val="0"/>
          <w:numId w:val="2"/>
        </w:numPr>
        <w:spacing w:after="200" w:line="300" w:lineRule="auto"/>
        <w:ind w:left="284" w:hanging="283"/>
        <w:contextualSpacing w:val="0"/>
        <w:jc w:val="both"/>
        <w:rPr>
          <w:rFonts w:ascii="Calibri" w:hAnsi="Calibri" w:cs="Calibri"/>
          <w:sz w:val="20"/>
          <w:szCs w:val="20"/>
        </w:rPr>
      </w:pPr>
      <w:r w:rsidRPr="002E6992">
        <w:rPr>
          <w:rFonts w:ascii="Calibri" w:hAnsi="Calibri" w:cs="Calibri"/>
          <w:sz w:val="20"/>
          <w:szCs w:val="20"/>
        </w:rPr>
        <w:t>Úplné informace o dané službě jsou obsaženy v jiných dokumentech.</w:t>
      </w:r>
    </w:p>
    <w:p w14:paraId="70463B7F" w14:textId="4B26793A" w:rsidR="00242176" w:rsidRPr="002E6992" w:rsidRDefault="00242176" w:rsidP="00E5051C">
      <w:pPr>
        <w:spacing w:before="200"/>
        <w:jc w:val="both"/>
        <w:rPr>
          <w:rFonts w:ascii="Calibri" w:hAnsi="Calibri" w:cs="Calibri"/>
          <w:b/>
          <w:bCs/>
          <w:caps/>
          <w:sz w:val="20"/>
          <w:szCs w:val="20"/>
        </w:rPr>
      </w:pPr>
      <w:r w:rsidRPr="002E6992">
        <w:rPr>
          <w:rFonts w:ascii="Calibri" w:hAnsi="Calibri" w:cs="Calibri"/>
          <w:b/>
          <w:bCs/>
          <w:caps/>
          <w:sz w:val="20"/>
          <w:szCs w:val="20"/>
        </w:rPr>
        <w:t xml:space="preserve">Služba </w:t>
      </w:r>
      <w:r w:rsidRPr="00E5051C">
        <w:rPr>
          <w:rFonts w:ascii="Calibri" w:hAnsi="Calibri" w:cs="Calibri"/>
          <w:b/>
          <w:bCs/>
          <w:caps/>
          <w:sz w:val="20"/>
          <w:szCs w:val="20"/>
          <w:highlight w:val="yellow"/>
        </w:rPr>
        <w:t>/</w:t>
      </w:r>
      <w:r w:rsidR="0054009D" w:rsidRPr="00E5051C">
        <w:rPr>
          <w:rFonts w:ascii="Calibri" w:hAnsi="Calibri" w:cs="Calibri"/>
          <w:b/>
          <w:bCs/>
          <w:caps/>
          <w:sz w:val="20"/>
          <w:szCs w:val="20"/>
          <w:highlight w:val="yellow"/>
        </w:rPr>
        <w:t xml:space="preserve"> </w:t>
      </w:r>
      <w:r w:rsidRPr="00E5051C">
        <w:rPr>
          <w:rFonts w:ascii="Calibri" w:hAnsi="Calibri" w:cs="Calibri"/>
          <w:b/>
          <w:bCs/>
          <w:caps/>
          <w:sz w:val="20"/>
          <w:szCs w:val="20"/>
          <w:highlight w:val="yellow"/>
        </w:rPr>
        <w:t>služby a zařízení</w:t>
      </w:r>
    </w:p>
    <w:p w14:paraId="0EE6B598" w14:textId="77777777" w:rsidR="00BF19BE" w:rsidRPr="002E6992" w:rsidRDefault="00BF19BE"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Pokud smlouva nezahrnuje poskytnutí koncového zařízení, zmínka o zařízení v nadpisu „Služba/služby a zařízení“ se odstraní nebo se uvede, že se dané smlouvy netýká.</w:t>
      </w:r>
    </w:p>
    <w:p w14:paraId="1E057040" w14:textId="059C83E1" w:rsidR="00BF19BE" w:rsidRPr="002E6992" w:rsidRDefault="00BF19BE" w:rsidP="004D191C">
      <w:pPr>
        <w:spacing w:after="200"/>
        <w:jc w:val="both"/>
        <w:rPr>
          <w:rFonts w:ascii="Calibri" w:hAnsi="Calibri" w:cs="Calibri"/>
          <w:i/>
          <w:iCs/>
          <w:color w:val="FF0000"/>
          <w:sz w:val="20"/>
          <w:szCs w:val="20"/>
        </w:rPr>
      </w:pPr>
      <w:r w:rsidRPr="002E6992">
        <w:rPr>
          <w:rFonts w:ascii="Calibri" w:hAnsi="Calibri" w:cs="Calibri"/>
          <w:i/>
          <w:iCs/>
          <w:color w:val="FF0000"/>
          <w:sz w:val="20"/>
          <w:szCs w:val="20"/>
        </w:rPr>
        <w:t xml:space="preserve">Poskytovatel níže uvede popis hlavních charakteristik služby (služeb), uvedené služby jsou pouze příkladné. V případě balíčků se služby uvedou v pořadí uvedeném v tomto odstavci. </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70"/>
      </w:tblGrid>
      <w:tr w:rsidR="0054009D" w:rsidRPr="002E6992" w14:paraId="5B60455E" w14:textId="77777777" w:rsidTr="00F00743">
        <w:trPr>
          <w:trHeight w:val="73"/>
        </w:trPr>
        <w:tc>
          <w:tcPr>
            <w:tcW w:w="9072" w:type="dxa"/>
            <w:vAlign w:val="center"/>
          </w:tcPr>
          <w:p w14:paraId="25E19D67" w14:textId="3A71AA05" w:rsidR="0054009D" w:rsidRPr="002E6992" w:rsidRDefault="0054009D" w:rsidP="0054009D">
            <w:pPr>
              <w:pStyle w:val="Odstavecseseznamem"/>
              <w:numPr>
                <w:ilvl w:val="0"/>
                <w:numId w:val="7"/>
              </w:numPr>
              <w:spacing w:before="60" w:after="60" w:line="300" w:lineRule="auto"/>
              <w:ind w:left="284" w:hanging="284"/>
              <w:rPr>
                <w:rFonts w:ascii="Calibri" w:hAnsi="Calibri" w:cs="Calibri"/>
                <w:sz w:val="20"/>
                <w:szCs w:val="20"/>
                <w:highlight w:val="green"/>
              </w:rPr>
            </w:pPr>
            <w:r w:rsidRPr="002E6992">
              <w:rPr>
                <w:rFonts w:ascii="Calibri" w:hAnsi="Calibri" w:cs="Calibri"/>
                <w:sz w:val="20"/>
                <w:szCs w:val="20"/>
                <w:highlight w:val="green"/>
              </w:rPr>
              <w:t>Pevné hlasové telefonní služby</w:t>
            </w:r>
          </w:p>
        </w:tc>
      </w:tr>
      <w:tr w:rsidR="0054009D" w:rsidRPr="002E6992" w14:paraId="431EB780" w14:textId="77777777" w:rsidTr="00F00743">
        <w:trPr>
          <w:trHeight w:val="73"/>
        </w:trPr>
        <w:tc>
          <w:tcPr>
            <w:tcW w:w="9072" w:type="dxa"/>
            <w:vAlign w:val="center"/>
          </w:tcPr>
          <w:p w14:paraId="175215E5" w14:textId="40C39CC0" w:rsidR="0054009D" w:rsidRPr="002E6992" w:rsidRDefault="0054009D" w:rsidP="0054009D">
            <w:pPr>
              <w:pStyle w:val="Odstavecseseznamem"/>
              <w:numPr>
                <w:ilvl w:val="0"/>
                <w:numId w:val="7"/>
              </w:numPr>
              <w:spacing w:before="60" w:after="60" w:line="300" w:lineRule="auto"/>
              <w:ind w:left="284" w:hanging="284"/>
              <w:rPr>
                <w:rFonts w:ascii="Calibri" w:hAnsi="Calibri" w:cs="Calibri"/>
                <w:sz w:val="20"/>
                <w:szCs w:val="20"/>
                <w:highlight w:val="green"/>
              </w:rPr>
            </w:pPr>
            <w:r w:rsidRPr="002E6992">
              <w:rPr>
                <w:rFonts w:ascii="Calibri" w:hAnsi="Calibri" w:cs="Calibri"/>
                <w:sz w:val="20"/>
                <w:szCs w:val="20"/>
                <w:highlight w:val="green"/>
              </w:rPr>
              <w:t>Mobilní hlasové telefonní služby</w:t>
            </w:r>
          </w:p>
        </w:tc>
      </w:tr>
      <w:tr w:rsidR="0054009D" w:rsidRPr="002E6992" w14:paraId="203F511E" w14:textId="77777777" w:rsidTr="00F00743">
        <w:trPr>
          <w:trHeight w:val="73"/>
        </w:trPr>
        <w:tc>
          <w:tcPr>
            <w:tcW w:w="9072" w:type="dxa"/>
            <w:vAlign w:val="center"/>
          </w:tcPr>
          <w:p w14:paraId="0C728404" w14:textId="1AE290B5" w:rsidR="00BF19BE" w:rsidRPr="002E6992" w:rsidRDefault="0054009D" w:rsidP="00BF19BE">
            <w:pPr>
              <w:pStyle w:val="Odstavecseseznamem"/>
              <w:numPr>
                <w:ilvl w:val="0"/>
                <w:numId w:val="7"/>
              </w:numPr>
              <w:spacing w:before="60" w:after="60" w:line="300" w:lineRule="auto"/>
              <w:ind w:left="284" w:hanging="284"/>
              <w:rPr>
                <w:rFonts w:ascii="Calibri" w:hAnsi="Calibri" w:cs="Calibri"/>
                <w:sz w:val="20"/>
                <w:szCs w:val="20"/>
                <w:highlight w:val="green"/>
              </w:rPr>
            </w:pPr>
            <w:r w:rsidRPr="002E6992">
              <w:rPr>
                <w:rFonts w:ascii="Calibri" w:hAnsi="Calibri" w:cs="Calibri"/>
                <w:sz w:val="20"/>
                <w:szCs w:val="20"/>
                <w:highlight w:val="green"/>
              </w:rPr>
              <w:t>Mobilní přístup k internetu</w:t>
            </w:r>
          </w:p>
        </w:tc>
      </w:tr>
      <w:tr w:rsidR="0054009D" w:rsidRPr="002E6992" w14:paraId="7D69961F" w14:textId="77777777" w:rsidTr="00F00743">
        <w:trPr>
          <w:trHeight w:val="73"/>
        </w:trPr>
        <w:tc>
          <w:tcPr>
            <w:tcW w:w="9072" w:type="dxa"/>
            <w:vAlign w:val="center"/>
          </w:tcPr>
          <w:p w14:paraId="3817A033" w14:textId="01EE6935" w:rsidR="0054009D" w:rsidRPr="002E6992" w:rsidRDefault="0054009D" w:rsidP="0054009D">
            <w:pPr>
              <w:pStyle w:val="Odstavecseseznamem"/>
              <w:numPr>
                <w:ilvl w:val="0"/>
                <w:numId w:val="7"/>
              </w:numPr>
              <w:spacing w:before="60" w:after="60" w:line="300" w:lineRule="auto"/>
              <w:ind w:left="284" w:hanging="284"/>
              <w:rPr>
                <w:rFonts w:ascii="Calibri" w:hAnsi="Calibri" w:cs="Calibri"/>
                <w:sz w:val="20"/>
                <w:szCs w:val="20"/>
                <w:highlight w:val="green"/>
              </w:rPr>
            </w:pPr>
            <w:r w:rsidRPr="002E6992">
              <w:rPr>
                <w:rFonts w:ascii="Calibri" w:hAnsi="Calibri" w:cs="Calibri"/>
                <w:sz w:val="20"/>
                <w:szCs w:val="20"/>
                <w:highlight w:val="green"/>
              </w:rPr>
              <w:t>Pevný přístup k internetu</w:t>
            </w:r>
          </w:p>
        </w:tc>
      </w:tr>
      <w:tr w:rsidR="0054009D" w:rsidRPr="002E6992" w14:paraId="638DCAB4" w14:textId="77777777" w:rsidTr="00F00743">
        <w:trPr>
          <w:trHeight w:val="73"/>
        </w:trPr>
        <w:tc>
          <w:tcPr>
            <w:tcW w:w="9072" w:type="dxa"/>
            <w:vAlign w:val="center"/>
          </w:tcPr>
          <w:p w14:paraId="56B11C0C" w14:textId="13C8125E" w:rsidR="0054009D" w:rsidRPr="002E6992" w:rsidRDefault="0054009D" w:rsidP="0054009D">
            <w:pPr>
              <w:pStyle w:val="Odstavecseseznamem"/>
              <w:numPr>
                <w:ilvl w:val="0"/>
                <w:numId w:val="7"/>
              </w:numPr>
              <w:spacing w:before="60" w:after="60" w:line="300" w:lineRule="auto"/>
              <w:ind w:left="284" w:hanging="284"/>
              <w:rPr>
                <w:rFonts w:ascii="Calibri" w:hAnsi="Calibri" w:cs="Calibri"/>
                <w:sz w:val="20"/>
                <w:szCs w:val="20"/>
                <w:highlight w:val="green"/>
              </w:rPr>
            </w:pPr>
            <w:r w:rsidRPr="002E6992">
              <w:rPr>
                <w:rFonts w:ascii="Calibri" w:hAnsi="Calibri" w:cs="Calibri"/>
                <w:sz w:val="20"/>
                <w:szCs w:val="20"/>
                <w:highlight w:val="green"/>
              </w:rPr>
              <w:t xml:space="preserve">Přenosové služby pro TV </w:t>
            </w:r>
          </w:p>
        </w:tc>
      </w:tr>
      <w:tr w:rsidR="0054009D" w:rsidRPr="002E6992" w14:paraId="73E9E0D9" w14:textId="77777777" w:rsidTr="00F00743">
        <w:trPr>
          <w:trHeight w:val="73"/>
        </w:trPr>
        <w:tc>
          <w:tcPr>
            <w:tcW w:w="9072" w:type="dxa"/>
            <w:vAlign w:val="center"/>
          </w:tcPr>
          <w:p w14:paraId="51A64D22" w14:textId="4F453ABA" w:rsidR="0054009D" w:rsidRPr="002E6992" w:rsidRDefault="0054009D" w:rsidP="0054009D">
            <w:pPr>
              <w:pStyle w:val="Odstavecseseznamem"/>
              <w:numPr>
                <w:ilvl w:val="0"/>
                <w:numId w:val="7"/>
              </w:numPr>
              <w:spacing w:before="60" w:after="60" w:line="300" w:lineRule="auto"/>
              <w:ind w:left="284" w:hanging="284"/>
              <w:contextualSpacing w:val="0"/>
              <w:rPr>
                <w:rFonts w:ascii="Calibri" w:hAnsi="Calibri" w:cs="Calibri"/>
                <w:sz w:val="20"/>
                <w:szCs w:val="20"/>
                <w:highlight w:val="green"/>
              </w:rPr>
            </w:pPr>
            <w:r w:rsidRPr="002E6992">
              <w:rPr>
                <w:rFonts w:ascii="Calibri" w:hAnsi="Calibri" w:cs="Calibri"/>
                <w:sz w:val="20"/>
                <w:szCs w:val="20"/>
                <w:highlight w:val="green"/>
              </w:rPr>
              <w:t>Interpersonální komunikační služby nezávislé na číslech</w:t>
            </w:r>
          </w:p>
        </w:tc>
      </w:tr>
    </w:tbl>
    <w:p w14:paraId="791C27AD" w14:textId="06193F8D" w:rsidR="00BF19BE" w:rsidRPr="002E6992" w:rsidRDefault="00D44EBA"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Popis v příslušných případech zahrnuje objem či počet volání, zpráv a dat a politiku přiměřeného využívání roamingu, kterou poskytovatel uplatňuje.</w:t>
      </w:r>
      <w:r>
        <w:rPr>
          <w:rFonts w:ascii="Calibri" w:hAnsi="Calibri" w:cs="Calibri"/>
          <w:i/>
          <w:iCs/>
          <w:color w:val="FF0000"/>
          <w:sz w:val="20"/>
          <w:szCs w:val="20"/>
        </w:rPr>
        <w:t xml:space="preserve"> Dále se u</w:t>
      </w:r>
      <w:r w:rsidR="00BF19BE" w:rsidRPr="002E6992">
        <w:rPr>
          <w:rFonts w:ascii="Calibri" w:hAnsi="Calibri" w:cs="Calibri"/>
          <w:i/>
          <w:iCs/>
          <w:color w:val="FF0000"/>
          <w:sz w:val="20"/>
          <w:szCs w:val="20"/>
        </w:rPr>
        <w:t xml:space="preserve"> balíčků popíše také typ koncového zařízení, jakož i služby, jako jsou televizní balíčky, video na vyžádání či jiné mediální služby.</w:t>
      </w:r>
      <w:r>
        <w:rPr>
          <w:rFonts w:ascii="Calibri" w:hAnsi="Calibri" w:cs="Calibri"/>
          <w:i/>
          <w:iCs/>
          <w:color w:val="FF0000"/>
          <w:sz w:val="20"/>
          <w:szCs w:val="20"/>
        </w:rPr>
        <w:t xml:space="preserve"> </w:t>
      </w:r>
      <w:r w:rsidR="00BF19BE" w:rsidRPr="002E6992">
        <w:rPr>
          <w:rFonts w:ascii="Calibri" w:hAnsi="Calibri" w:cs="Calibri"/>
          <w:i/>
          <w:iCs/>
          <w:color w:val="FF0000"/>
          <w:sz w:val="20"/>
          <w:szCs w:val="20"/>
        </w:rPr>
        <w:t>U přenosových služeb pro televizní vysílání a u balíčků, které takové služby zahrnují, mohou být uvedeny i typy nabízených televizních balíčků, pokud není možné uvést seznam všech kanálů zahrnutých do daného balíčku.</w:t>
      </w:r>
    </w:p>
    <w:p w14:paraId="612F067F" w14:textId="43D13015" w:rsidR="009131AD" w:rsidRPr="002E6992" w:rsidRDefault="00242176" w:rsidP="00E5051C">
      <w:pPr>
        <w:spacing w:before="200"/>
        <w:jc w:val="both"/>
        <w:rPr>
          <w:rFonts w:ascii="Calibri" w:hAnsi="Calibri" w:cs="Calibri"/>
          <w:b/>
          <w:bCs/>
          <w:caps/>
          <w:sz w:val="20"/>
          <w:szCs w:val="20"/>
        </w:rPr>
      </w:pPr>
      <w:r w:rsidRPr="002E6992">
        <w:rPr>
          <w:rFonts w:ascii="Calibri" w:hAnsi="Calibri" w:cs="Calibri"/>
          <w:b/>
          <w:bCs/>
          <w:caps/>
          <w:sz w:val="20"/>
          <w:szCs w:val="20"/>
        </w:rPr>
        <w:t>Rychlost služby přístupu k internetu a prostředky nápravy</w:t>
      </w:r>
    </w:p>
    <w:p w14:paraId="4B2E6162" w14:textId="2C67E6A6" w:rsidR="00BF19BE" w:rsidRPr="002E6992" w:rsidRDefault="00BF19BE"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Pokud smlouva nezahrnuje službu přístupu k internetu (mobilní ani pevný), oddíl „Rychlost služby přístupu k internetu a prostředky nápravy“ se odstraní nebo se uvede, že se dané smlouvy netýká.</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70"/>
      </w:tblGrid>
      <w:tr w:rsidR="0054009D" w:rsidRPr="002E6992" w14:paraId="2C182051" w14:textId="77777777" w:rsidTr="00E242B1">
        <w:trPr>
          <w:trHeight w:val="73"/>
        </w:trPr>
        <w:tc>
          <w:tcPr>
            <w:tcW w:w="9070" w:type="dxa"/>
            <w:vAlign w:val="center"/>
          </w:tcPr>
          <w:p w14:paraId="408E3F1D" w14:textId="516D5BF8" w:rsidR="0054009D" w:rsidRPr="002E6992" w:rsidRDefault="0054009D" w:rsidP="00BD2A0D">
            <w:pPr>
              <w:pStyle w:val="Odstavecseseznamem"/>
              <w:numPr>
                <w:ilvl w:val="0"/>
                <w:numId w:val="10"/>
              </w:numPr>
              <w:spacing w:before="60" w:after="60" w:line="300" w:lineRule="auto"/>
              <w:ind w:left="313" w:hanging="284"/>
              <w:rPr>
                <w:rFonts w:ascii="Calibri" w:hAnsi="Calibri" w:cs="Calibri"/>
                <w:sz w:val="20"/>
                <w:szCs w:val="20"/>
                <w:highlight w:val="green"/>
              </w:rPr>
            </w:pPr>
            <w:r w:rsidRPr="002E6992">
              <w:rPr>
                <w:rFonts w:ascii="Calibri" w:hAnsi="Calibri" w:cs="Calibri"/>
                <w:sz w:val="20"/>
                <w:szCs w:val="20"/>
                <w:highlight w:val="green"/>
              </w:rPr>
              <w:lastRenderedPageBreak/>
              <w:t xml:space="preserve">Služba přístupu k internetu v pevném místě: </w:t>
            </w:r>
          </w:p>
        </w:tc>
      </w:tr>
      <w:tr w:rsidR="0054009D" w:rsidRPr="002E6992" w14:paraId="734D9948" w14:textId="77777777" w:rsidTr="00E242B1">
        <w:trPr>
          <w:trHeight w:val="73"/>
        </w:trPr>
        <w:tc>
          <w:tcPr>
            <w:tcW w:w="9070" w:type="dxa"/>
            <w:vAlign w:val="center"/>
          </w:tcPr>
          <w:p w14:paraId="349C82AB" w14:textId="0CA93D53" w:rsidR="0054009D" w:rsidRPr="002E6992" w:rsidRDefault="0054009D" w:rsidP="00BD2A0D">
            <w:pPr>
              <w:pStyle w:val="Odstavecseseznamem"/>
              <w:numPr>
                <w:ilvl w:val="1"/>
                <w:numId w:val="10"/>
              </w:numPr>
              <w:spacing w:before="60" w:after="60" w:line="300" w:lineRule="auto"/>
              <w:ind w:left="596" w:hanging="283"/>
              <w:rPr>
                <w:rFonts w:ascii="Calibri" w:hAnsi="Calibri" w:cs="Calibri"/>
                <w:sz w:val="20"/>
                <w:szCs w:val="20"/>
                <w:highlight w:val="yellow"/>
              </w:rPr>
            </w:pPr>
            <w:r w:rsidRPr="002E6992">
              <w:rPr>
                <w:rFonts w:ascii="Calibri" w:hAnsi="Calibri" w:cs="Calibri"/>
                <w:sz w:val="20"/>
                <w:szCs w:val="20"/>
                <w:highlight w:val="yellow"/>
              </w:rPr>
              <w:t>Minimální rychlost stahování/vkládání (</w:t>
            </w:r>
            <w:proofErr w:type="spellStart"/>
            <w:r w:rsidRPr="002E6992">
              <w:rPr>
                <w:rFonts w:ascii="Calibri" w:hAnsi="Calibri" w:cs="Calibri"/>
                <w:sz w:val="20"/>
                <w:szCs w:val="20"/>
                <w:highlight w:val="yellow"/>
              </w:rPr>
              <w:t>download</w:t>
            </w:r>
            <w:proofErr w:type="spellEnd"/>
            <w:r w:rsidRPr="002E6992">
              <w:rPr>
                <w:rFonts w:ascii="Calibri" w:hAnsi="Calibri" w:cs="Calibri"/>
                <w:sz w:val="20"/>
                <w:szCs w:val="20"/>
                <w:highlight w:val="yellow"/>
              </w:rPr>
              <w:t>/upload)</w:t>
            </w:r>
          </w:p>
        </w:tc>
      </w:tr>
      <w:tr w:rsidR="0054009D" w:rsidRPr="002E6992" w14:paraId="74523618" w14:textId="77777777" w:rsidTr="00E242B1">
        <w:trPr>
          <w:trHeight w:val="73"/>
        </w:trPr>
        <w:tc>
          <w:tcPr>
            <w:tcW w:w="9070" w:type="dxa"/>
            <w:vAlign w:val="center"/>
          </w:tcPr>
          <w:p w14:paraId="02FE6415" w14:textId="25E5E413" w:rsidR="0054009D" w:rsidRPr="002E6992" w:rsidRDefault="0054009D" w:rsidP="00BD2A0D">
            <w:pPr>
              <w:pStyle w:val="Odstavecseseznamem"/>
              <w:numPr>
                <w:ilvl w:val="1"/>
                <w:numId w:val="10"/>
              </w:numPr>
              <w:spacing w:before="60" w:after="60" w:line="300" w:lineRule="auto"/>
              <w:ind w:left="596" w:hanging="283"/>
              <w:rPr>
                <w:rFonts w:ascii="Calibri" w:hAnsi="Calibri" w:cs="Calibri"/>
                <w:sz w:val="20"/>
                <w:szCs w:val="20"/>
                <w:highlight w:val="yellow"/>
              </w:rPr>
            </w:pPr>
            <w:r w:rsidRPr="002E6992">
              <w:rPr>
                <w:rFonts w:ascii="Calibri" w:hAnsi="Calibri" w:cs="Calibri"/>
                <w:sz w:val="20"/>
                <w:szCs w:val="20"/>
                <w:highlight w:val="yellow"/>
              </w:rPr>
              <w:t>Běžně dostupná rychlost stahování/vkládání (</w:t>
            </w:r>
            <w:proofErr w:type="spellStart"/>
            <w:r w:rsidRPr="002E6992">
              <w:rPr>
                <w:rFonts w:ascii="Calibri" w:hAnsi="Calibri" w:cs="Calibri"/>
                <w:sz w:val="20"/>
                <w:szCs w:val="20"/>
                <w:highlight w:val="yellow"/>
              </w:rPr>
              <w:t>download</w:t>
            </w:r>
            <w:proofErr w:type="spellEnd"/>
            <w:r w:rsidRPr="002E6992">
              <w:rPr>
                <w:rFonts w:ascii="Calibri" w:hAnsi="Calibri" w:cs="Calibri"/>
                <w:sz w:val="20"/>
                <w:szCs w:val="20"/>
                <w:highlight w:val="yellow"/>
              </w:rPr>
              <w:t>/upload)</w:t>
            </w:r>
          </w:p>
        </w:tc>
      </w:tr>
      <w:tr w:rsidR="0054009D" w:rsidRPr="002E6992" w14:paraId="34CDA008" w14:textId="77777777" w:rsidTr="00E242B1">
        <w:trPr>
          <w:trHeight w:val="73"/>
        </w:trPr>
        <w:tc>
          <w:tcPr>
            <w:tcW w:w="9070" w:type="dxa"/>
            <w:vAlign w:val="center"/>
          </w:tcPr>
          <w:p w14:paraId="10F226F8" w14:textId="587F36D4" w:rsidR="0054009D" w:rsidRPr="002E6992" w:rsidRDefault="0054009D" w:rsidP="00BD2A0D">
            <w:pPr>
              <w:pStyle w:val="Odstavecseseznamem"/>
              <w:numPr>
                <w:ilvl w:val="1"/>
                <w:numId w:val="10"/>
              </w:numPr>
              <w:spacing w:before="60" w:after="60" w:line="300" w:lineRule="auto"/>
              <w:ind w:left="596" w:hanging="283"/>
              <w:rPr>
                <w:rFonts w:ascii="Calibri" w:hAnsi="Calibri" w:cs="Calibri"/>
                <w:sz w:val="20"/>
                <w:szCs w:val="20"/>
                <w:highlight w:val="yellow"/>
              </w:rPr>
            </w:pPr>
            <w:r w:rsidRPr="002E6992">
              <w:rPr>
                <w:rFonts w:ascii="Calibri" w:hAnsi="Calibri" w:cs="Calibri"/>
                <w:sz w:val="20"/>
                <w:szCs w:val="20"/>
                <w:highlight w:val="yellow"/>
              </w:rPr>
              <w:t>Maximální rychlost stahování/vkládání (</w:t>
            </w:r>
            <w:proofErr w:type="spellStart"/>
            <w:r w:rsidRPr="002E6992">
              <w:rPr>
                <w:rFonts w:ascii="Calibri" w:hAnsi="Calibri" w:cs="Calibri"/>
                <w:sz w:val="20"/>
                <w:szCs w:val="20"/>
                <w:highlight w:val="yellow"/>
              </w:rPr>
              <w:t>download</w:t>
            </w:r>
            <w:proofErr w:type="spellEnd"/>
            <w:r w:rsidRPr="002E6992">
              <w:rPr>
                <w:rFonts w:ascii="Calibri" w:hAnsi="Calibri" w:cs="Calibri"/>
                <w:sz w:val="20"/>
                <w:szCs w:val="20"/>
                <w:highlight w:val="yellow"/>
              </w:rPr>
              <w:t>/upload)</w:t>
            </w:r>
          </w:p>
        </w:tc>
      </w:tr>
      <w:tr w:rsidR="0054009D" w:rsidRPr="002E6992" w14:paraId="288D5959" w14:textId="77777777" w:rsidTr="00E242B1">
        <w:trPr>
          <w:trHeight w:val="73"/>
        </w:trPr>
        <w:tc>
          <w:tcPr>
            <w:tcW w:w="9070" w:type="dxa"/>
            <w:vAlign w:val="center"/>
          </w:tcPr>
          <w:p w14:paraId="4F8125A0" w14:textId="7BD6C1D7" w:rsidR="0054009D" w:rsidRPr="002E6992" w:rsidRDefault="00BD2A0D" w:rsidP="00BD2A0D">
            <w:pPr>
              <w:pStyle w:val="Odstavecseseznamem"/>
              <w:numPr>
                <w:ilvl w:val="0"/>
                <w:numId w:val="10"/>
              </w:numPr>
              <w:spacing w:before="60" w:after="60" w:line="300" w:lineRule="auto"/>
              <w:ind w:left="313" w:hanging="284"/>
              <w:rPr>
                <w:rFonts w:ascii="Calibri" w:hAnsi="Calibri" w:cs="Calibri"/>
                <w:sz w:val="20"/>
                <w:szCs w:val="20"/>
                <w:highlight w:val="green"/>
              </w:rPr>
            </w:pPr>
            <w:r w:rsidRPr="002E6992">
              <w:rPr>
                <w:rFonts w:ascii="Calibri" w:hAnsi="Calibri" w:cs="Calibri"/>
                <w:sz w:val="20"/>
                <w:szCs w:val="20"/>
                <w:highlight w:val="green"/>
              </w:rPr>
              <w:t xml:space="preserve">Mobilní služba přístupu k internetu: </w:t>
            </w:r>
          </w:p>
        </w:tc>
      </w:tr>
      <w:tr w:rsidR="0054009D" w:rsidRPr="002E6992" w14:paraId="6AC39011" w14:textId="77777777" w:rsidTr="00E242B1">
        <w:trPr>
          <w:trHeight w:val="73"/>
        </w:trPr>
        <w:tc>
          <w:tcPr>
            <w:tcW w:w="9070" w:type="dxa"/>
            <w:vAlign w:val="center"/>
          </w:tcPr>
          <w:p w14:paraId="51A9663A" w14:textId="6FF170C2" w:rsidR="0054009D" w:rsidRPr="002E6992" w:rsidRDefault="00E54163" w:rsidP="00BD2A0D">
            <w:pPr>
              <w:pStyle w:val="Odstavecseseznamem"/>
              <w:numPr>
                <w:ilvl w:val="1"/>
                <w:numId w:val="10"/>
              </w:numPr>
              <w:spacing w:before="60" w:after="60" w:line="300" w:lineRule="auto"/>
              <w:ind w:left="596" w:hanging="283"/>
              <w:rPr>
                <w:rFonts w:ascii="Calibri" w:hAnsi="Calibri" w:cs="Calibri"/>
                <w:sz w:val="20"/>
                <w:szCs w:val="20"/>
                <w:highlight w:val="yellow"/>
              </w:rPr>
            </w:pPr>
            <w:r>
              <w:rPr>
                <w:rFonts w:ascii="Calibri" w:hAnsi="Calibri" w:cs="Calibri"/>
                <w:sz w:val="20"/>
                <w:szCs w:val="20"/>
                <w:highlight w:val="yellow"/>
              </w:rPr>
              <w:t>Odhadovaná m</w:t>
            </w:r>
            <w:r w:rsidR="00BD2A0D" w:rsidRPr="002E6992">
              <w:rPr>
                <w:rFonts w:ascii="Calibri" w:hAnsi="Calibri" w:cs="Calibri"/>
                <w:sz w:val="20"/>
                <w:szCs w:val="20"/>
                <w:highlight w:val="yellow"/>
              </w:rPr>
              <w:t>aximální rychlost stahování/vkládání (</w:t>
            </w:r>
            <w:proofErr w:type="spellStart"/>
            <w:r w:rsidR="00BD2A0D" w:rsidRPr="002E6992">
              <w:rPr>
                <w:rFonts w:ascii="Calibri" w:hAnsi="Calibri" w:cs="Calibri"/>
                <w:sz w:val="20"/>
                <w:szCs w:val="20"/>
                <w:highlight w:val="yellow"/>
              </w:rPr>
              <w:t>download</w:t>
            </w:r>
            <w:proofErr w:type="spellEnd"/>
            <w:r w:rsidR="00BD2A0D" w:rsidRPr="002E6992">
              <w:rPr>
                <w:rFonts w:ascii="Calibri" w:hAnsi="Calibri" w:cs="Calibri"/>
                <w:sz w:val="20"/>
                <w:szCs w:val="20"/>
                <w:highlight w:val="yellow"/>
              </w:rPr>
              <w:t xml:space="preserve">/upload) </w:t>
            </w:r>
          </w:p>
        </w:tc>
      </w:tr>
    </w:tbl>
    <w:p w14:paraId="1EDF9A5C" w14:textId="6813AECE" w:rsidR="00E242B1" w:rsidRDefault="00E242B1" w:rsidP="00E242B1">
      <w:pPr>
        <w:spacing w:before="200" w:line="300" w:lineRule="auto"/>
        <w:jc w:val="both"/>
        <w:rPr>
          <w:rFonts w:ascii="Calibri" w:hAnsi="Calibri" w:cs="Calibri"/>
          <w:sz w:val="20"/>
          <w:szCs w:val="20"/>
        </w:rPr>
      </w:pPr>
      <w:r w:rsidRPr="002C5C15">
        <w:rPr>
          <w:rFonts w:ascii="Calibri" w:hAnsi="Calibri" w:cs="Calibri"/>
          <w:sz w:val="20"/>
          <w:szCs w:val="20"/>
          <w:highlight w:val="cyan"/>
        </w:rPr>
        <w:t>Odchylka od výkonu uvedeného ve smlouvě nemá vliv na výkon vašeho práva na přístup k informacím a obsahu a jejich šíření, využívání a poskytování aplikací a služeb. Může se však stát, že vyhledávaná informace, případně využívaná služba bude načtena pomaleji</w:t>
      </w:r>
      <w:r w:rsidR="000228F5" w:rsidRPr="000228F5">
        <w:rPr>
          <w:rFonts w:ascii="Calibri" w:hAnsi="Calibri" w:cs="Calibri"/>
          <w:sz w:val="20"/>
          <w:szCs w:val="20"/>
          <w:highlight w:val="cyan"/>
        </w:rPr>
        <w:t xml:space="preserve"> (například </w:t>
      </w:r>
      <w:r w:rsidR="000228F5" w:rsidRPr="002C5C15">
        <w:rPr>
          <w:rFonts w:ascii="Calibri" w:hAnsi="Calibri" w:cs="Calibri"/>
          <w:sz w:val="20"/>
          <w:szCs w:val="20"/>
          <w:highlight w:val="cyan"/>
        </w:rPr>
        <w:t xml:space="preserve">videa a obrázky mohou </w:t>
      </w:r>
      <w:r w:rsidR="0092119D">
        <w:rPr>
          <w:rFonts w:ascii="Calibri" w:hAnsi="Calibri" w:cs="Calibri"/>
          <w:sz w:val="20"/>
          <w:szCs w:val="20"/>
          <w:highlight w:val="cyan"/>
        </w:rPr>
        <w:t>zobrazovat</w:t>
      </w:r>
      <w:r w:rsidR="000228F5" w:rsidRPr="002C5C15">
        <w:rPr>
          <w:rFonts w:ascii="Calibri" w:hAnsi="Calibri" w:cs="Calibri"/>
          <w:sz w:val="20"/>
          <w:szCs w:val="20"/>
          <w:highlight w:val="cyan"/>
        </w:rPr>
        <w:t xml:space="preserve"> </w:t>
      </w:r>
      <w:r w:rsidR="0092119D">
        <w:rPr>
          <w:rFonts w:ascii="Calibri" w:hAnsi="Calibri" w:cs="Calibri"/>
          <w:sz w:val="20"/>
          <w:szCs w:val="20"/>
          <w:highlight w:val="cyan"/>
        </w:rPr>
        <w:t>později</w:t>
      </w:r>
      <w:r w:rsidR="000228F5" w:rsidRPr="002C5C15">
        <w:rPr>
          <w:rFonts w:ascii="Calibri" w:hAnsi="Calibri" w:cs="Calibri"/>
          <w:sz w:val="20"/>
          <w:szCs w:val="20"/>
          <w:highlight w:val="cyan"/>
        </w:rPr>
        <w:t>)</w:t>
      </w:r>
      <w:r w:rsidRPr="002C5C15">
        <w:rPr>
          <w:rFonts w:ascii="Calibri" w:hAnsi="Calibri" w:cs="Calibri"/>
          <w:sz w:val="20"/>
          <w:szCs w:val="20"/>
          <w:highlight w:val="cyan"/>
        </w:rPr>
        <w:t>.</w:t>
      </w:r>
    </w:p>
    <w:p w14:paraId="06AA7049" w14:textId="59C20880" w:rsidR="0092119D" w:rsidRPr="002C5C15" w:rsidRDefault="0092119D" w:rsidP="0092119D">
      <w:pPr>
        <w:spacing w:before="200" w:after="200"/>
        <w:jc w:val="both"/>
        <w:rPr>
          <w:rFonts w:ascii="Calibri" w:hAnsi="Calibri" w:cs="Calibri"/>
          <w:i/>
          <w:iCs/>
          <w:color w:val="FF0000"/>
          <w:sz w:val="20"/>
          <w:szCs w:val="20"/>
        </w:rPr>
      </w:pPr>
      <w:r>
        <w:rPr>
          <w:rFonts w:ascii="Calibri" w:hAnsi="Calibri" w:cs="Calibri"/>
          <w:i/>
          <w:iCs/>
          <w:color w:val="FF0000"/>
          <w:sz w:val="20"/>
          <w:szCs w:val="20"/>
        </w:rPr>
        <w:t xml:space="preserve">Doporučujeme uvést, </w:t>
      </w:r>
      <w:r w:rsidRPr="002C5C15">
        <w:rPr>
          <w:rFonts w:ascii="Calibri" w:hAnsi="Calibri" w:cs="Calibri"/>
          <w:i/>
          <w:iCs/>
          <w:color w:val="FF0000"/>
          <w:sz w:val="20"/>
          <w:szCs w:val="20"/>
        </w:rPr>
        <w:t xml:space="preserve">jaký dopad by mohly mít velké odchylky od inzerované rychlosti stahování nebo vkládání na výkon práv koncových uživatelů </w:t>
      </w:r>
      <w:r w:rsidRPr="0092119D">
        <w:rPr>
          <w:rFonts w:ascii="Calibri" w:hAnsi="Calibri" w:cs="Calibri"/>
          <w:i/>
          <w:iCs/>
          <w:color w:val="FF0000"/>
          <w:sz w:val="20"/>
          <w:szCs w:val="20"/>
        </w:rPr>
        <w:t>na přístup k informacím a obsahu a jejich šíření, využívání a poskytování aplikací a služeb a využívání koncového zařízení podle svého vlastního výběru bez ohledu na polohu koncového uživatele nebo poskytovatele či polohu, původ nebo určení dané informace, obsahu, aplikace nebo služby, a to prostřednictvím své služby přístupu k internetu.</w:t>
      </w:r>
    </w:p>
    <w:p w14:paraId="4396D6F0" w14:textId="22127180" w:rsidR="00B735CF" w:rsidRPr="002E6992" w:rsidRDefault="00B735CF" w:rsidP="002C5C15">
      <w:pPr>
        <w:spacing w:line="300" w:lineRule="auto"/>
        <w:jc w:val="both"/>
        <w:rPr>
          <w:rFonts w:ascii="Calibri" w:hAnsi="Calibri" w:cs="Calibri"/>
          <w:sz w:val="20"/>
          <w:szCs w:val="20"/>
          <w:highlight w:val="yellow"/>
        </w:rPr>
      </w:pPr>
      <w:r w:rsidRPr="002E6992">
        <w:rPr>
          <w:rFonts w:ascii="Calibri" w:hAnsi="Calibri" w:cs="Calibri"/>
          <w:sz w:val="20"/>
          <w:szCs w:val="20"/>
        </w:rPr>
        <w:t xml:space="preserve">V případě trvalé nebo pravidelně se opakující odchylky skutečného výkonu </w:t>
      </w:r>
      <w:r w:rsidR="000D72D7" w:rsidRPr="00F47D57">
        <w:rPr>
          <w:sz w:val="20"/>
          <w:szCs w:val="20"/>
        </w:rPr>
        <w:t>přístupu k internetu, pokud jde o rychlost nebo jiné parametry kvality služby, od výkonu uvedeného ve smlouvě</w:t>
      </w:r>
      <w:r w:rsidR="000D72D7">
        <w:rPr>
          <w:sz w:val="20"/>
          <w:szCs w:val="20"/>
        </w:rPr>
        <w:t xml:space="preserve">, </w:t>
      </w:r>
      <w:r w:rsidRPr="002E6992">
        <w:rPr>
          <w:rFonts w:ascii="Calibri" w:hAnsi="Calibri" w:cs="Calibri"/>
          <w:sz w:val="20"/>
          <w:szCs w:val="20"/>
        </w:rPr>
        <w:t>můžete: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B735CF" w:rsidRPr="002E6992" w14:paraId="28B7AB40" w14:textId="77777777" w:rsidTr="00F00743">
        <w:trPr>
          <w:trHeight w:val="73"/>
        </w:trPr>
        <w:tc>
          <w:tcPr>
            <w:tcW w:w="9072" w:type="dxa"/>
            <w:tcBorders>
              <w:top w:val="dashed" w:sz="2" w:space="0" w:color="auto"/>
              <w:left w:val="dashed" w:sz="2" w:space="0" w:color="auto"/>
              <w:bottom w:val="dashed" w:sz="2" w:space="0" w:color="auto"/>
              <w:right w:val="dashed" w:sz="2" w:space="0" w:color="auto"/>
            </w:tcBorders>
            <w:vAlign w:val="center"/>
          </w:tcPr>
          <w:p w14:paraId="58113F56" w14:textId="724DA9C8" w:rsidR="00B735CF" w:rsidRPr="002E6992" w:rsidRDefault="00B735CF" w:rsidP="00B735CF">
            <w:pPr>
              <w:spacing w:before="60" w:after="60" w:line="300" w:lineRule="auto"/>
              <w:jc w:val="both"/>
              <w:rPr>
                <w:rFonts w:ascii="Calibri" w:hAnsi="Calibri" w:cs="Calibri"/>
                <w:sz w:val="20"/>
                <w:szCs w:val="20"/>
                <w:highlight w:val="yellow"/>
              </w:rPr>
            </w:pPr>
            <w:r w:rsidRPr="002E6992">
              <w:rPr>
                <w:rFonts w:ascii="Calibri" w:hAnsi="Calibri" w:cs="Calibri"/>
                <w:sz w:val="20"/>
                <w:szCs w:val="20"/>
              </w:rPr>
              <w:t xml:space="preserve"> </w:t>
            </w:r>
            <w:r w:rsidRPr="002E6992">
              <w:rPr>
                <w:rFonts w:ascii="Calibri" w:hAnsi="Calibri" w:cs="Calibri"/>
                <w:sz w:val="20"/>
                <w:szCs w:val="20"/>
                <w:highlight w:val="yellow"/>
              </w:rPr>
              <w:t>[Přehled prostředků nápravy]</w:t>
            </w:r>
            <w:r w:rsidR="0092119D">
              <w:rPr>
                <w:rFonts w:ascii="Calibri" w:hAnsi="Calibri" w:cs="Calibri"/>
                <w:sz w:val="20"/>
                <w:szCs w:val="20"/>
                <w:highlight w:val="yellow"/>
              </w:rPr>
              <w:t xml:space="preserve"> </w:t>
            </w:r>
            <w:r w:rsidR="0092119D" w:rsidRPr="002C5C15">
              <w:rPr>
                <w:rFonts w:ascii="Calibri" w:hAnsi="Calibri" w:cs="Calibri"/>
                <w:sz w:val="20"/>
                <w:szCs w:val="20"/>
                <w:highlight w:val="cyan"/>
              </w:rPr>
              <w:t>[odkaz na jejich úpravu v obchodních podmínkách</w:t>
            </w:r>
            <w:r w:rsidR="0092119D" w:rsidRPr="0092119D">
              <w:rPr>
                <w:rFonts w:ascii="Calibri" w:hAnsi="Calibri" w:cs="Calibri"/>
                <w:sz w:val="20"/>
                <w:szCs w:val="20"/>
                <w:highlight w:val="cyan"/>
              </w:rPr>
              <w:t>]</w:t>
            </w:r>
          </w:p>
        </w:tc>
      </w:tr>
    </w:tbl>
    <w:p w14:paraId="773E5193" w14:textId="5621560A" w:rsidR="00BF19BE" w:rsidRPr="002E6992" w:rsidRDefault="00BF19BE"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 xml:space="preserve">Uvede se přehled prostředků nápravy, které má spotřebitel k dispozici podle </w:t>
      </w:r>
      <w:r w:rsidR="00A52707">
        <w:rPr>
          <w:rFonts w:ascii="Calibri" w:hAnsi="Calibri" w:cs="Calibri"/>
          <w:i/>
          <w:iCs/>
          <w:color w:val="FF0000"/>
          <w:sz w:val="20"/>
          <w:szCs w:val="20"/>
        </w:rPr>
        <w:t xml:space="preserve">smlouvy a </w:t>
      </w:r>
      <w:r w:rsidRPr="002E6992">
        <w:rPr>
          <w:rFonts w:ascii="Calibri" w:hAnsi="Calibri" w:cs="Calibri"/>
          <w:i/>
          <w:iCs/>
          <w:color w:val="FF0000"/>
          <w:sz w:val="20"/>
          <w:szCs w:val="20"/>
        </w:rPr>
        <w:t>vnitrostátního práva v případě trvalé nebo pravidelně se opakující odchylky skutečného výkonu služby přístupu k internetu, pokud jde o rychlost nebo jiné parametry kvality služby, od výkonu uvedeného ve smlouvě.</w:t>
      </w:r>
      <w:r w:rsidR="00A52707">
        <w:rPr>
          <w:rFonts w:ascii="Calibri" w:hAnsi="Calibri" w:cs="Calibri"/>
          <w:i/>
          <w:iCs/>
          <w:color w:val="FF0000"/>
          <w:sz w:val="20"/>
          <w:szCs w:val="20"/>
        </w:rPr>
        <w:t xml:space="preserve"> Doporučujeme </w:t>
      </w:r>
      <w:r w:rsidR="002C5C15">
        <w:rPr>
          <w:rFonts w:ascii="Calibri" w:hAnsi="Calibri" w:cs="Calibri"/>
          <w:i/>
          <w:iCs/>
          <w:color w:val="FF0000"/>
          <w:sz w:val="20"/>
          <w:szCs w:val="20"/>
        </w:rPr>
        <w:t xml:space="preserve">dále </w:t>
      </w:r>
      <w:r w:rsidR="00A52707">
        <w:rPr>
          <w:rFonts w:ascii="Calibri" w:hAnsi="Calibri" w:cs="Calibri"/>
          <w:i/>
          <w:iCs/>
          <w:color w:val="FF0000"/>
          <w:sz w:val="20"/>
          <w:szCs w:val="20"/>
        </w:rPr>
        <w:t>uvést výčet jednotlivých nároků spotřebitele (například možnost požadovat slevu z ceny nebo odstoupit od smlouvy)</w:t>
      </w:r>
      <w:r w:rsidR="002C5C15">
        <w:rPr>
          <w:rFonts w:ascii="Calibri" w:hAnsi="Calibri" w:cs="Calibri"/>
          <w:i/>
          <w:iCs/>
          <w:color w:val="FF0000"/>
          <w:sz w:val="20"/>
          <w:szCs w:val="20"/>
        </w:rPr>
        <w:t xml:space="preserve"> a </w:t>
      </w:r>
      <w:r w:rsidR="00A52707">
        <w:rPr>
          <w:rFonts w:ascii="Calibri" w:hAnsi="Calibri" w:cs="Calibri"/>
          <w:i/>
          <w:iCs/>
          <w:color w:val="FF0000"/>
          <w:sz w:val="20"/>
          <w:szCs w:val="20"/>
        </w:rPr>
        <w:t xml:space="preserve">odkaz na příslušná ustanovení </w:t>
      </w:r>
      <w:r w:rsidR="002C5C15">
        <w:rPr>
          <w:rFonts w:ascii="Calibri" w:hAnsi="Calibri" w:cs="Calibri"/>
          <w:i/>
          <w:iCs/>
          <w:color w:val="FF0000"/>
          <w:sz w:val="20"/>
          <w:szCs w:val="20"/>
        </w:rPr>
        <w:t xml:space="preserve">právních předpisů a </w:t>
      </w:r>
      <w:r w:rsidR="00A52707">
        <w:rPr>
          <w:rFonts w:ascii="Calibri" w:hAnsi="Calibri" w:cs="Calibri"/>
          <w:i/>
          <w:iCs/>
          <w:color w:val="FF0000"/>
          <w:sz w:val="20"/>
          <w:szCs w:val="20"/>
        </w:rPr>
        <w:t>obc</w:t>
      </w:r>
      <w:r w:rsidR="002C5C15">
        <w:rPr>
          <w:rFonts w:ascii="Calibri" w:hAnsi="Calibri" w:cs="Calibri"/>
          <w:i/>
          <w:iCs/>
          <w:color w:val="FF0000"/>
          <w:sz w:val="20"/>
          <w:szCs w:val="20"/>
        </w:rPr>
        <w:t>h</w:t>
      </w:r>
      <w:r w:rsidR="00A52707">
        <w:rPr>
          <w:rFonts w:ascii="Calibri" w:hAnsi="Calibri" w:cs="Calibri"/>
          <w:i/>
          <w:iCs/>
          <w:color w:val="FF0000"/>
          <w:sz w:val="20"/>
          <w:szCs w:val="20"/>
        </w:rPr>
        <w:t>odních podmínek, kter</w:t>
      </w:r>
      <w:r w:rsidR="002C5C15">
        <w:rPr>
          <w:rFonts w:ascii="Calibri" w:hAnsi="Calibri" w:cs="Calibri"/>
          <w:i/>
          <w:iCs/>
          <w:color w:val="FF0000"/>
          <w:sz w:val="20"/>
          <w:szCs w:val="20"/>
        </w:rPr>
        <w:t>á se reklamací služby zabývají.</w:t>
      </w:r>
    </w:p>
    <w:p w14:paraId="48CB5CE7" w14:textId="55065E3F" w:rsidR="00BF19BE" w:rsidRDefault="00BF19BE"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 xml:space="preserve">Příklad: V případě trvalé nebo pravidelně se opakující odchylky skutečného výkonu služby přístupu k internetu, pokud jde o rychlost nebo jiné parametry kvality služby, od výkonu uvedeného ve smlouvě má koncový uživatel / účastník právo uplatnit u poskytovatele služby reklamaci na poskytovanou službu přístupu k internetu nebo na vyúčtování ceny. </w:t>
      </w:r>
      <w:r w:rsidR="00EB56C5" w:rsidRPr="00EB56C5">
        <w:rPr>
          <w:rFonts w:ascii="Calibri" w:hAnsi="Calibri" w:cs="Calibri"/>
          <w:i/>
          <w:iCs/>
          <w:color w:val="FF0000"/>
          <w:sz w:val="20"/>
          <w:szCs w:val="20"/>
        </w:rPr>
        <w:t xml:space="preserve">V takovém případě může mimo jiné požadovat slevu z ceny nebo od smlouvy odstoupit, pokud jde o její podstatné porušení. </w:t>
      </w:r>
      <w:r w:rsidR="00EB56C5">
        <w:rPr>
          <w:rFonts w:ascii="Calibri" w:hAnsi="Calibri" w:cs="Calibri"/>
          <w:i/>
          <w:iCs/>
          <w:color w:val="FF0000"/>
          <w:sz w:val="20"/>
          <w:szCs w:val="20"/>
        </w:rPr>
        <w:t>Podrobnosti týkající se</w:t>
      </w:r>
      <w:r w:rsidR="00EB56C5" w:rsidRPr="00EB56C5">
        <w:rPr>
          <w:rFonts w:ascii="Calibri" w:hAnsi="Calibri" w:cs="Calibri"/>
          <w:i/>
          <w:iCs/>
          <w:color w:val="FF0000"/>
          <w:sz w:val="20"/>
          <w:szCs w:val="20"/>
        </w:rPr>
        <w:t xml:space="preserve"> </w:t>
      </w:r>
      <w:r w:rsidR="00EB56C5">
        <w:rPr>
          <w:rFonts w:ascii="Calibri" w:hAnsi="Calibri" w:cs="Calibri"/>
          <w:i/>
          <w:iCs/>
          <w:color w:val="FF0000"/>
          <w:sz w:val="20"/>
          <w:szCs w:val="20"/>
        </w:rPr>
        <w:t>reklamace jsou dostupné</w:t>
      </w:r>
      <w:r w:rsidR="00EB56C5" w:rsidRPr="00EB56C5">
        <w:rPr>
          <w:rFonts w:ascii="Calibri" w:hAnsi="Calibri" w:cs="Calibri"/>
          <w:i/>
          <w:iCs/>
          <w:color w:val="FF0000"/>
          <w:sz w:val="20"/>
          <w:szCs w:val="20"/>
        </w:rPr>
        <w:t xml:space="preserve"> v článku 3 </w:t>
      </w:r>
      <w:r w:rsidR="00EB56C5">
        <w:rPr>
          <w:rFonts w:ascii="Calibri" w:hAnsi="Calibri" w:cs="Calibri"/>
          <w:i/>
          <w:iCs/>
          <w:color w:val="FF0000"/>
          <w:sz w:val="20"/>
          <w:szCs w:val="20"/>
        </w:rPr>
        <w:t>všeobecných obchodních podmínek</w:t>
      </w:r>
      <w:r w:rsidR="00EB56C5" w:rsidRPr="00EB56C5">
        <w:rPr>
          <w:rFonts w:ascii="Calibri" w:hAnsi="Calibri" w:cs="Calibri"/>
          <w:i/>
          <w:iCs/>
          <w:color w:val="FF0000"/>
          <w:sz w:val="20"/>
          <w:szCs w:val="20"/>
        </w:rPr>
        <w:t>.</w:t>
      </w:r>
      <w:r w:rsidR="00EB56C5">
        <w:rPr>
          <w:rFonts w:ascii="Calibri" w:hAnsi="Calibri" w:cs="Calibri"/>
          <w:i/>
          <w:iCs/>
          <w:color w:val="FF0000"/>
          <w:sz w:val="20"/>
          <w:szCs w:val="20"/>
        </w:rPr>
        <w:t xml:space="preserve"> </w:t>
      </w:r>
      <w:r w:rsidRPr="002E6992">
        <w:rPr>
          <w:rFonts w:ascii="Calibri" w:hAnsi="Calibri" w:cs="Calibri"/>
          <w:i/>
          <w:iCs/>
          <w:color w:val="FF0000"/>
          <w:sz w:val="20"/>
          <w:szCs w:val="20"/>
        </w:rPr>
        <w:t>Nevyhoví-li podnikatel poskytující veřejně dostupné služby elektronických komunikací reklamaci, je účastník, popřípadě uživatel oprávněn podat u Českého telekomunikačního úřadu (www.ctu.cz) návrh na zahájení řízení o námitce proti vyřízení reklamace bez zbytečného odkladu, nejpozději však do 1 měsíce ode dne doručení vyřízení reklamace nebo marného uplynutí lhůty pro její vyřízení, jinak právo uplatnit námitku zanikne</w:t>
      </w:r>
      <w:r w:rsidR="00A32896">
        <w:rPr>
          <w:rFonts w:ascii="Calibri" w:hAnsi="Calibri" w:cs="Calibri"/>
          <w:i/>
          <w:iCs/>
          <w:color w:val="FF0000"/>
          <w:sz w:val="20"/>
          <w:szCs w:val="20"/>
        </w:rPr>
        <w:t>.</w:t>
      </w:r>
    </w:p>
    <w:p w14:paraId="50B96A49" w14:textId="065DE5BE" w:rsidR="000E1686" w:rsidRPr="002E6992" w:rsidRDefault="00242176" w:rsidP="00E5051C">
      <w:pPr>
        <w:spacing w:before="200"/>
        <w:jc w:val="both"/>
        <w:rPr>
          <w:rFonts w:ascii="Calibri" w:hAnsi="Calibri" w:cs="Calibri"/>
          <w:b/>
          <w:bCs/>
          <w:caps/>
          <w:sz w:val="20"/>
          <w:szCs w:val="20"/>
        </w:rPr>
      </w:pPr>
      <w:r w:rsidRPr="002E6992">
        <w:rPr>
          <w:rFonts w:ascii="Calibri" w:hAnsi="Calibri" w:cs="Calibri"/>
          <w:b/>
          <w:bCs/>
          <w:caps/>
          <w:sz w:val="20"/>
          <w:szCs w:val="20"/>
        </w:rPr>
        <w:t>Cena</w:t>
      </w:r>
    </w:p>
    <w:p w14:paraId="5B436D9B" w14:textId="62EE1597" w:rsidR="002A3410" w:rsidRPr="002E6992" w:rsidRDefault="002A3410"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 xml:space="preserve">Je potřeba uvést veškeré relevantní informace týkající se ceny. </w:t>
      </w:r>
      <w:r w:rsidR="00B06F2B" w:rsidRPr="00B06F2B">
        <w:rPr>
          <w:rFonts w:ascii="Calibri" w:hAnsi="Calibri" w:cs="Calibri"/>
          <w:i/>
          <w:iCs/>
          <w:color w:val="FF0000"/>
          <w:sz w:val="20"/>
          <w:szCs w:val="20"/>
        </w:rPr>
        <w:t>Pokud se uplatňuje propagační cena, mělo by to být jasně uvedeno, včetně období platnosti slevy a plné ceny bez slevy.</w:t>
      </w:r>
      <w:r w:rsidR="00261250">
        <w:rPr>
          <w:rFonts w:ascii="Calibri" w:hAnsi="Calibri" w:cs="Calibri"/>
          <w:i/>
          <w:iCs/>
          <w:color w:val="FF0000"/>
          <w:sz w:val="20"/>
          <w:szCs w:val="20"/>
        </w:rPr>
        <w:t xml:space="preserve"> </w:t>
      </w:r>
      <w:r w:rsidRPr="002E6992">
        <w:rPr>
          <w:rFonts w:ascii="Calibri" w:hAnsi="Calibri" w:cs="Calibri"/>
          <w:i/>
          <w:iCs/>
          <w:color w:val="FF0000"/>
          <w:sz w:val="20"/>
          <w:szCs w:val="20"/>
        </w:rPr>
        <w:t xml:space="preserve">Níže je uveden </w:t>
      </w:r>
      <w:proofErr w:type="spellStart"/>
      <w:r w:rsidR="00B06F2B">
        <w:rPr>
          <w:rFonts w:ascii="Calibri" w:hAnsi="Calibri" w:cs="Calibri"/>
          <w:i/>
          <w:iCs/>
          <w:color w:val="FF0000"/>
          <w:sz w:val="20"/>
          <w:szCs w:val="20"/>
        </w:rPr>
        <w:t>příkladmý</w:t>
      </w:r>
      <w:proofErr w:type="spellEnd"/>
      <w:r w:rsidRPr="002E6992">
        <w:rPr>
          <w:rFonts w:ascii="Calibri" w:hAnsi="Calibri" w:cs="Calibri"/>
          <w:i/>
          <w:iCs/>
          <w:color w:val="FF0000"/>
          <w:sz w:val="20"/>
          <w:szCs w:val="20"/>
        </w:rPr>
        <w:t xml:space="preserve"> výčet informací, poskytovatel vybere všechny, které jsou pro danou službu relevantní.</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70"/>
      </w:tblGrid>
      <w:tr w:rsidR="00BD2A0D" w:rsidRPr="002E6992" w14:paraId="076CB2C4" w14:textId="77777777" w:rsidTr="00F00743">
        <w:trPr>
          <w:trHeight w:val="73"/>
        </w:trPr>
        <w:tc>
          <w:tcPr>
            <w:tcW w:w="9072" w:type="dxa"/>
            <w:vAlign w:val="center"/>
          </w:tcPr>
          <w:p w14:paraId="3C5AEE17" w14:textId="5EE58229" w:rsidR="00BD2A0D" w:rsidRPr="002E6992" w:rsidRDefault="00BD2A0D" w:rsidP="00BD2A0D">
            <w:pPr>
              <w:pStyle w:val="Odstavecseseznamem"/>
              <w:numPr>
                <w:ilvl w:val="0"/>
                <w:numId w:val="11"/>
              </w:numPr>
              <w:spacing w:before="60" w:after="60" w:line="300" w:lineRule="auto"/>
              <w:ind w:left="312" w:hanging="284"/>
              <w:rPr>
                <w:rFonts w:ascii="Calibri" w:hAnsi="Calibri" w:cs="Calibri"/>
                <w:sz w:val="20"/>
                <w:szCs w:val="20"/>
                <w:highlight w:val="green"/>
              </w:rPr>
            </w:pPr>
            <w:r w:rsidRPr="002E6992">
              <w:rPr>
                <w:rFonts w:ascii="Calibri" w:hAnsi="Calibri" w:cs="Calibri"/>
                <w:sz w:val="20"/>
                <w:szCs w:val="20"/>
                <w:highlight w:val="green"/>
              </w:rPr>
              <w:t>Cena za aktivaci služby</w:t>
            </w:r>
          </w:p>
        </w:tc>
      </w:tr>
      <w:tr w:rsidR="00BD2A0D" w:rsidRPr="002E6992" w14:paraId="17F486DF" w14:textId="77777777" w:rsidTr="00F00743">
        <w:trPr>
          <w:trHeight w:val="73"/>
        </w:trPr>
        <w:tc>
          <w:tcPr>
            <w:tcW w:w="9072" w:type="dxa"/>
            <w:vAlign w:val="center"/>
          </w:tcPr>
          <w:p w14:paraId="7012AFF0" w14:textId="6094E7E1" w:rsidR="00BD2A0D" w:rsidRPr="002E6992" w:rsidRDefault="00BD2A0D" w:rsidP="00BD2A0D">
            <w:pPr>
              <w:pStyle w:val="Odstavecseseznamem"/>
              <w:numPr>
                <w:ilvl w:val="0"/>
                <w:numId w:val="11"/>
              </w:numPr>
              <w:spacing w:before="60" w:after="60" w:line="300" w:lineRule="auto"/>
              <w:ind w:left="312" w:hanging="284"/>
              <w:rPr>
                <w:rFonts w:ascii="Calibri" w:hAnsi="Calibri" w:cs="Calibri"/>
                <w:sz w:val="20"/>
                <w:szCs w:val="20"/>
                <w:highlight w:val="green"/>
              </w:rPr>
            </w:pPr>
            <w:r w:rsidRPr="002E6992">
              <w:rPr>
                <w:rFonts w:ascii="Calibri" w:hAnsi="Calibri" w:cs="Calibri"/>
                <w:sz w:val="20"/>
                <w:szCs w:val="20"/>
                <w:highlight w:val="green"/>
              </w:rPr>
              <w:t>Pravidelné poplatky</w:t>
            </w:r>
          </w:p>
        </w:tc>
      </w:tr>
      <w:tr w:rsidR="00BD2A0D" w:rsidRPr="002E6992" w14:paraId="24AF9888" w14:textId="77777777" w:rsidTr="00F00743">
        <w:trPr>
          <w:trHeight w:val="73"/>
        </w:trPr>
        <w:tc>
          <w:tcPr>
            <w:tcW w:w="9072" w:type="dxa"/>
            <w:vAlign w:val="center"/>
          </w:tcPr>
          <w:p w14:paraId="1AE6D615" w14:textId="1C456094" w:rsidR="00BD2A0D" w:rsidRPr="002E6992" w:rsidRDefault="00BD2A0D" w:rsidP="00BD2A0D">
            <w:pPr>
              <w:pStyle w:val="Odstavecseseznamem"/>
              <w:numPr>
                <w:ilvl w:val="0"/>
                <w:numId w:val="11"/>
              </w:numPr>
              <w:spacing w:before="60" w:after="60" w:line="300" w:lineRule="auto"/>
              <w:ind w:left="312" w:hanging="284"/>
              <w:rPr>
                <w:rFonts w:ascii="Calibri" w:hAnsi="Calibri" w:cs="Calibri"/>
                <w:sz w:val="20"/>
                <w:szCs w:val="20"/>
                <w:highlight w:val="green"/>
              </w:rPr>
            </w:pPr>
            <w:r w:rsidRPr="002E6992">
              <w:rPr>
                <w:rFonts w:ascii="Calibri" w:hAnsi="Calibri" w:cs="Calibri"/>
                <w:sz w:val="20"/>
                <w:szCs w:val="20"/>
                <w:highlight w:val="green"/>
              </w:rPr>
              <w:t>Poplatky spojené se spotřebou</w:t>
            </w:r>
            <w:r w:rsidR="00124FC1">
              <w:rPr>
                <w:rFonts w:ascii="Calibri" w:hAnsi="Calibri" w:cs="Calibri"/>
                <w:sz w:val="20"/>
                <w:szCs w:val="20"/>
                <w:highlight w:val="green"/>
              </w:rPr>
              <w:t xml:space="preserve"> </w:t>
            </w:r>
            <w:r w:rsidRPr="002E6992">
              <w:rPr>
                <w:rFonts w:ascii="Calibri" w:hAnsi="Calibri" w:cs="Calibri"/>
                <w:sz w:val="20"/>
                <w:szCs w:val="20"/>
                <w:highlight w:val="green"/>
              </w:rPr>
              <w:t>/</w:t>
            </w:r>
            <w:r w:rsidR="00124FC1">
              <w:rPr>
                <w:rFonts w:ascii="Calibri" w:hAnsi="Calibri" w:cs="Calibri"/>
                <w:sz w:val="20"/>
                <w:szCs w:val="20"/>
                <w:highlight w:val="green"/>
              </w:rPr>
              <w:t xml:space="preserve"> </w:t>
            </w:r>
            <w:r w:rsidRPr="002E6992">
              <w:rPr>
                <w:rFonts w:ascii="Calibri" w:hAnsi="Calibri" w:cs="Calibri"/>
                <w:sz w:val="20"/>
                <w:szCs w:val="20"/>
                <w:highlight w:val="green"/>
              </w:rPr>
              <w:t>poplatky, které se uplatní po překročení objemů zahrnutých do pravidelně placené ceny.</w:t>
            </w:r>
          </w:p>
        </w:tc>
      </w:tr>
      <w:tr w:rsidR="00BD2A0D" w:rsidRPr="002E6992" w14:paraId="304A84C1" w14:textId="77777777" w:rsidTr="00F00743">
        <w:trPr>
          <w:trHeight w:val="73"/>
        </w:trPr>
        <w:tc>
          <w:tcPr>
            <w:tcW w:w="9072" w:type="dxa"/>
            <w:vAlign w:val="center"/>
          </w:tcPr>
          <w:p w14:paraId="49933AFB" w14:textId="293208D4" w:rsidR="00BD2A0D" w:rsidRPr="002E6992" w:rsidRDefault="00BD2A0D" w:rsidP="00BD2A0D">
            <w:pPr>
              <w:pStyle w:val="Odstavecseseznamem"/>
              <w:numPr>
                <w:ilvl w:val="0"/>
                <w:numId w:val="11"/>
              </w:numPr>
              <w:spacing w:before="60" w:after="60" w:line="300" w:lineRule="auto"/>
              <w:ind w:left="312" w:hanging="284"/>
              <w:rPr>
                <w:rFonts w:ascii="Calibri" w:hAnsi="Calibri" w:cs="Calibri"/>
                <w:sz w:val="20"/>
                <w:szCs w:val="20"/>
                <w:highlight w:val="green"/>
              </w:rPr>
            </w:pPr>
            <w:r w:rsidRPr="002E6992">
              <w:rPr>
                <w:rFonts w:ascii="Calibri" w:hAnsi="Calibri" w:cs="Calibri"/>
                <w:sz w:val="20"/>
                <w:szCs w:val="20"/>
                <w:highlight w:val="green"/>
              </w:rPr>
              <w:t>Cena za zařízení</w:t>
            </w:r>
          </w:p>
        </w:tc>
      </w:tr>
      <w:tr w:rsidR="00BD2A0D" w:rsidRPr="002E6992" w14:paraId="134FFCD2" w14:textId="77777777" w:rsidTr="00F00743">
        <w:trPr>
          <w:trHeight w:val="73"/>
        </w:trPr>
        <w:tc>
          <w:tcPr>
            <w:tcW w:w="9072" w:type="dxa"/>
            <w:vAlign w:val="center"/>
          </w:tcPr>
          <w:p w14:paraId="35D3A439" w14:textId="2C96CC08" w:rsidR="00BD2A0D" w:rsidRPr="002E6992" w:rsidRDefault="00BD2A0D" w:rsidP="00BD2A0D">
            <w:pPr>
              <w:pStyle w:val="Odstavecseseznamem"/>
              <w:numPr>
                <w:ilvl w:val="0"/>
                <w:numId w:val="11"/>
              </w:numPr>
              <w:spacing w:before="60" w:after="60" w:line="300" w:lineRule="auto"/>
              <w:ind w:left="312" w:hanging="284"/>
              <w:rPr>
                <w:rFonts w:ascii="Calibri" w:hAnsi="Calibri" w:cs="Calibri"/>
                <w:sz w:val="20"/>
                <w:szCs w:val="20"/>
                <w:highlight w:val="green"/>
              </w:rPr>
            </w:pPr>
            <w:r w:rsidRPr="002E6992">
              <w:rPr>
                <w:rFonts w:ascii="Calibri" w:hAnsi="Calibri" w:cs="Calibri"/>
                <w:sz w:val="20"/>
                <w:szCs w:val="20"/>
                <w:highlight w:val="green"/>
              </w:rPr>
              <w:lastRenderedPageBreak/>
              <w:t>Případné časově omezené slev</w:t>
            </w:r>
            <w:r w:rsidR="00124FC1">
              <w:rPr>
                <w:rFonts w:ascii="Calibri" w:hAnsi="Calibri" w:cs="Calibri"/>
                <w:sz w:val="20"/>
                <w:szCs w:val="20"/>
                <w:highlight w:val="green"/>
              </w:rPr>
              <w:t>y</w:t>
            </w:r>
          </w:p>
        </w:tc>
      </w:tr>
      <w:tr w:rsidR="00BD2A0D" w:rsidRPr="002E6992" w14:paraId="4081F0AA" w14:textId="77777777" w:rsidTr="00F00743">
        <w:trPr>
          <w:trHeight w:val="73"/>
        </w:trPr>
        <w:tc>
          <w:tcPr>
            <w:tcW w:w="9072" w:type="dxa"/>
            <w:vAlign w:val="center"/>
          </w:tcPr>
          <w:p w14:paraId="0FBA9CD0" w14:textId="77777777" w:rsidR="00124FC1" w:rsidRDefault="00BD2A0D" w:rsidP="00BD2A0D">
            <w:pPr>
              <w:pStyle w:val="Odstavecseseznamem"/>
              <w:numPr>
                <w:ilvl w:val="0"/>
                <w:numId w:val="11"/>
              </w:numPr>
              <w:spacing w:before="60" w:after="60" w:line="300" w:lineRule="auto"/>
              <w:ind w:left="312" w:hanging="284"/>
              <w:rPr>
                <w:rFonts w:ascii="Calibri" w:hAnsi="Calibri" w:cs="Calibri"/>
                <w:sz w:val="20"/>
                <w:szCs w:val="20"/>
                <w:highlight w:val="green"/>
              </w:rPr>
            </w:pPr>
            <w:r w:rsidRPr="002E6992">
              <w:rPr>
                <w:rFonts w:ascii="Calibri" w:hAnsi="Calibri" w:cs="Calibri"/>
                <w:sz w:val="20"/>
                <w:szCs w:val="20"/>
                <w:highlight w:val="green"/>
              </w:rPr>
              <w:t xml:space="preserve">Informace o sazbách za dodatečné služby nezahrnuté do pravidelně placené ceny, </w:t>
            </w:r>
          </w:p>
          <w:p w14:paraId="3A8CA425" w14:textId="246595E3" w:rsidR="00BD2A0D" w:rsidRPr="00124FC1" w:rsidRDefault="00A864CE" w:rsidP="00A864CE">
            <w:pPr>
              <w:spacing w:before="60" w:line="300" w:lineRule="auto"/>
              <w:jc w:val="both"/>
              <w:rPr>
                <w:rFonts w:ascii="Calibri" w:hAnsi="Calibri" w:cs="Calibri"/>
                <w:sz w:val="20"/>
                <w:szCs w:val="20"/>
                <w:highlight w:val="green"/>
              </w:rPr>
            </w:pPr>
            <w:r>
              <w:rPr>
                <w:rFonts w:ascii="Calibri" w:hAnsi="Calibri" w:cs="Calibri"/>
                <w:i/>
                <w:iCs/>
                <w:color w:val="FF0000"/>
                <w:sz w:val="20"/>
                <w:szCs w:val="20"/>
              </w:rPr>
              <w:t>Pokud</w:t>
            </w:r>
            <w:r w:rsidR="00BD2A0D" w:rsidRPr="00124FC1">
              <w:rPr>
                <w:rFonts w:ascii="Calibri" w:hAnsi="Calibri" w:cs="Calibri"/>
                <w:i/>
                <w:iCs/>
                <w:color w:val="FF0000"/>
                <w:sz w:val="20"/>
                <w:szCs w:val="20"/>
              </w:rPr>
              <w:t xml:space="preserve"> jsou k dispozici samostatně,</w:t>
            </w:r>
            <w:r>
              <w:rPr>
                <w:rFonts w:ascii="Calibri" w:hAnsi="Calibri" w:cs="Calibri"/>
                <w:i/>
                <w:iCs/>
                <w:color w:val="FF0000"/>
                <w:sz w:val="20"/>
                <w:szCs w:val="20"/>
              </w:rPr>
              <w:t xml:space="preserve"> lze uvést</w:t>
            </w:r>
            <w:r w:rsidR="00BD2A0D" w:rsidRPr="00124FC1">
              <w:rPr>
                <w:rFonts w:ascii="Calibri" w:hAnsi="Calibri" w:cs="Calibri"/>
                <w:i/>
                <w:iCs/>
                <w:color w:val="FF0000"/>
                <w:sz w:val="20"/>
                <w:szCs w:val="20"/>
              </w:rPr>
              <w:t xml:space="preserve"> např. odkaz na Ceník.</w:t>
            </w:r>
            <w:r w:rsidR="00BD2A0D" w:rsidRPr="00124FC1">
              <w:rPr>
                <w:rFonts w:ascii="Calibri" w:hAnsi="Calibri" w:cs="Calibri"/>
                <w:sz w:val="20"/>
                <w:szCs w:val="20"/>
                <w:highlight w:val="green"/>
              </w:rPr>
              <w:t xml:space="preserve"> </w:t>
            </w:r>
          </w:p>
        </w:tc>
      </w:tr>
      <w:tr w:rsidR="00BD2A0D" w:rsidRPr="002E6992" w14:paraId="7E8752AF" w14:textId="77777777" w:rsidTr="00F00743">
        <w:trPr>
          <w:trHeight w:val="73"/>
        </w:trPr>
        <w:tc>
          <w:tcPr>
            <w:tcW w:w="9072" w:type="dxa"/>
            <w:vAlign w:val="center"/>
          </w:tcPr>
          <w:p w14:paraId="2EC4EB50" w14:textId="77777777" w:rsidR="00BD2A0D" w:rsidRDefault="00A864CE" w:rsidP="00BD2A0D">
            <w:pPr>
              <w:pStyle w:val="Odstavecseseznamem"/>
              <w:numPr>
                <w:ilvl w:val="0"/>
                <w:numId w:val="11"/>
              </w:numPr>
              <w:spacing w:before="60" w:after="60" w:line="300" w:lineRule="auto"/>
              <w:ind w:left="312" w:hanging="284"/>
              <w:rPr>
                <w:rFonts w:ascii="Calibri" w:hAnsi="Calibri" w:cs="Calibri"/>
                <w:sz w:val="20"/>
                <w:szCs w:val="20"/>
                <w:highlight w:val="green"/>
              </w:rPr>
            </w:pPr>
            <w:r>
              <w:rPr>
                <w:rFonts w:ascii="Calibri" w:hAnsi="Calibri" w:cs="Calibri"/>
                <w:sz w:val="20"/>
                <w:szCs w:val="20"/>
                <w:highlight w:val="green"/>
              </w:rPr>
              <w:t>P</w:t>
            </w:r>
            <w:r w:rsidR="00BD2A0D" w:rsidRPr="002E6992">
              <w:rPr>
                <w:rFonts w:ascii="Calibri" w:hAnsi="Calibri" w:cs="Calibri"/>
                <w:sz w:val="20"/>
                <w:szCs w:val="20"/>
                <w:highlight w:val="green"/>
              </w:rPr>
              <w:t>odmínk</w:t>
            </w:r>
            <w:r>
              <w:rPr>
                <w:rFonts w:ascii="Calibri" w:hAnsi="Calibri" w:cs="Calibri"/>
                <w:sz w:val="20"/>
                <w:szCs w:val="20"/>
                <w:highlight w:val="green"/>
              </w:rPr>
              <w:t>a</w:t>
            </w:r>
            <w:r w:rsidR="00BD2A0D" w:rsidRPr="002E6992">
              <w:rPr>
                <w:rFonts w:ascii="Calibri" w:hAnsi="Calibri" w:cs="Calibri"/>
                <w:sz w:val="20"/>
                <w:szCs w:val="20"/>
                <w:highlight w:val="green"/>
              </w:rPr>
              <w:t xml:space="preserve"> poskytování služby </w:t>
            </w:r>
            <w:r>
              <w:rPr>
                <w:rFonts w:ascii="Calibri" w:hAnsi="Calibri" w:cs="Calibri"/>
                <w:sz w:val="20"/>
                <w:szCs w:val="20"/>
                <w:highlight w:val="green"/>
              </w:rPr>
              <w:t>spočívající v tom</w:t>
            </w:r>
            <w:r w:rsidR="00BD2A0D" w:rsidRPr="002E6992">
              <w:rPr>
                <w:rFonts w:ascii="Calibri" w:hAnsi="Calibri" w:cs="Calibri"/>
                <w:sz w:val="20"/>
                <w:szCs w:val="20"/>
                <w:highlight w:val="green"/>
              </w:rPr>
              <w:t xml:space="preserve">, že uživatelé přijmou určité povinnosti </w:t>
            </w:r>
          </w:p>
          <w:p w14:paraId="4C01DCFA" w14:textId="53841D53" w:rsidR="00A864CE" w:rsidRPr="00A864CE" w:rsidRDefault="00A864CE" w:rsidP="00A864CE">
            <w:pPr>
              <w:spacing w:before="60" w:line="300" w:lineRule="auto"/>
              <w:jc w:val="both"/>
              <w:rPr>
                <w:rFonts w:ascii="Calibri" w:hAnsi="Calibri" w:cs="Calibri"/>
                <w:sz w:val="20"/>
                <w:szCs w:val="20"/>
                <w:highlight w:val="green"/>
              </w:rPr>
            </w:pPr>
            <w:r w:rsidRPr="00A864CE">
              <w:rPr>
                <w:rFonts w:ascii="Calibri" w:hAnsi="Calibri" w:cs="Calibri"/>
                <w:i/>
                <w:iCs/>
                <w:color w:val="FF0000"/>
                <w:sz w:val="20"/>
                <w:szCs w:val="20"/>
              </w:rPr>
              <w:t>U služeb poskytovaných bez přímé peněžní platby, ale s tím, že podmínkou poskytování služby je, že uživatelé přijmou určité povinnosti (např. poskytnutí koncového zařízení), se tato skutečnost uvede.</w:t>
            </w:r>
          </w:p>
        </w:tc>
      </w:tr>
    </w:tbl>
    <w:p w14:paraId="1FBC33B3" w14:textId="77777777" w:rsidR="00A864CE" w:rsidRDefault="00A864CE" w:rsidP="004D191C">
      <w:pPr>
        <w:spacing w:before="200" w:after="200"/>
        <w:jc w:val="both"/>
        <w:rPr>
          <w:rFonts w:ascii="Calibri" w:hAnsi="Calibri" w:cs="Calibri"/>
          <w:i/>
          <w:iCs/>
          <w:color w:val="FF0000"/>
          <w:sz w:val="20"/>
          <w:szCs w:val="20"/>
        </w:rPr>
      </w:pPr>
      <w:r w:rsidRPr="00A864CE">
        <w:rPr>
          <w:rFonts w:ascii="Calibri" w:hAnsi="Calibri" w:cs="Calibri"/>
          <w:i/>
          <w:iCs/>
          <w:color w:val="FF0000"/>
          <w:sz w:val="20"/>
          <w:szCs w:val="20"/>
        </w:rPr>
        <w:t>V případě účastnických smluv se uvede opakovaně placená cena včetně daní za zúčtovací období, a pokud zúčtovacím obdobím není jeden měsíc, také za měsíc. Uvedou se veškeré další fixní ceny, například cena za aktivaci služby a v příslušných případech cena za zařízení, jakož i případné časově omezené slevy.</w:t>
      </w:r>
    </w:p>
    <w:p w14:paraId="5D50AFB6" w14:textId="3F74A36A" w:rsidR="00242176" w:rsidRPr="002E6992" w:rsidRDefault="00242176" w:rsidP="00E5051C">
      <w:pPr>
        <w:spacing w:before="200"/>
        <w:jc w:val="both"/>
        <w:rPr>
          <w:rFonts w:ascii="Calibri" w:hAnsi="Calibri" w:cs="Calibri"/>
          <w:b/>
          <w:bCs/>
          <w:caps/>
          <w:sz w:val="20"/>
          <w:szCs w:val="20"/>
        </w:rPr>
      </w:pPr>
      <w:r w:rsidRPr="002E6992">
        <w:rPr>
          <w:rFonts w:ascii="Calibri" w:hAnsi="Calibri" w:cs="Calibri"/>
          <w:b/>
          <w:bCs/>
          <w:caps/>
          <w:sz w:val="20"/>
          <w:szCs w:val="20"/>
        </w:rPr>
        <w:t>Doba trvání, obnovení a ukončení</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70"/>
      </w:tblGrid>
      <w:tr w:rsidR="005A62CA" w:rsidRPr="002E6992" w14:paraId="4E4F1755" w14:textId="77777777" w:rsidTr="00F00743">
        <w:trPr>
          <w:trHeight w:val="73"/>
        </w:trPr>
        <w:tc>
          <w:tcPr>
            <w:tcW w:w="9072" w:type="dxa"/>
            <w:vAlign w:val="center"/>
          </w:tcPr>
          <w:p w14:paraId="271AE850" w14:textId="0271DA36" w:rsidR="005A62CA" w:rsidRPr="002E6992" w:rsidRDefault="00B735CF" w:rsidP="005A62CA">
            <w:pPr>
              <w:spacing w:before="60" w:after="60" w:line="300" w:lineRule="auto"/>
              <w:jc w:val="both"/>
              <w:rPr>
                <w:rFonts w:ascii="Calibri" w:hAnsi="Calibri" w:cs="Calibri"/>
                <w:sz w:val="20"/>
                <w:szCs w:val="20"/>
                <w:highlight w:val="yellow"/>
              </w:rPr>
            </w:pPr>
            <w:r w:rsidRPr="002E6992">
              <w:rPr>
                <w:rFonts w:ascii="Calibri" w:hAnsi="Calibri" w:cs="Calibri"/>
                <w:sz w:val="20"/>
                <w:szCs w:val="20"/>
              </w:rPr>
              <w:t>Smlouva se uzavírá na</w:t>
            </w:r>
            <w:r w:rsidR="005A62CA" w:rsidRPr="002E6992">
              <w:rPr>
                <w:rFonts w:ascii="Calibri" w:hAnsi="Calibri" w:cs="Calibri"/>
                <w:sz w:val="20"/>
                <w:szCs w:val="20"/>
              </w:rPr>
              <w:t xml:space="preserve"> </w:t>
            </w:r>
            <w:r w:rsidRPr="002E6992">
              <w:rPr>
                <w:rFonts w:ascii="Calibri" w:hAnsi="Calibri" w:cs="Calibri"/>
                <w:sz w:val="20"/>
                <w:szCs w:val="20"/>
                <w:highlight w:val="yellow"/>
              </w:rPr>
              <w:t>[počet</w:t>
            </w:r>
            <w:r w:rsidR="005A62CA" w:rsidRPr="002E6992">
              <w:rPr>
                <w:rFonts w:ascii="Calibri" w:hAnsi="Calibri" w:cs="Calibri"/>
                <w:sz w:val="20"/>
                <w:szCs w:val="20"/>
                <w:highlight w:val="yellow"/>
              </w:rPr>
              <w:t> </w:t>
            </w:r>
            <w:r w:rsidRPr="002E6992">
              <w:rPr>
                <w:rFonts w:ascii="Calibri" w:hAnsi="Calibri" w:cs="Calibri"/>
                <w:sz w:val="20"/>
                <w:szCs w:val="20"/>
                <w:highlight w:val="yellow"/>
              </w:rPr>
              <w:t>měsíců / dobu neurčitou]</w:t>
            </w:r>
            <w:r w:rsidRPr="002E6992">
              <w:rPr>
                <w:rFonts w:ascii="Calibri" w:hAnsi="Calibri" w:cs="Calibri"/>
                <w:sz w:val="20"/>
                <w:szCs w:val="20"/>
              </w:rPr>
              <w:t>.</w:t>
            </w:r>
            <w:r w:rsidR="005A62CA" w:rsidRPr="002E6992">
              <w:rPr>
                <w:rFonts w:ascii="Calibri" w:hAnsi="Calibri" w:cs="Calibri"/>
                <w:sz w:val="20"/>
                <w:szCs w:val="20"/>
                <w:highlight w:val="yellow"/>
              </w:rPr>
              <w:t xml:space="preserve"> </w:t>
            </w:r>
          </w:p>
        </w:tc>
      </w:tr>
      <w:tr w:rsidR="00EB06F0" w:rsidRPr="002E6992" w14:paraId="30DD9004" w14:textId="77777777" w:rsidTr="00F00743">
        <w:trPr>
          <w:trHeight w:val="73"/>
        </w:trPr>
        <w:tc>
          <w:tcPr>
            <w:tcW w:w="9072" w:type="dxa"/>
            <w:vAlign w:val="center"/>
          </w:tcPr>
          <w:p w14:paraId="0A9C7FC0" w14:textId="4CC276C9" w:rsidR="00EB06F0" w:rsidRPr="00EB06F0" w:rsidRDefault="00CA0935" w:rsidP="00EB06F0">
            <w:pPr>
              <w:spacing w:before="60" w:after="60" w:line="300" w:lineRule="auto"/>
              <w:rPr>
                <w:rFonts w:ascii="Calibri" w:hAnsi="Calibri" w:cs="Calibri"/>
                <w:sz w:val="20"/>
                <w:szCs w:val="20"/>
              </w:rPr>
            </w:pPr>
            <w:r>
              <w:rPr>
                <w:rFonts w:ascii="Calibri" w:hAnsi="Calibri" w:cs="Calibri"/>
                <w:sz w:val="20"/>
                <w:szCs w:val="20"/>
                <w:highlight w:val="green"/>
              </w:rPr>
              <w:t>V případě obnovující se smlouvy se d</w:t>
            </w:r>
            <w:r w:rsidR="00CA0EFF">
              <w:rPr>
                <w:rFonts w:ascii="Calibri" w:hAnsi="Calibri" w:cs="Calibri"/>
                <w:sz w:val="20"/>
                <w:szCs w:val="20"/>
                <w:highlight w:val="green"/>
              </w:rPr>
              <w:t>oplní</w:t>
            </w:r>
            <w:r>
              <w:rPr>
                <w:rFonts w:ascii="Calibri" w:hAnsi="Calibri" w:cs="Calibri"/>
                <w:sz w:val="20"/>
                <w:szCs w:val="20"/>
                <w:highlight w:val="green"/>
              </w:rPr>
              <w:t xml:space="preserve"> hlavní </w:t>
            </w:r>
            <w:r w:rsidR="00CA0EFF">
              <w:rPr>
                <w:rFonts w:ascii="Calibri" w:hAnsi="Calibri" w:cs="Calibri"/>
                <w:sz w:val="20"/>
                <w:szCs w:val="20"/>
                <w:highlight w:val="green"/>
              </w:rPr>
              <w:t>p</w:t>
            </w:r>
            <w:r w:rsidR="00EB06F0" w:rsidRPr="00EB06F0">
              <w:rPr>
                <w:rFonts w:ascii="Calibri" w:hAnsi="Calibri" w:cs="Calibri"/>
                <w:sz w:val="20"/>
                <w:szCs w:val="20"/>
                <w:highlight w:val="green"/>
              </w:rPr>
              <w:t>odmínky obnovení Smlouvy</w:t>
            </w:r>
          </w:p>
        </w:tc>
      </w:tr>
      <w:tr w:rsidR="005A62CA" w:rsidRPr="002E6992" w14:paraId="4B55944A" w14:textId="77777777" w:rsidTr="00F00743">
        <w:trPr>
          <w:trHeight w:val="73"/>
        </w:trPr>
        <w:tc>
          <w:tcPr>
            <w:tcW w:w="9072" w:type="dxa"/>
            <w:vAlign w:val="center"/>
          </w:tcPr>
          <w:p w14:paraId="4B3F02A7" w14:textId="2CA97663" w:rsidR="005A62CA" w:rsidRPr="002E6992" w:rsidRDefault="00B735CF" w:rsidP="005A62CA">
            <w:pPr>
              <w:spacing w:before="60" w:after="60" w:line="300" w:lineRule="auto"/>
              <w:rPr>
                <w:rFonts w:ascii="Calibri" w:hAnsi="Calibri" w:cs="Calibri"/>
                <w:sz w:val="20"/>
                <w:szCs w:val="20"/>
                <w:highlight w:val="yellow"/>
              </w:rPr>
            </w:pPr>
            <w:r w:rsidRPr="002E6992">
              <w:rPr>
                <w:rFonts w:ascii="Calibri" w:hAnsi="Calibri" w:cs="Calibri"/>
                <w:sz w:val="20"/>
                <w:szCs w:val="20"/>
              </w:rPr>
              <w:t>S</w:t>
            </w:r>
            <w:r w:rsidR="005A62CA" w:rsidRPr="002E6992">
              <w:rPr>
                <w:rFonts w:ascii="Calibri" w:hAnsi="Calibri" w:cs="Calibri"/>
                <w:sz w:val="20"/>
                <w:szCs w:val="20"/>
              </w:rPr>
              <w:t>mlouv</w:t>
            </w:r>
            <w:r w:rsidRPr="002E6992">
              <w:rPr>
                <w:rFonts w:ascii="Calibri" w:hAnsi="Calibri" w:cs="Calibri"/>
                <w:sz w:val="20"/>
                <w:szCs w:val="20"/>
              </w:rPr>
              <w:t xml:space="preserve">a zaniká: </w:t>
            </w:r>
            <w:r w:rsidRPr="002E6992">
              <w:rPr>
                <w:rFonts w:ascii="Calibri" w:hAnsi="Calibri" w:cs="Calibri"/>
                <w:sz w:val="20"/>
                <w:szCs w:val="20"/>
                <w:highlight w:val="yellow"/>
              </w:rPr>
              <w:t>[podmínky</w:t>
            </w:r>
            <w:r w:rsidR="00910BC9" w:rsidRPr="002E6992">
              <w:rPr>
                <w:rFonts w:ascii="Calibri" w:hAnsi="Calibri" w:cs="Calibri"/>
                <w:sz w:val="20"/>
                <w:szCs w:val="20"/>
                <w:highlight w:val="yellow"/>
              </w:rPr>
              <w:t xml:space="preserve"> a možnosti</w:t>
            </w:r>
            <w:r w:rsidRPr="002E6992">
              <w:rPr>
                <w:rFonts w:ascii="Calibri" w:hAnsi="Calibri" w:cs="Calibri"/>
                <w:sz w:val="20"/>
                <w:szCs w:val="20"/>
                <w:highlight w:val="yellow"/>
              </w:rPr>
              <w:t xml:space="preserve"> ukončení smlouvy]</w:t>
            </w:r>
          </w:p>
        </w:tc>
      </w:tr>
    </w:tbl>
    <w:p w14:paraId="2F82A195" w14:textId="77777777" w:rsidR="00EE417F" w:rsidRDefault="00EE417F" w:rsidP="00EE417F">
      <w:pPr>
        <w:spacing w:line="300" w:lineRule="auto"/>
        <w:jc w:val="both"/>
        <w:rPr>
          <w:rFonts w:ascii="Calibri" w:hAnsi="Calibri" w:cs="Calibri"/>
          <w:i/>
          <w:iCs/>
          <w:color w:val="FF0000"/>
          <w:sz w:val="20"/>
          <w:szCs w:val="20"/>
        </w:rPr>
      </w:pP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70"/>
      </w:tblGrid>
      <w:tr w:rsidR="00EE417F" w:rsidRPr="002E6992" w14:paraId="0DE69454" w14:textId="77777777" w:rsidTr="00F00743">
        <w:trPr>
          <w:trHeight w:val="73"/>
        </w:trPr>
        <w:tc>
          <w:tcPr>
            <w:tcW w:w="9072" w:type="dxa"/>
            <w:vAlign w:val="center"/>
          </w:tcPr>
          <w:p w14:paraId="417DB070" w14:textId="77777777" w:rsidR="00EE417F" w:rsidRPr="002E6992" w:rsidRDefault="00EE417F" w:rsidP="00886DAC">
            <w:pPr>
              <w:spacing w:before="60" w:after="60" w:line="300" w:lineRule="auto"/>
              <w:rPr>
                <w:rFonts w:ascii="Calibri" w:hAnsi="Calibri" w:cs="Calibri"/>
                <w:sz w:val="20"/>
                <w:szCs w:val="20"/>
                <w:highlight w:val="yellow"/>
              </w:rPr>
            </w:pPr>
            <w:r w:rsidRPr="002E6992">
              <w:rPr>
                <w:rFonts w:ascii="Calibri" w:hAnsi="Calibri" w:cs="Calibri"/>
                <w:sz w:val="20"/>
                <w:szCs w:val="20"/>
                <w:highlight w:val="green"/>
              </w:rPr>
              <w:t>V případě předčasného ukončení smlouvy</w:t>
            </w:r>
            <w:r w:rsidRPr="002E6992">
              <w:rPr>
                <w:rFonts w:ascii="Calibri" w:hAnsi="Calibri" w:cs="Calibri"/>
                <w:sz w:val="20"/>
                <w:szCs w:val="20"/>
              </w:rPr>
              <w:t xml:space="preserve"> </w:t>
            </w:r>
            <w:r w:rsidRPr="002E6992">
              <w:rPr>
                <w:rFonts w:ascii="Calibri" w:hAnsi="Calibri" w:cs="Calibri"/>
                <w:sz w:val="20"/>
                <w:szCs w:val="20"/>
                <w:highlight w:val="yellow"/>
              </w:rPr>
              <w:t>[pokud existují, doplňte poplatky splatné v případě předčasného ukončení včetně informací o odblokování koncového zařízení]</w:t>
            </w:r>
          </w:p>
        </w:tc>
      </w:tr>
    </w:tbl>
    <w:p w14:paraId="2B3D3FEB" w14:textId="1C748F0F" w:rsidR="000015F4" w:rsidRPr="000015F4" w:rsidRDefault="000015F4" w:rsidP="004D191C">
      <w:pPr>
        <w:spacing w:before="200" w:after="200"/>
        <w:jc w:val="both"/>
        <w:rPr>
          <w:rFonts w:ascii="Calibri" w:hAnsi="Calibri" w:cs="Calibri"/>
          <w:i/>
          <w:iCs/>
          <w:color w:val="FF0000"/>
          <w:sz w:val="20"/>
          <w:szCs w:val="20"/>
        </w:rPr>
      </w:pPr>
      <w:r>
        <w:rPr>
          <w:rFonts w:ascii="Calibri" w:hAnsi="Calibri" w:cs="Calibri"/>
          <w:i/>
          <w:iCs/>
          <w:color w:val="FF0000"/>
          <w:sz w:val="20"/>
          <w:szCs w:val="20"/>
        </w:rPr>
        <w:t>U</w:t>
      </w:r>
      <w:r w:rsidRPr="000015F4">
        <w:rPr>
          <w:rFonts w:ascii="Calibri" w:hAnsi="Calibri" w:cs="Calibri"/>
          <w:i/>
          <w:iCs/>
          <w:color w:val="FF0000"/>
          <w:sz w:val="20"/>
          <w:szCs w:val="20"/>
        </w:rPr>
        <w:t>vedou</w:t>
      </w:r>
      <w:r>
        <w:rPr>
          <w:rFonts w:ascii="Calibri" w:hAnsi="Calibri" w:cs="Calibri"/>
          <w:i/>
          <w:iCs/>
          <w:color w:val="FF0000"/>
          <w:sz w:val="20"/>
          <w:szCs w:val="20"/>
        </w:rPr>
        <w:t xml:space="preserve"> se</w:t>
      </w:r>
      <w:r w:rsidRPr="000015F4">
        <w:rPr>
          <w:rFonts w:ascii="Calibri" w:hAnsi="Calibri" w:cs="Calibri"/>
          <w:i/>
          <w:iCs/>
          <w:color w:val="FF0000"/>
          <w:sz w:val="20"/>
          <w:szCs w:val="20"/>
        </w:rPr>
        <w:t xml:space="preserve"> informace o době trvání smlouvy v měsících a hlavní podmínky jejího obnovení a ukončení</w:t>
      </w:r>
      <w:r w:rsidR="00E758CB">
        <w:rPr>
          <w:rFonts w:ascii="Calibri" w:hAnsi="Calibri" w:cs="Calibri"/>
          <w:i/>
          <w:iCs/>
          <w:color w:val="FF0000"/>
          <w:sz w:val="20"/>
          <w:szCs w:val="20"/>
        </w:rPr>
        <w:t>,</w:t>
      </w:r>
      <w:r w:rsidRPr="000015F4">
        <w:rPr>
          <w:rFonts w:ascii="Calibri" w:hAnsi="Calibri" w:cs="Calibri"/>
          <w:i/>
          <w:iCs/>
          <w:color w:val="FF0000"/>
          <w:sz w:val="20"/>
          <w:szCs w:val="20"/>
        </w:rPr>
        <w:t xml:space="preserve"> </w:t>
      </w:r>
      <w:r w:rsidR="00E758CB" w:rsidRPr="00E758CB">
        <w:rPr>
          <w:rFonts w:ascii="Calibri" w:hAnsi="Calibri" w:cs="Calibri"/>
          <w:i/>
          <w:iCs/>
          <w:color w:val="FF0000"/>
          <w:sz w:val="20"/>
          <w:szCs w:val="20"/>
        </w:rPr>
        <w:t>včetně nabídek balíčků služeb</w:t>
      </w:r>
      <w:r w:rsidR="00E758CB">
        <w:rPr>
          <w:rFonts w:ascii="Calibri" w:hAnsi="Calibri" w:cs="Calibri"/>
          <w:i/>
          <w:iCs/>
          <w:color w:val="FF0000"/>
          <w:sz w:val="20"/>
          <w:szCs w:val="20"/>
        </w:rPr>
        <w:t xml:space="preserve">, </w:t>
      </w:r>
      <w:r w:rsidRPr="000015F4">
        <w:rPr>
          <w:rFonts w:ascii="Calibri" w:hAnsi="Calibri" w:cs="Calibri"/>
          <w:i/>
          <w:iCs/>
          <w:color w:val="FF0000"/>
          <w:sz w:val="20"/>
          <w:szCs w:val="20"/>
        </w:rPr>
        <w:t xml:space="preserve">z důvodu uplynutí doby trvání smlouvy </w:t>
      </w:r>
      <w:proofErr w:type="gramStart"/>
      <w:r w:rsidRPr="000015F4">
        <w:rPr>
          <w:rFonts w:ascii="Calibri" w:hAnsi="Calibri" w:cs="Calibri"/>
          <w:i/>
          <w:iCs/>
          <w:color w:val="FF0000"/>
          <w:sz w:val="20"/>
          <w:szCs w:val="20"/>
        </w:rPr>
        <w:t>a – v</w:t>
      </w:r>
      <w:proofErr w:type="gramEnd"/>
      <w:r w:rsidRPr="000015F4">
        <w:rPr>
          <w:rFonts w:ascii="Calibri" w:hAnsi="Calibri" w:cs="Calibri"/>
          <w:i/>
          <w:iCs/>
          <w:color w:val="FF0000"/>
          <w:sz w:val="20"/>
          <w:szCs w:val="20"/>
        </w:rPr>
        <w:t xml:space="preserve"> příslušných případech – předčasného ukončení. Tyto informace zahrnují poplatky splatné v případě předčasného ukončení včetně informací o odblokování koncového zařízení. Informacemi nejsou dotčeny jiné důvody ukončení smlouvy stanovené unijním nebo vnitrostátním právem, například v případě nesouladu se smlouvou.</w:t>
      </w:r>
      <w:bookmarkStart w:id="1" w:name="_GoBack"/>
      <w:bookmarkEnd w:id="1"/>
    </w:p>
    <w:p w14:paraId="19DB1F83" w14:textId="5A28F343" w:rsidR="002715C1" w:rsidRPr="002E6992" w:rsidRDefault="002715C1"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 xml:space="preserve">Příklad: Smlouva se uzavírá na dobu 24 měsíců. Pokud uživatel poskytovateli nejpozději jeden měsíc přede dnem, kdy měla smlouva skončit, sdělí, že si nepřeje prodloužení smlouvy, skončí smlouva uplynutím </w:t>
      </w:r>
      <w:r w:rsidR="00E5051C">
        <w:rPr>
          <w:rFonts w:ascii="Calibri" w:hAnsi="Calibri" w:cs="Calibri"/>
          <w:i/>
          <w:iCs/>
          <w:color w:val="FF0000"/>
          <w:sz w:val="20"/>
          <w:szCs w:val="20"/>
        </w:rPr>
        <w:t>doby jejího trvání.</w:t>
      </w:r>
      <w:r w:rsidRPr="002E6992">
        <w:rPr>
          <w:rFonts w:ascii="Calibri" w:hAnsi="Calibri" w:cs="Calibri"/>
          <w:i/>
          <w:iCs/>
          <w:color w:val="FF0000"/>
          <w:sz w:val="20"/>
          <w:szCs w:val="20"/>
        </w:rPr>
        <w:t xml:space="preserve"> </w:t>
      </w:r>
      <w:r w:rsidR="00E5051C">
        <w:rPr>
          <w:rFonts w:ascii="Calibri" w:hAnsi="Calibri" w:cs="Calibri"/>
          <w:i/>
          <w:iCs/>
          <w:color w:val="FF0000"/>
          <w:sz w:val="20"/>
          <w:szCs w:val="20"/>
        </w:rPr>
        <w:t>V</w:t>
      </w:r>
      <w:r w:rsidRPr="002E6992">
        <w:rPr>
          <w:rFonts w:ascii="Calibri" w:hAnsi="Calibri" w:cs="Calibri"/>
          <w:i/>
          <w:iCs/>
          <w:color w:val="FF0000"/>
          <w:sz w:val="20"/>
          <w:szCs w:val="20"/>
        </w:rPr>
        <w:t xml:space="preserve"> opačném případě se smlouva prodlouží za týchž podmínek o tutéž dobu, na kterou byla uzavřena. Smlouva může být </w:t>
      </w:r>
      <w:r w:rsidR="00FC3955">
        <w:rPr>
          <w:rFonts w:ascii="Calibri" w:hAnsi="Calibri" w:cs="Calibri"/>
          <w:i/>
          <w:iCs/>
          <w:color w:val="FF0000"/>
          <w:sz w:val="20"/>
          <w:szCs w:val="20"/>
        </w:rPr>
        <w:t xml:space="preserve">kdykoliv </w:t>
      </w:r>
      <w:r w:rsidRPr="002E6992">
        <w:rPr>
          <w:rFonts w:ascii="Calibri" w:hAnsi="Calibri" w:cs="Calibri"/>
          <w:i/>
          <w:iCs/>
          <w:color w:val="FF0000"/>
          <w:sz w:val="20"/>
          <w:szCs w:val="20"/>
        </w:rPr>
        <w:t xml:space="preserve">předčasně </w:t>
      </w:r>
      <w:r w:rsidR="00FC3955" w:rsidRPr="002E6992">
        <w:rPr>
          <w:rFonts w:ascii="Calibri" w:hAnsi="Calibri" w:cs="Calibri"/>
          <w:i/>
          <w:iCs/>
          <w:color w:val="FF0000"/>
          <w:sz w:val="20"/>
          <w:szCs w:val="20"/>
        </w:rPr>
        <w:t xml:space="preserve">ukončena </w:t>
      </w:r>
      <w:r w:rsidRPr="002E6992">
        <w:rPr>
          <w:rFonts w:ascii="Calibri" w:hAnsi="Calibri" w:cs="Calibri"/>
          <w:i/>
          <w:iCs/>
          <w:color w:val="FF0000"/>
          <w:sz w:val="20"/>
          <w:szCs w:val="20"/>
        </w:rPr>
        <w:t xml:space="preserve">písemnou výpovědí uživatele s výpovědní dobou 30 dnů ode dne doručení výpovědi poskytovateli. Poskytovatel je </w:t>
      </w:r>
      <w:r w:rsidR="00FC3955" w:rsidRPr="002E6992">
        <w:rPr>
          <w:rFonts w:ascii="Calibri" w:hAnsi="Calibri" w:cs="Calibri"/>
          <w:i/>
          <w:iCs/>
          <w:color w:val="FF0000"/>
          <w:sz w:val="20"/>
          <w:szCs w:val="20"/>
        </w:rPr>
        <w:t xml:space="preserve">po prokazatelném </w:t>
      </w:r>
      <w:r w:rsidR="00FC3955">
        <w:rPr>
          <w:rFonts w:ascii="Calibri" w:hAnsi="Calibri" w:cs="Calibri"/>
          <w:i/>
          <w:iCs/>
          <w:color w:val="FF0000"/>
          <w:sz w:val="20"/>
          <w:szCs w:val="20"/>
        </w:rPr>
        <w:t xml:space="preserve">předchozím </w:t>
      </w:r>
      <w:r w:rsidR="00FC3955" w:rsidRPr="002E6992">
        <w:rPr>
          <w:rFonts w:ascii="Calibri" w:hAnsi="Calibri" w:cs="Calibri"/>
          <w:i/>
          <w:iCs/>
          <w:color w:val="FF0000"/>
          <w:sz w:val="20"/>
          <w:szCs w:val="20"/>
        </w:rPr>
        <w:t xml:space="preserve">upozornění </w:t>
      </w:r>
      <w:r w:rsidR="00FC3955">
        <w:rPr>
          <w:rFonts w:ascii="Calibri" w:hAnsi="Calibri" w:cs="Calibri"/>
          <w:i/>
          <w:iCs/>
          <w:color w:val="FF0000"/>
          <w:sz w:val="20"/>
          <w:szCs w:val="20"/>
        </w:rPr>
        <w:t xml:space="preserve">na možnost výpovědi ze strany poskytovatele </w:t>
      </w:r>
      <w:r w:rsidRPr="002E6992">
        <w:rPr>
          <w:rFonts w:ascii="Calibri" w:hAnsi="Calibri" w:cs="Calibri"/>
          <w:i/>
          <w:iCs/>
          <w:color w:val="FF0000"/>
          <w:sz w:val="20"/>
          <w:szCs w:val="20"/>
        </w:rPr>
        <w:t>oprávněn ukončit smlouvu výpovědí s výpovědní dobou 30 dnů v případech, kdy účastník úmyslně uvedl nesprávné osobní nebo identifikační údaje</w:t>
      </w:r>
      <w:r w:rsidR="00FC3955">
        <w:rPr>
          <w:rFonts w:ascii="Calibri" w:hAnsi="Calibri" w:cs="Calibri"/>
          <w:i/>
          <w:iCs/>
          <w:color w:val="FF0000"/>
          <w:sz w:val="20"/>
          <w:szCs w:val="20"/>
        </w:rPr>
        <w:t>.</w:t>
      </w:r>
    </w:p>
    <w:p w14:paraId="0654AF26" w14:textId="309D7E9A" w:rsidR="002715C1" w:rsidRPr="002E6992" w:rsidRDefault="00EE417F"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P</w:t>
      </w:r>
      <w:r>
        <w:rPr>
          <w:rFonts w:ascii="Calibri" w:hAnsi="Calibri" w:cs="Calibri"/>
          <w:i/>
          <w:iCs/>
          <w:color w:val="FF0000"/>
          <w:sz w:val="20"/>
          <w:szCs w:val="20"/>
        </w:rPr>
        <w:t>okračování p</w:t>
      </w:r>
      <w:r w:rsidRPr="002E6992">
        <w:rPr>
          <w:rFonts w:ascii="Calibri" w:hAnsi="Calibri" w:cs="Calibri"/>
          <w:i/>
          <w:iCs/>
          <w:color w:val="FF0000"/>
          <w:sz w:val="20"/>
          <w:szCs w:val="20"/>
        </w:rPr>
        <w:t>říklad</w:t>
      </w:r>
      <w:r>
        <w:rPr>
          <w:rFonts w:ascii="Calibri" w:hAnsi="Calibri" w:cs="Calibri"/>
          <w:i/>
          <w:iCs/>
          <w:color w:val="FF0000"/>
          <w:sz w:val="20"/>
          <w:szCs w:val="20"/>
        </w:rPr>
        <w:t>u</w:t>
      </w:r>
      <w:r w:rsidRPr="002E6992">
        <w:rPr>
          <w:rFonts w:ascii="Calibri" w:hAnsi="Calibri" w:cs="Calibri"/>
          <w:i/>
          <w:iCs/>
          <w:color w:val="FF0000"/>
          <w:sz w:val="20"/>
          <w:szCs w:val="20"/>
        </w:rPr>
        <w:t>:</w:t>
      </w:r>
      <w:r>
        <w:rPr>
          <w:rFonts w:ascii="Calibri" w:hAnsi="Calibri" w:cs="Calibri"/>
          <w:i/>
          <w:iCs/>
          <w:color w:val="FF0000"/>
          <w:sz w:val="20"/>
          <w:szCs w:val="20"/>
        </w:rPr>
        <w:t xml:space="preserve"> </w:t>
      </w:r>
      <w:r w:rsidR="002715C1" w:rsidRPr="002E6992">
        <w:rPr>
          <w:rFonts w:ascii="Calibri" w:hAnsi="Calibri" w:cs="Calibri"/>
          <w:i/>
          <w:iCs/>
          <w:color w:val="FF0000"/>
          <w:sz w:val="20"/>
          <w:szCs w:val="20"/>
        </w:rPr>
        <w:t>V případě zániku smlouvy výpověd</w:t>
      </w:r>
      <w:r w:rsidR="00FC3955">
        <w:rPr>
          <w:rFonts w:ascii="Calibri" w:hAnsi="Calibri" w:cs="Calibri"/>
          <w:i/>
          <w:iCs/>
          <w:color w:val="FF0000"/>
          <w:sz w:val="20"/>
          <w:szCs w:val="20"/>
        </w:rPr>
        <w:t>í</w:t>
      </w:r>
      <w:r w:rsidR="002715C1" w:rsidRPr="002E6992">
        <w:rPr>
          <w:rFonts w:ascii="Calibri" w:hAnsi="Calibri" w:cs="Calibri"/>
          <w:i/>
          <w:iCs/>
          <w:color w:val="FF0000"/>
          <w:sz w:val="20"/>
          <w:szCs w:val="20"/>
        </w:rPr>
        <w:t xml:space="preserve"> nebo dohodou stran před uplynutím doby</w:t>
      </w:r>
      <w:r w:rsidR="00FC3955">
        <w:rPr>
          <w:rFonts w:ascii="Calibri" w:hAnsi="Calibri" w:cs="Calibri"/>
          <w:i/>
          <w:iCs/>
          <w:color w:val="FF0000"/>
          <w:sz w:val="20"/>
          <w:szCs w:val="20"/>
        </w:rPr>
        <w:t xml:space="preserve"> jejího</w:t>
      </w:r>
      <w:r w:rsidR="002715C1" w:rsidRPr="002E6992">
        <w:rPr>
          <w:rFonts w:ascii="Calibri" w:hAnsi="Calibri" w:cs="Calibri"/>
          <w:i/>
          <w:iCs/>
          <w:color w:val="FF0000"/>
          <w:sz w:val="20"/>
          <w:szCs w:val="20"/>
        </w:rPr>
        <w:t xml:space="preserve"> trvání, vyjma případů vyjmenovaných v zákoně, je uživatel, který je spotřebitelem nebo koncovým uživatelem, který je podnikající fyzickou osobou, povinen, pokud smlouva skončí do 3 měsíců ode dne jejího uzavření, uhradit poskytovateli úhradu za předčasné ukončení smlouvy  ve výši jedné dvacetiny součtu měsíčních paušálů zbývajících do konce sjednané doby trvání smlouvy</w:t>
      </w:r>
      <w:r w:rsidR="00FC3955">
        <w:rPr>
          <w:rFonts w:ascii="Calibri" w:hAnsi="Calibri" w:cs="Calibri"/>
          <w:i/>
          <w:iCs/>
          <w:color w:val="FF0000"/>
          <w:sz w:val="20"/>
          <w:szCs w:val="20"/>
        </w:rPr>
        <w:t>,</w:t>
      </w:r>
      <w:r w:rsidR="002715C1" w:rsidRPr="002E6992">
        <w:rPr>
          <w:rFonts w:ascii="Calibri" w:hAnsi="Calibri" w:cs="Calibri"/>
          <w:i/>
          <w:iCs/>
          <w:color w:val="FF0000"/>
          <w:sz w:val="20"/>
          <w:szCs w:val="20"/>
        </w:rPr>
        <w:t xml:space="preserve"> výše úhrady se počítá z částky placené v průběhu trvání smlouvy, a pokud je poskytována sleva oproti ceníkové ceně, nelze určit výši úhrady z ceníkové ceny.</w:t>
      </w:r>
    </w:p>
    <w:p w14:paraId="124A7E18" w14:textId="0566DE32" w:rsidR="002715C1" w:rsidRPr="002E6992" w:rsidRDefault="00EE417F"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P</w:t>
      </w:r>
      <w:r>
        <w:rPr>
          <w:rFonts w:ascii="Calibri" w:hAnsi="Calibri" w:cs="Calibri"/>
          <w:i/>
          <w:iCs/>
          <w:color w:val="FF0000"/>
          <w:sz w:val="20"/>
          <w:szCs w:val="20"/>
        </w:rPr>
        <w:t>okračování p</w:t>
      </w:r>
      <w:r w:rsidRPr="002E6992">
        <w:rPr>
          <w:rFonts w:ascii="Calibri" w:hAnsi="Calibri" w:cs="Calibri"/>
          <w:i/>
          <w:iCs/>
          <w:color w:val="FF0000"/>
          <w:sz w:val="20"/>
          <w:szCs w:val="20"/>
        </w:rPr>
        <w:t>říklad</w:t>
      </w:r>
      <w:r>
        <w:rPr>
          <w:rFonts w:ascii="Calibri" w:hAnsi="Calibri" w:cs="Calibri"/>
          <w:i/>
          <w:iCs/>
          <w:color w:val="FF0000"/>
          <w:sz w:val="20"/>
          <w:szCs w:val="20"/>
        </w:rPr>
        <w:t>u</w:t>
      </w:r>
      <w:r w:rsidRPr="002E6992">
        <w:rPr>
          <w:rFonts w:ascii="Calibri" w:hAnsi="Calibri" w:cs="Calibri"/>
          <w:i/>
          <w:iCs/>
          <w:color w:val="FF0000"/>
          <w:sz w:val="20"/>
          <w:szCs w:val="20"/>
        </w:rPr>
        <w:t>:</w:t>
      </w:r>
      <w:r>
        <w:rPr>
          <w:rFonts w:ascii="Calibri" w:hAnsi="Calibri" w:cs="Calibri"/>
          <w:i/>
          <w:iCs/>
          <w:color w:val="FF0000"/>
          <w:sz w:val="20"/>
          <w:szCs w:val="20"/>
        </w:rPr>
        <w:t xml:space="preserve"> </w:t>
      </w:r>
      <w:r w:rsidR="002715C1" w:rsidRPr="002E6992">
        <w:rPr>
          <w:rFonts w:ascii="Calibri" w:hAnsi="Calibri" w:cs="Calibri"/>
          <w:i/>
          <w:iCs/>
          <w:color w:val="FF0000"/>
          <w:sz w:val="20"/>
          <w:szCs w:val="20"/>
        </w:rPr>
        <w:t>V případě, kdy má podle zákona účastník právo vypovědět závazek ze smlouvy o poskytování veřejně dostupné služby elektronických komunikací, jiné než interpersonální komunikační služby nezávislé na číslech, před koncem původně sjednaného období, neukládá se mu žádná úhrada, kromě úhrady za dotované koncové zařízení, pokud si ho ponechá. V takovém případě výše úhrady nesmí překročit poměrnou část hodnoty tohoto zařízení dohodnutou v okamžiku uzavření smlouvy, nebo části ceny za služby, kterou zbývá uhradit do zániku závazku ze smlouvy, podle toho, která z těchto 2 částek je nižší. Bylo-li omezeno využívání dotovaného koncového zařízení v jiných sítích, poskytovatel toto omezení bezplatně odstraní nejpozději v okamžiku zaplacení úhrady. Tím nejsou dotčeny jiné důvody ukončení smlouvy stanovené unijním nebo vnitrostátním právem.</w:t>
      </w:r>
    </w:p>
    <w:p w14:paraId="58747E6D" w14:textId="6A74B6D3" w:rsidR="00242176" w:rsidRPr="002E6992" w:rsidRDefault="00242176" w:rsidP="00E5051C">
      <w:pPr>
        <w:spacing w:before="200"/>
        <w:jc w:val="both"/>
        <w:rPr>
          <w:rFonts w:ascii="Calibri" w:hAnsi="Calibri" w:cs="Calibri"/>
          <w:b/>
          <w:bCs/>
          <w:caps/>
          <w:sz w:val="20"/>
          <w:szCs w:val="20"/>
        </w:rPr>
      </w:pPr>
      <w:r w:rsidRPr="002E6992">
        <w:rPr>
          <w:rFonts w:ascii="Calibri" w:hAnsi="Calibri" w:cs="Calibri"/>
          <w:b/>
          <w:bCs/>
          <w:caps/>
          <w:sz w:val="20"/>
          <w:szCs w:val="20"/>
        </w:rPr>
        <w:t>Funkce pro koncové uživatele se zdravotním postižením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335DC" w:rsidRPr="002E6992" w14:paraId="0696688C" w14:textId="77777777" w:rsidTr="00F00743">
        <w:trPr>
          <w:trHeight w:val="73"/>
        </w:trPr>
        <w:tc>
          <w:tcPr>
            <w:tcW w:w="9072" w:type="dxa"/>
            <w:tcBorders>
              <w:top w:val="dashed" w:sz="2" w:space="0" w:color="auto"/>
              <w:left w:val="dashed" w:sz="2" w:space="0" w:color="auto"/>
              <w:bottom w:val="dashed" w:sz="2" w:space="0" w:color="auto"/>
              <w:right w:val="dashed" w:sz="2" w:space="0" w:color="auto"/>
            </w:tcBorders>
            <w:vAlign w:val="center"/>
          </w:tcPr>
          <w:p w14:paraId="68D32098" w14:textId="77DC283A" w:rsidR="005335DC" w:rsidRPr="002E6992" w:rsidRDefault="005335DC" w:rsidP="005335DC">
            <w:pPr>
              <w:spacing w:before="60" w:after="60" w:line="300" w:lineRule="auto"/>
              <w:rPr>
                <w:rFonts w:ascii="Calibri" w:hAnsi="Calibri" w:cs="Calibri"/>
                <w:sz w:val="20"/>
                <w:szCs w:val="20"/>
                <w:highlight w:val="yellow"/>
              </w:rPr>
            </w:pPr>
            <w:r w:rsidRPr="002E6992">
              <w:rPr>
                <w:rFonts w:ascii="Calibri" w:hAnsi="Calibri" w:cs="Calibri"/>
                <w:sz w:val="20"/>
                <w:szCs w:val="20"/>
                <w:highlight w:val="yellow"/>
              </w:rPr>
              <w:t>[uveďte informace o hlavních produktech a službách pro koncové uživatele se zdravotním postižením]</w:t>
            </w:r>
          </w:p>
        </w:tc>
      </w:tr>
    </w:tbl>
    <w:p w14:paraId="38366A78" w14:textId="77777777" w:rsidR="005335DC" w:rsidRPr="002E6992" w:rsidRDefault="005335DC"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lastRenderedPageBreak/>
        <w:t>Zahrnuty by měly být, pokud jsou k dispozici, alespoň text v reálném čase, úplná konverzace, přenosové služby, přístupné tísňové komunikace, specializovaná zařízení, zvláštní sazby a přístupné informace. V příslušných případech lze uvést, že podrobnosti jsou k dispozici samostatně.</w:t>
      </w:r>
    </w:p>
    <w:p w14:paraId="2E3D66FF" w14:textId="08D0FA4B" w:rsidR="002715C1" w:rsidRPr="002E6992" w:rsidRDefault="002715C1"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Příklad: Speciální linka pro neslyšící je k dispozici (v čase), kdy volání se spojí do textového hovoru, který je převeden do psané podoby. Pro nevidomé poskytovatel jeho veškeré požadavky vyřídí telefonicky na bezplatné lince. Podrobnosti jsou k dispozici v Podmínkách pro uživatele se zdravotním postižením.</w:t>
      </w:r>
    </w:p>
    <w:p w14:paraId="4398740B" w14:textId="715638F7" w:rsidR="00242176" w:rsidRPr="002E6992" w:rsidRDefault="00242176" w:rsidP="00E5051C">
      <w:pPr>
        <w:spacing w:before="200"/>
        <w:jc w:val="both"/>
        <w:rPr>
          <w:rFonts w:ascii="Calibri" w:hAnsi="Calibri" w:cs="Calibri"/>
          <w:b/>
          <w:bCs/>
          <w:caps/>
          <w:sz w:val="20"/>
          <w:szCs w:val="20"/>
        </w:rPr>
      </w:pPr>
      <w:r w:rsidRPr="002E6992">
        <w:rPr>
          <w:rFonts w:ascii="Calibri" w:hAnsi="Calibri" w:cs="Calibri"/>
          <w:b/>
          <w:bCs/>
          <w:caps/>
          <w:sz w:val="20"/>
          <w:szCs w:val="20"/>
        </w:rPr>
        <w:t>Další důležité informace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335DC" w:rsidRPr="002E6992" w14:paraId="0E86C4B2" w14:textId="77777777" w:rsidTr="00F00743">
        <w:trPr>
          <w:trHeight w:val="73"/>
        </w:trPr>
        <w:tc>
          <w:tcPr>
            <w:tcW w:w="9072" w:type="dxa"/>
            <w:tcBorders>
              <w:top w:val="dashed" w:sz="2" w:space="0" w:color="auto"/>
              <w:left w:val="dashed" w:sz="2" w:space="0" w:color="auto"/>
              <w:bottom w:val="dashed" w:sz="2" w:space="0" w:color="auto"/>
              <w:right w:val="dashed" w:sz="2" w:space="0" w:color="auto"/>
            </w:tcBorders>
            <w:vAlign w:val="center"/>
          </w:tcPr>
          <w:p w14:paraId="63855E7D" w14:textId="0613E5E5" w:rsidR="005335DC" w:rsidRPr="002E6992" w:rsidRDefault="005335DC" w:rsidP="00886DAC">
            <w:pPr>
              <w:spacing w:before="60" w:after="60" w:line="300" w:lineRule="auto"/>
              <w:rPr>
                <w:rFonts w:ascii="Calibri" w:hAnsi="Calibri" w:cs="Calibri"/>
                <w:sz w:val="20"/>
                <w:szCs w:val="20"/>
                <w:highlight w:val="green"/>
              </w:rPr>
            </w:pPr>
            <w:r w:rsidRPr="002E6992">
              <w:rPr>
                <w:rFonts w:ascii="Calibri" w:hAnsi="Calibri" w:cs="Calibri"/>
                <w:sz w:val="20"/>
                <w:szCs w:val="20"/>
                <w:highlight w:val="green"/>
              </w:rPr>
              <w:t>[uveďte další důležité informace]</w:t>
            </w:r>
          </w:p>
        </w:tc>
      </w:tr>
    </w:tbl>
    <w:p w14:paraId="3C7155C0" w14:textId="2C8EDB8D" w:rsidR="00B735CF" w:rsidRPr="002E6992" w:rsidRDefault="000C0775" w:rsidP="004D191C">
      <w:pPr>
        <w:spacing w:before="200" w:after="200"/>
        <w:jc w:val="both"/>
        <w:rPr>
          <w:rFonts w:ascii="Calibri" w:hAnsi="Calibri" w:cs="Calibri"/>
          <w:i/>
          <w:iCs/>
          <w:color w:val="FF0000"/>
          <w:sz w:val="20"/>
          <w:szCs w:val="20"/>
        </w:rPr>
      </w:pPr>
      <w:r w:rsidRPr="002E6992">
        <w:rPr>
          <w:rFonts w:ascii="Calibri" w:hAnsi="Calibri" w:cs="Calibri"/>
          <w:i/>
          <w:iCs/>
          <w:color w:val="FF0000"/>
          <w:sz w:val="20"/>
          <w:szCs w:val="20"/>
        </w:rPr>
        <w:t>Uvedeny by měly být j</w:t>
      </w:r>
      <w:r w:rsidR="0018327C" w:rsidRPr="002E6992">
        <w:rPr>
          <w:rFonts w:ascii="Calibri" w:hAnsi="Calibri" w:cs="Calibri"/>
          <w:i/>
          <w:iCs/>
          <w:color w:val="FF0000"/>
          <w:sz w:val="20"/>
          <w:szCs w:val="20"/>
        </w:rPr>
        <w:t>akékoli další informace, jež musí být podle unijního nebo vnitrostátního práva poskytnuty předtím, než spotřebitel začne být vázán smlouvou nebo jakoukoli odpovídající nabídkou.</w:t>
      </w:r>
      <w:r w:rsidRPr="002E6992">
        <w:rPr>
          <w:rFonts w:ascii="Calibri" w:hAnsi="Calibri" w:cs="Calibri"/>
          <w:i/>
          <w:iCs/>
          <w:color w:val="FF0000"/>
          <w:sz w:val="20"/>
          <w:szCs w:val="20"/>
        </w:rPr>
        <w:t xml:space="preserve"> </w:t>
      </w:r>
      <w:r w:rsidR="00B735CF" w:rsidRPr="002E6992">
        <w:rPr>
          <w:rFonts w:ascii="Calibri" w:hAnsi="Calibri" w:cs="Calibri"/>
          <w:i/>
          <w:iCs/>
          <w:color w:val="FF0000"/>
          <w:sz w:val="20"/>
          <w:szCs w:val="20"/>
        </w:rPr>
        <w:t>Nejsou-li poskytnuty žádné další informace, oddíl „Další důležité informace“ se odstraní nebo se uvede, že se dané smlouvy netýká.</w:t>
      </w:r>
    </w:p>
    <w:p w14:paraId="178EC6DC" w14:textId="77777777" w:rsidR="00250BBB" w:rsidRDefault="00250BBB">
      <w:pPr>
        <w:rPr>
          <w:rFonts w:ascii="Calibri" w:hAnsi="Calibri" w:cs="Calibri"/>
          <w:sz w:val="20"/>
          <w:szCs w:val="20"/>
          <w:highlight w:val="yellow"/>
        </w:rPr>
        <w:sectPr w:rsidR="00250BBB" w:rsidSect="000C0775">
          <w:headerReference w:type="default" r:id="rId11"/>
          <w:pgSz w:w="11910" w:h="16840"/>
          <w:pgMar w:top="1417" w:right="1417" w:bottom="1417" w:left="1417" w:header="708" w:footer="708" w:gutter="0"/>
          <w:cols w:space="708"/>
          <w:noEndnote/>
          <w:docGrid w:linePitch="326"/>
        </w:sectPr>
      </w:pP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3119"/>
        <w:gridCol w:w="6517"/>
      </w:tblGrid>
      <w:tr w:rsidR="004A0DBC" w:rsidRPr="00603CCE" w14:paraId="367FE22B" w14:textId="77777777" w:rsidTr="009D2873">
        <w:trPr>
          <w:trHeight w:val="73"/>
        </w:trPr>
        <w:tc>
          <w:tcPr>
            <w:tcW w:w="3119" w:type="dxa"/>
            <w:vAlign w:val="center"/>
          </w:tcPr>
          <w:p w14:paraId="6A9D946A" w14:textId="77777777" w:rsidR="004A0DBC" w:rsidRPr="00603CCE" w:rsidRDefault="004A0DBC" w:rsidP="00077F9C">
            <w:pPr>
              <w:spacing w:after="60"/>
              <w:rPr>
                <w:b/>
                <w:bCs/>
                <w:sz w:val="20"/>
                <w:szCs w:val="20"/>
              </w:rPr>
            </w:pPr>
            <w:r>
              <w:rPr>
                <w:b/>
                <w:bCs/>
                <w:sz w:val="20"/>
                <w:szCs w:val="20"/>
              </w:rPr>
              <w:lastRenderedPageBreak/>
              <w:t xml:space="preserve">Služba internet 300 </w:t>
            </w:r>
          </w:p>
        </w:tc>
        <w:tc>
          <w:tcPr>
            <w:tcW w:w="6517" w:type="dxa"/>
            <w:vMerge w:val="restart"/>
            <w:vAlign w:val="center"/>
          </w:tcPr>
          <w:p w14:paraId="420CA1EB" w14:textId="77777777" w:rsidR="004A0DBC" w:rsidRPr="00603CCE" w:rsidRDefault="004A0DBC" w:rsidP="00077F9C">
            <w:pPr>
              <w:spacing w:after="60"/>
              <w:jc w:val="right"/>
              <w:rPr>
                <w:b/>
                <w:bCs/>
                <w:sz w:val="20"/>
                <w:szCs w:val="20"/>
              </w:rPr>
            </w:pPr>
            <w:r>
              <w:rPr>
                <w:b/>
                <w:bCs/>
                <w:noProof/>
                <w:sz w:val="20"/>
                <w:szCs w:val="20"/>
              </w:rPr>
              <w:drawing>
                <wp:inline distT="0" distB="0" distL="0" distR="0" wp14:anchorId="30799727" wp14:editId="286E1BE3">
                  <wp:extent cx="252000" cy="252000"/>
                  <wp:effectExtent l="0" t="0" r="0" b="0"/>
                  <wp:docPr id="3" name="Grafický objekt 3" descr="Bezdrátové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descr="Bezdrátové se souvislou výplní"/>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52000"/>
                          </a:xfrm>
                          <a:prstGeom prst="rect">
                            <a:avLst/>
                          </a:prstGeom>
                        </pic:spPr>
                      </pic:pic>
                    </a:graphicData>
                  </a:graphic>
                </wp:inline>
              </w:drawing>
            </w:r>
            <w:r>
              <w:rPr>
                <w:b/>
                <w:bCs/>
                <w:noProof/>
                <w:sz w:val="20"/>
                <w:szCs w:val="20"/>
              </w:rPr>
              <w:drawing>
                <wp:inline distT="0" distB="0" distL="0" distR="0" wp14:anchorId="34B1F1D7" wp14:editId="2D1A0305">
                  <wp:extent cx="252000" cy="252000"/>
                  <wp:effectExtent l="0" t="0" r="0" b="2540"/>
                  <wp:docPr id="2" name="Grafický objekt 2" descr="Budova ob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Budova obrys"/>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2000" cy="252000"/>
                          </a:xfrm>
                          <a:prstGeom prst="rect">
                            <a:avLst/>
                          </a:prstGeom>
                        </pic:spPr>
                      </pic:pic>
                    </a:graphicData>
                  </a:graphic>
                </wp:inline>
              </w:drawing>
            </w:r>
          </w:p>
          <w:p w14:paraId="3A53A8CF" w14:textId="55A20945" w:rsidR="004A0DBC" w:rsidRPr="00603CCE" w:rsidRDefault="009D2873" w:rsidP="009D2873">
            <w:pPr>
              <w:spacing w:before="60" w:after="60"/>
              <w:rPr>
                <w:b/>
                <w:bCs/>
                <w:sz w:val="20"/>
                <w:szCs w:val="20"/>
              </w:rPr>
            </w:pPr>
            <w:r>
              <w:rPr>
                <w:b/>
                <w:bCs/>
                <w:sz w:val="20"/>
                <w:szCs w:val="20"/>
              </w:rPr>
              <w:t xml:space="preserve">        </w:t>
            </w:r>
            <w:r w:rsidR="004A0DBC" w:rsidRPr="00603CCE">
              <w:rPr>
                <w:b/>
                <w:bCs/>
                <w:sz w:val="20"/>
                <w:szCs w:val="20"/>
              </w:rPr>
              <w:t>Internetová společnost s.r.o.</w:t>
            </w:r>
            <w:r>
              <w:rPr>
                <w:b/>
                <w:bCs/>
                <w:sz w:val="20"/>
                <w:szCs w:val="20"/>
              </w:rPr>
              <w:t>, Purkyňova 648/125, 612 00 Brno</w:t>
            </w:r>
          </w:p>
        </w:tc>
      </w:tr>
      <w:tr w:rsidR="004A0DBC" w:rsidRPr="00603CCE" w14:paraId="620A319D" w14:textId="77777777" w:rsidTr="009D2873">
        <w:trPr>
          <w:trHeight w:val="73"/>
        </w:trPr>
        <w:tc>
          <w:tcPr>
            <w:tcW w:w="3119" w:type="dxa"/>
            <w:vAlign w:val="center"/>
          </w:tcPr>
          <w:p w14:paraId="631464B6" w14:textId="77777777" w:rsidR="004A0DBC" w:rsidRPr="00603CCE" w:rsidRDefault="004A0DBC" w:rsidP="00077F9C">
            <w:pPr>
              <w:spacing w:before="60" w:after="60"/>
              <w:rPr>
                <w:b/>
                <w:bCs/>
                <w:sz w:val="20"/>
                <w:szCs w:val="20"/>
              </w:rPr>
            </w:pPr>
            <w:r>
              <w:rPr>
                <w:sz w:val="20"/>
                <w:szCs w:val="20"/>
              </w:rPr>
              <w:t xml:space="preserve">Datum vystavení shrnutí: </w:t>
            </w:r>
            <w:r w:rsidRPr="00603CCE">
              <w:rPr>
                <w:sz w:val="20"/>
                <w:szCs w:val="20"/>
              </w:rPr>
              <w:t>15.3.2022</w:t>
            </w:r>
          </w:p>
        </w:tc>
        <w:tc>
          <w:tcPr>
            <w:tcW w:w="6517" w:type="dxa"/>
            <w:vMerge/>
            <w:vAlign w:val="center"/>
          </w:tcPr>
          <w:p w14:paraId="206872D6" w14:textId="2D9B8366" w:rsidR="004A0DBC" w:rsidRPr="00603CCE" w:rsidRDefault="004A0DBC" w:rsidP="00077F9C">
            <w:pPr>
              <w:spacing w:before="60" w:after="60"/>
              <w:jc w:val="right"/>
              <w:rPr>
                <w:b/>
                <w:bCs/>
                <w:sz w:val="20"/>
                <w:szCs w:val="20"/>
              </w:rPr>
            </w:pPr>
          </w:p>
        </w:tc>
      </w:tr>
      <w:tr w:rsidR="00250BBB" w:rsidRPr="00603CCE" w14:paraId="0FDF29A9" w14:textId="77777777" w:rsidTr="009D2873">
        <w:trPr>
          <w:trHeight w:val="73"/>
        </w:trPr>
        <w:tc>
          <w:tcPr>
            <w:tcW w:w="3119" w:type="dxa"/>
            <w:vAlign w:val="center"/>
          </w:tcPr>
          <w:p w14:paraId="5ABF4F39" w14:textId="77777777" w:rsidR="00250BBB" w:rsidRPr="00603CCE" w:rsidRDefault="00250BBB" w:rsidP="00077F9C">
            <w:pPr>
              <w:spacing w:before="40" w:after="40"/>
              <w:rPr>
                <w:sz w:val="20"/>
                <w:szCs w:val="20"/>
              </w:rPr>
            </w:pPr>
          </w:p>
        </w:tc>
        <w:tc>
          <w:tcPr>
            <w:tcW w:w="6517" w:type="dxa"/>
            <w:vAlign w:val="center"/>
          </w:tcPr>
          <w:p w14:paraId="784F28DA" w14:textId="77777777" w:rsidR="00250BBB" w:rsidRPr="00603CCE" w:rsidRDefault="00250BBB" w:rsidP="00077F9C">
            <w:pPr>
              <w:spacing w:before="40" w:after="40"/>
              <w:jc w:val="right"/>
              <w:rPr>
                <w:sz w:val="20"/>
                <w:szCs w:val="20"/>
              </w:rPr>
            </w:pPr>
            <w:r w:rsidRPr="00603CCE">
              <w:rPr>
                <w:sz w:val="20"/>
                <w:szCs w:val="20"/>
              </w:rPr>
              <w:t>IČO: 123 45</w:t>
            </w:r>
            <w:r>
              <w:rPr>
                <w:sz w:val="20"/>
                <w:szCs w:val="20"/>
              </w:rPr>
              <w:t> </w:t>
            </w:r>
            <w:r w:rsidRPr="00603CCE">
              <w:rPr>
                <w:sz w:val="20"/>
                <w:szCs w:val="20"/>
              </w:rPr>
              <w:t>678</w:t>
            </w:r>
            <w:r>
              <w:rPr>
                <w:sz w:val="20"/>
                <w:szCs w:val="20"/>
              </w:rPr>
              <w:t>, zapsaná do OR u KS v Brně, oddíl C, vložka 32123</w:t>
            </w:r>
          </w:p>
        </w:tc>
      </w:tr>
      <w:tr w:rsidR="00F94603" w:rsidRPr="00603CCE" w14:paraId="6C489C1F" w14:textId="77777777" w:rsidTr="009D2873">
        <w:trPr>
          <w:trHeight w:val="75"/>
        </w:trPr>
        <w:tc>
          <w:tcPr>
            <w:tcW w:w="9636" w:type="dxa"/>
            <w:gridSpan w:val="2"/>
            <w:vAlign w:val="center"/>
          </w:tcPr>
          <w:p w14:paraId="6C61500B" w14:textId="056D7F20" w:rsidR="00F94603" w:rsidRPr="00603CCE" w:rsidRDefault="00886DAC" w:rsidP="00077F9C">
            <w:pPr>
              <w:spacing w:before="40" w:after="40"/>
              <w:jc w:val="right"/>
              <w:rPr>
                <w:sz w:val="20"/>
                <w:szCs w:val="20"/>
              </w:rPr>
            </w:pPr>
            <w:hyperlink r:id="rId16" w:history="1">
              <w:r w:rsidR="00F94603" w:rsidRPr="00CB72B9">
                <w:rPr>
                  <w:rStyle w:val="Hypertextovodkaz"/>
                  <w:sz w:val="20"/>
                  <w:szCs w:val="20"/>
                </w:rPr>
                <w:t>internet@spolecnost.cz</w:t>
              </w:r>
            </w:hyperlink>
            <w:r w:rsidR="00F94603">
              <w:rPr>
                <w:sz w:val="20"/>
                <w:szCs w:val="20"/>
              </w:rPr>
              <w:t>, t</w:t>
            </w:r>
            <w:r w:rsidR="00F94603" w:rsidRPr="00603CCE">
              <w:rPr>
                <w:sz w:val="20"/>
                <w:szCs w:val="20"/>
              </w:rPr>
              <w:t xml:space="preserve">el. </w:t>
            </w:r>
            <w:r w:rsidR="00F94603">
              <w:rPr>
                <w:sz w:val="20"/>
                <w:szCs w:val="20"/>
              </w:rPr>
              <w:t xml:space="preserve">+420 909 909 909, </w:t>
            </w:r>
            <w:hyperlink r:id="rId17" w:history="1">
              <w:r w:rsidR="00F94603" w:rsidRPr="00CB72B9">
                <w:rPr>
                  <w:rStyle w:val="Hypertextovodkaz"/>
                  <w:sz w:val="20"/>
                  <w:szCs w:val="20"/>
                </w:rPr>
                <w:t>www.internetovaspolecnost.cz</w:t>
              </w:r>
            </w:hyperlink>
          </w:p>
        </w:tc>
      </w:tr>
    </w:tbl>
    <w:p w14:paraId="5FCD8904" w14:textId="77777777" w:rsidR="00250BBB" w:rsidRPr="0018327C" w:rsidRDefault="00250BBB" w:rsidP="00077F9C">
      <w:pPr>
        <w:spacing w:before="140"/>
        <w:jc w:val="center"/>
        <w:rPr>
          <w:rFonts w:cs="Times New Roman (Základní text"/>
          <w:b/>
          <w:bCs/>
          <w:caps/>
          <w:sz w:val="20"/>
          <w:szCs w:val="20"/>
        </w:rPr>
      </w:pPr>
      <w:r w:rsidRPr="00603CCE">
        <w:rPr>
          <w:rFonts w:cs="Times New Roman (Základní text"/>
          <w:b/>
          <w:bCs/>
          <w:caps/>
          <w:sz w:val="20"/>
          <w:szCs w:val="20"/>
        </w:rPr>
        <w:t>Shrnutí smlouvy</w:t>
      </w:r>
    </w:p>
    <w:p w14:paraId="6B0E4A59" w14:textId="0B85A47B" w:rsidR="00250BBB" w:rsidRPr="0018327C" w:rsidRDefault="00250BBB" w:rsidP="00F535D9">
      <w:pPr>
        <w:pStyle w:val="Odstavecseseznamem"/>
        <w:numPr>
          <w:ilvl w:val="0"/>
          <w:numId w:val="2"/>
        </w:numPr>
        <w:spacing w:after="200"/>
        <w:ind w:left="284" w:hanging="284"/>
        <w:jc w:val="both"/>
        <w:rPr>
          <w:sz w:val="20"/>
          <w:szCs w:val="20"/>
        </w:rPr>
      </w:pPr>
      <w:r w:rsidRPr="0018327C">
        <w:rPr>
          <w:sz w:val="20"/>
          <w:szCs w:val="20"/>
        </w:rPr>
        <w:t>Toto shrnutí smlouvy uvádí hlavní prvky této nabídky služeb, jak vyžadují právní předpisy EU.</w:t>
      </w:r>
      <w:r w:rsidR="00A41F21">
        <w:rPr>
          <w:rStyle w:val="Znakapoznpodarou"/>
          <w:sz w:val="20"/>
          <w:szCs w:val="20"/>
        </w:rPr>
        <w:footnoteReference w:id="2"/>
      </w:r>
    </w:p>
    <w:p w14:paraId="1E4727C1" w14:textId="77777777" w:rsidR="00250BBB" w:rsidRPr="0018327C" w:rsidRDefault="00250BBB" w:rsidP="00F535D9">
      <w:pPr>
        <w:pStyle w:val="Odstavecseseznamem"/>
        <w:numPr>
          <w:ilvl w:val="0"/>
          <w:numId w:val="2"/>
        </w:numPr>
        <w:spacing w:after="200"/>
        <w:ind w:left="284" w:hanging="284"/>
        <w:jc w:val="both"/>
        <w:rPr>
          <w:sz w:val="20"/>
          <w:szCs w:val="20"/>
        </w:rPr>
      </w:pPr>
      <w:r w:rsidRPr="0018327C">
        <w:rPr>
          <w:sz w:val="20"/>
          <w:szCs w:val="20"/>
        </w:rPr>
        <w:t xml:space="preserve">Pomáhá porovnat různé nabídky služeb. </w:t>
      </w:r>
    </w:p>
    <w:p w14:paraId="2ACCCE7D" w14:textId="77777777" w:rsidR="00250BBB" w:rsidRPr="0018327C" w:rsidRDefault="00250BBB" w:rsidP="00077F9C">
      <w:pPr>
        <w:pStyle w:val="Odstavecseseznamem"/>
        <w:numPr>
          <w:ilvl w:val="0"/>
          <w:numId w:val="2"/>
        </w:numPr>
        <w:ind w:left="284" w:hanging="284"/>
        <w:contextualSpacing w:val="0"/>
        <w:jc w:val="both"/>
        <w:rPr>
          <w:sz w:val="20"/>
          <w:szCs w:val="20"/>
        </w:rPr>
      </w:pPr>
      <w:r w:rsidRPr="0018327C">
        <w:rPr>
          <w:sz w:val="20"/>
          <w:szCs w:val="20"/>
        </w:rPr>
        <w:t>Úplné informace o dané službě jsou obsaženy v jiných dokumentech.</w:t>
      </w:r>
    </w:p>
    <w:p w14:paraId="0E1A4DCE" w14:textId="77777777" w:rsidR="00250BBB" w:rsidRPr="005A4A80" w:rsidRDefault="00250BBB" w:rsidP="00077F9C">
      <w:pPr>
        <w:spacing w:before="140"/>
        <w:jc w:val="both"/>
        <w:rPr>
          <w:rStyle w:val="italic"/>
          <w:rFonts w:ascii="Calibri" w:hAnsi="Calibri" w:cs="Calibri"/>
          <w:b/>
          <w:bCs/>
          <w:caps/>
          <w:sz w:val="20"/>
          <w:szCs w:val="20"/>
        </w:rPr>
      </w:pPr>
      <w:r w:rsidRPr="00FD3CC1">
        <w:rPr>
          <w:rFonts w:ascii="Calibri" w:hAnsi="Calibri" w:cs="Calibri"/>
          <w:b/>
          <w:bCs/>
          <w:caps/>
          <w:sz w:val="20"/>
          <w:szCs w:val="20"/>
        </w:rPr>
        <w:t>služby a zařízení</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636"/>
      </w:tblGrid>
      <w:tr w:rsidR="00250BBB" w:rsidRPr="002E6992" w14:paraId="1614342A" w14:textId="77777777" w:rsidTr="009D2873">
        <w:trPr>
          <w:trHeight w:val="73"/>
        </w:trPr>
        <w:tc>
          <w:tcPr>
            <w:tcW w:w="9636" w:type="dxa"/>
            <w:vAlign w:val="center"/>
          </w:tcPr>
          <w:p w14:paraId="64687317" w14:textId="70CD416A" w:rsidR="00250BBB" w:rsidRPr="005C1967" w:rsidRDefault="00250BBB" w:rsidP="009D2873">
            <w:pPr>
              <w:pStyle w:val="Odstavecseseznamem"/>
              <w:numPr>
                <w:ilvl w:val="0"/>
                <w:numId w:val="20"/>
              </w:numPr>
              <w:spacing w:before="60" w:after="60"/>
              <w:ind w:left="313" w:hanging="313"/>
              <w:rPr>
                <w:rFonts w:ascii="Calibri" w:hAnsi="Calibri" w:cs="Calibri"/>
                <w:sz w:val="20"/>
                <w:szCs w:val="20"/>
              </w:rPr>
            </w:pPr>
            <w:r w:rsidRPr="005A4A80">
              <w:rPr>
                <w:rFonts w:ascii="Calibri" w:hAnsi="Calibri" w:cs="Calibri"/>
                <w:sz w:val="20"/>
                <w:szCs w:val="20"/>
              </w:rPr>
              <w:t xml:space="preserve">Služba přístupu k internetu v pevném místě s názvem Internet </w:t>
            </w:r>
            <w:r>
              <w:rPr>
                <w:rFonts w:ascii="Calibri" w:hAnsi="Calibri" w:cs="Calibri"/>
                <w:sz w:val="20"/>
                <w:szCs w:val="20"/>
              </w:rPr>
              <w:t>300</w:t>
            </w:r>
            <w:r w:rsidR="009D2873">
              <w:rPr>
                <w:rFonts w:ascii="Calibri" w:hAnsi="Calibri" w:cs="Calibri"/>
                <w:sz w:val="20"/>
                <w:szCs w:val="20"/>
              </w:rPr>
              <w:t xml:space="preserve"> - </w:t>
            </w:r>
            <w:r w:rsidRPr="009D2873">
              <w:rPr>
                <w:rFonts w:ascii="Calibri" w:hAnsi="Calibri" w:cs="Calibri"/>
                <w:sz w:val="20"/>
                <w:szCs w:val="20"/>
              </w:rPr>
              <w:t>Neomezená data</w:t>
            </w:r>
          </w:p>
        </w:tc>
      </w:tr>
      <w:tr w:rsidR="00250BBB" w:rsidRPr="002E6992" w14:paraId="4E2342E0" w14:textId="77777777" w:rsidTr="009D2873">
        <w:trPr>
          <w:trHeight w:val="73"/>
        </w:trPr>
        <w:tc>
          <w:tcPr>
            <w:tcW w:w="9636" w:type="dxa"/>
            <w:vAlign w:val="center"/>
          </w:tcPr>
          <w:p w14:paraId="48F084CB" w14:textId="73193DB2" w:rsidR="00250BBB" w:rsidRPr="009D2873" w:rsidRDefault="00250BBB" w:rsidP="009D2873">
            <w:pPr>
              <w:pStyle w:val="Odstavecseseznamem"/>
              <w:numPr>
                <w:ilvl w:val="0"/>
                <w:numId w:val="20"/>
              </w:numPr>
              <w:spacing w:before="60" w:after="60"/>
              <w:ind w:left="284" w:hanging="284"/>
              <w:rPr>
                <w:rFonts w:ascii="Calibri" w:hAnsi="Calibri" w:cs="Calibri"/>
                <w:sz w:val="20"/>
                <w:szCs w:val="20"/>
              </w:rPr>
            </w:pPr>
            <w:r>
              <w:rPr>
                <w:rFonts w:ascii="Calibri" w:hAnsi="Calibri" w:cs="Calibri"/>
                <w:sz w:val="20"/>
                <w:szCs w:val="20"/>
              </w:rPr>
              <w:t xml:space="preserve">Modem </w:t>
            </w:r>
            <w:proofErr w:type="spellStart"/>
            <w:r>
              <w:rPr>
                <w:rFonts w:ascii="Calibri" w:hAnsi="Calibri" w:cs="Calibri"/>
                <w:sz w:val="20"/>
                <w:szCs w:val="20"/>
              </w:rPr>
              <w:t>Compal</w:t>
            </w:r>
            <w:proofErr w:type="spellEnd"/>
            <w:r>
              <w:rPr>
                <w:rFonts w:ascii="Calibri" w:hAnsi="Calibri" w:cs="Calibri"/>
                <w:sz w:val="20"/>
                <w:szCs w:val="20"/>
              </w:rPr>
              <w:t xml:space="preserve"> CH7165VF</w:t>
            </w:r>
            <w:r w:rsidR="009D2873">
              <w:rPr>
                <w:rFonts w:ascii="Calibri" w:hAnsi="Calibri" w:cs="Calibri"/>
                <w:sz w:val="20"/>
                <w:szCs w:val="20"/>
              </w:rPr>
              <w:t xml:space="preserve"> </w:t>
            </w:r>
            <w:proofErr w:type="gramStart"/>
            <w:r w:rsidR="009D2873">
              <w:rPr>
                <w:rFonts w:ascii="Calibri" w:hAnsi="Calibri" w:cs="Calibri"/>
                <w:sz w:val="20"/>
                <w:szCs w:val="20"/>
              </w:rPr>
              <w:t xml:space="preserve">–  </w:t>
            </w:r>
            <w:r w:rsidRPr="009D2873">
              <w:rPr>
                <w:rFonts w:ascii="Calibri" w:hAnsi="Calibri" w:cs="Calibri"/>
                <w:sz w:val="20"/>
                <w:szCs w:val="20"/>
              </w:rPr>
              <w:t>4</w:t>
            </w:r>
            <w:proofErr w:type="gramEnd"/>
            <w:r w:rsidRPr="009D2873">
              <w:rPr>
                <w:rFonts w:ascii="Calibri" w:hAnsi="Calibri" w:cs="Calibri"/>
                <w:sz w:val="20"/>
                <w:szCs w:val="20"/>
              </w:rPr>
              <w:t xml:space="preserve"> síťové porty</w:t>
            </w:r>
            <w:r w:rsidR="009D2873" w:rsidRPr="009D2873">
              <w:rPr>
                <w:rFonts w:ascii="Calibri" w:hAnsi="Calibri" w:cs="Calibri"/>
                <w:sz w:val="20"/>
                <w:szCs w:val="20"/>
              </w:rPr>
              <w:t xml:space="preserve">, </w:t>
            </w:r>
            <w:proofErr w:type="spellStart"/>
            <w:r w:rsidR="009D2873">
              <w:rPr>
                <w:rFonts w:ascii="Calibri" w:hAnsi="Calibri" w:cs="Calibri"/>
                <w:sz w:val="20"/>
                <w:szCs w:val="20"/>
              </w:rPr>
              <w:t>b</w:t>
            </w:r>
            <w:r w:rsidRPr="009D2873">
              <w:rPr>
                <w:rFonts w:ascii="Calibri" w:hAnsi="Calibri" w:cs="Calibri"/>
                <w:sz w:val="20"/>
                <w:szCs w:val="20"/>
              </w:rPr>
              <w:t>ezdr</w:t>
            </w:r>
            <w:proofErr w:type="spellEnd"/>
            <w:r w:rsidR="009D2873" w:rsidRPr="009D2873">
              <w:rPr>
                <w:rFonts w:ascii="Calibri" w:hAnsi="Calibri" w:cs="Calibri"/>
                <w:sz w:val="20"/>
                <w:szCs w:val="20"/>
              </w:rPr>
              <w:t>.</w:t>
            </w:r>
            <w:r w:rsidRPr="009D2873">
              <w:rPr>
                <w:rFonts w:ascii="Calibri" w:hAnsi="Calibri" w:cs="Calibri"/>
                <w:sz w:val="20"/>
                <w:szCs w:val="20"/>
              </w:rPr>
              <w:t xml:space="preserve"> připojení Wi-Fi 2,4 GHz (802.</w:t>
            </w:r>
            <w:proofErr w:type="gramStart"/>
            <w:r w:rsidRPr="009D2873">
              <w:rPr>
                <w:rFonts w:ascii="Calibri" w:hAnsi="Calibri" w:cs="Calibri"/>
                <w:sz w:val="20"/>
                <w:szCs w:val="20"/>
              </w:rPr>
              <w:t>11b</w:t>
            </w:r>
            <w:proofErr w:type="gramEnd"/>
            <w:r w:rsidRPr="009D2873">
              <w:rPr>
                <w:rFonts w:ascii="Calibri" w:hAnsi="Calibri" w:cs="Calibri"/>
                <w:sz w:val="20"/>
                <w:szCs w:val="20"/>
              </w:rPr>
              <w:t>/g/n) a 5 GHz (802.11n/</w:t>
            </w:r>
            <w:proofErr w:type="spellStart"/>
            <w:r w:rsidRPr="009D2873">
              <w:rPr>
                <w:rFonts w:ascii="Calibri" w:hAnsi="Calibri" w:cs="Calibri"/>
                <w:sz w:val="20"/>
                <w:szCs w:val="20"/>
              </w:rPr>
              <w:t>ac</w:t>
            </w:r>
            <w:proofErr w:type="spellEnd"/>
            <w:r w:rsidRPr="009D2873">
              <w:rPr>
                <w:rFonts w:ascii="Calibri" w:hAnsi="Calibri" w:cs="Calibri"/>
                <w:sz w:val="20"/>
                <w:szCs w:val="20"/>
              </w:rPr>
              <w:t>)</w:t>
            </w:r>
          </w:p>
        </w:tc>
      </w:tr>
    </w:tbl>
    <w:p w14:paraId="39C97121" w14:textId="77777777" w:rsidR="00250BBB" w:rsidRDefault="00250BBB" w:rsidP="00077F9C">
      <w:pPr>
        <w:spacing w:before="140"/>
        <w:jc w:val="both"/>
        <w:rPr>
          <w:rFonts w:ascii="Calibri" w:hAnsi="Calibri" w:cs="Calibri"/>
          <w:b/>
          <w:bCs/>
          <w:caps/>
          <w:sz w:val="20"/>
          <w:szCs w:val="20"/>
        </w:rPr>
      </w:pPr>
      <w:r w:rsidRPr="005A4A80">
        <w:rPr>
          <w:rFonts w:ascii="Calibri" w:hAnsi="Calibri" w:cs="Calibri"/>
          <w:b/>
          <w:bCs/>
          <w:caps/>
          <w:sz w:val="20"/>
          <w:szCs w:val="20"/>
        </w:rPr>
        <w:t xml:space="preserve">Rychlost služby přístupu k internetu </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636"/>
      </w:tblGrid>
      <w:tr w:rsidR="00250BBB" w:rsidRPr="002E6992" w14:paraId="797364AB" w14:textId="77777777" w:rsidTr="009D2873">
        <w:trPr>
          <w:trHeight w:val="73"/>
        </w:trPr>
        <w:tc>
          <w:tcPr>
            <w:tcW w:w="9636" w:type="dxa"/>
            <w:vAlign w:val="center"/>
          </w:tcPr>
          <w:p w14:paraId="0005CC18" w14:textId="77777777" w:rsidR="00250BBB" w:rsidRPr="00F91B99" w:rsidRDefault="00250BBB" w:rsidP="00F535D9">
            <w:pPr>
              <w:spacing w:before="60" w:after="60"/>
              <w:rPr>
                <w:sz w:val="20"/>
                <w:szCs w:val="20"/>
              </w:rPr>
            </w:pPr>
            <w:r w:rsidRPr="00F91B99">
              <w:rPr>
                <w:sz w:val="20"/>
                <w:szCs w:val="20"/>
              </w:rPr>
              <w:t>Minimální rychlost stahování 200 Mb/s a vkládání 10 Mb/s</w:t>
            </w:r>
          </w:p>
        </w:tc>
      </w:tr>
      <w:tr w:rsidR="00250BBB" w:rsidRPr="002E6992" w14:paraId="5DBEE321" w14:textId="77777777" w:rsidTr="009D2873">
        <w:trPr>
          <w:trHeight w:val="73"/>
        </w:trPr>
        <w:tc>
          <w:tcPr>
            <w:tcW w:w="9636" w:type="dxa"/>
            <w:vAlign w:val="center"/>
          </w:tcPr>
          <w:p w14:paraId="5AE9FDEA" w14:textId="77777777" w:rsidR="00250BBB" w:rsidRPr="00F91B99" w:rsidRDefault="00250BBB" w:rsidP="00F535D9">
            <w:pPr>
              <w:spacing w:before="60" w:after="60"/>
              <w:rPr>
                <w:sz w:val="20"/>
                <w:szCs w:val="20"/>
              </w:rPr>
            </w:pPr>
            <w:r w:rsidRPr="00F91B99">
              <w:rPr>
                <w:sz w:val="20"/>
                <w:szCs w:val="20"/>
              </w:rPr>
              <w:t>Běžně dostupná rychlost stahování 250 Mb/s a vkládání 15 Mb/s</w:t>
            </w:r>
          </w:p>
        </w:tc>
      </w:tr>
      <w:tr w:rsidR="00250BBB" w:rsidRPr="002E6992" w14:paraId="7F1378F2" w14:textId="77777777" w:rsidTr="009D2873">
        <w:trPr>
          <w:trHeight w:val="73"/>
        </w:trPr>
        <w:tc>
          <w:tcPr>
            <w:tcW w:w="9636" w:type="dxa"/>
            <w:vAlign w:val="center"/>
          </w:tcPr>
          <w:p w14:paraId="7F1C631E" w14:textId="77777777" w:rsidR="00250BBB" w:rsidRPr="00F91B99" w:rsidRDefault="00250BBB" w:rsidP="00F535D9">
            <w:pPr>
              <w:spacing w:before="60" w:after="60"/>
              <w:rPr>
                <w:sz w:val="20"/>
                <w:szCs w:val="20"/>
              </w:rPr>
            </w:pPr>
            <w:r w:rsidRPr="00F91B99">
              <w:rPr>
                <w:sz w:val="20"/>
                <w:szCs w:val="20"/>
              </w:rPr>
              <w:t>Maximální rychlost stahování 300 Mb/s a vkládání 20 Mb/s</w:t>
            </w:r>
          </w:p>
        </w:tc>
      </w:tr>
    </w:tbl>
    <w:p w14:paraId="2913D048" w14:textId="77777777" w:rsidR="00250BBB" w:rsidRPr="005C1967" w:rsidRDefault="00250BBB" w:rsidP="00077F9C">
      <w:pPr>
        <w:spacing w:before="140"/>
        <w:jc w:val="both"/>
        <w:rPr>
          <w:rFonts w:ascii="Calibri" w:hAnsi="Calibri" w:cs="Calibri"/>
          <w:b/>
          <w:bCs/>
          <w:caps/>
          <w:sz w:val="20"/>
          <w:szCs w:val="20"/>
        </w:rPr>
      </w:pPr>
      <w:r w:rsidRPr="005C1967">
        <w:rPr>
          <w:rFonts w:ascii="Calibri" w:hAnsi="Calibri" w:cs="Calibri"/>
          <w:b/>
          <w:bCs/>
          <w:caps/>
          <w:sz w:val="20"/>
          <w:szCs w:val="20"/>
        </w:rPr>
        <w:t>prostředky nápravy</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636"/>
      </w:tblGrid>
      <w:tr w:rsidR="00250BBB" w:rsidRPr="002E6992" w14:paraId="00DE0B94" w14:textId="77777777" w:rsidTr="009D2873">
        <w:trPr>
          <w:trHeight w:val="73"/>
        </w:trPr>
        <w:tc>
          <w:tcPr>
            <w:tcW w:w="9636" w:type="dxa"/>
            <w:vAlign w:val="center"/>
          </w:tcPr>
          <w:p w14:paraId="17053B87" w14:textId="4192E55A" w:rsidR="0092119D" w:rsidRPr="002C5C15" w:rsidRDefault="0092119D" w:rsidP="002C5C15">
            <w:pPr>
              <w:spacing w:before="60" w:after="60"/>
              <w:jc w:val="both"/>
              <w:rPr>
                <w:sz w:val="20"/>
                <w:szCs w:val="20"/>
              </w:rPr>
            </w:pPr>
            <w:r w:rsidRPr="002C5C15">
              <w:rPr>
                <w:sz w:val="20"/>
                <w:szCs w:val="20"/>
              </w:rPr>
              <w:t>Odchylka od výkonu uvedeného ve smlouvě nemá vliv na vaš</w:t>
            </w:r>
            <w:r>
              <w:rPr>
                <w:sz w:val="20"/>
                <w:szCs w:val="20"/>
              </w:rPr>
              <w:t>e</w:t>
            </w:r>
            <w:r w:rsidRPr="002C5C15">
              <w:rPr>
                <w:sz w:val="20"/>
                <w:szCs w:val="20"/>
              </w:rPr>
              <w:t xml:space="preserve"> práv</w:t>
            </w:r>
            <w:r>
              <w:rPr>
                <w:sz w:val="20"/>
                <w:szCs w:val="20"/>
              </w:rPr>
              <w:t>o</w:t>
            </w:r>
            <w:r w:rsidRPr="002C5C15">
              <w:rPr>
                <w:sz w:val="20"/>
                <w:szCs w:val="20"/>
              </w:rPr>
              <w:t xml:space="preserve"> na přístup k</w:t>
            </w:r>
            <w:r w:rsidR="000619B1">
              <w:rPr>
                <w:sz w:val="20"/>
                <w:szCs w:val="20"/>
              </w:rPr>
              <w:t> </w:t>
            </w:r>
            <w:r w:rsidRPr="002C5C15">
              <w:rPr>
                <w:sz w:val="20"/>
                <w:szCs w:val="20"/>
              </w:rPr>
              <w:t>informacím</w:t>
            </w:r>
            <w:r w:rsidR="000619B1">
              <w:rPr>
                <w:sz w:val="20"/>
                <w:szCs w:val="20"/>
              </w:rPr>
              <w:t xml:space="preserve"> a</w:t>
            </w:r>
            <w:r w:rsidRPr="002C5C15">
              <w:rPr>
                <w:sz w:val="20"/>
                <w:szCs w:val="20"/>
              </w:rPr>
              <w:t xml:space="preserve"> obsahu</w:t>
            </w:r>
            <w:r w:rsidR="000619B1">
              <w:rPr>
                <w:sz w:val="20"/>
                <w:szCs w:val="20"/>
              </w:rPr>
              <w:t>,</w:t>
            </w:r>
            <w:r w:rsidRPr="002C5C15">
              <w:rPr>
                <w:sz w:val="20"/>
                <w:szCs w:val="20"/>
              </w:rPr>
              <w:t xml:space="preserve"> jejich šíření</w:t>
            </w:r>
            <w:r w:rsidR="000619B1">
              <w:rPr>
                <w:sz w:val="20"/>
                <w:szCs w:val="20"/>
              </w:rPr>
              <w:t>, ani na právo</w:t>
            </w:r>
            <w:r w:rsidRPr="002C5C15">
              <w:rPr>
                <w:sz w:val="20"/>
                <w:szCs w:val="20"/>
              </w:rPr>
              <w:t xml:space="preserve"> využív</w:t>
            </w:r>
            <w:r w:rsidR="000619B1">
              <w:rPr>
                <w:sz w:val="20"/>
                <w:szCs w:val="20"/>
              </w:rPr>
              <w:t>at</w:t>
            </w:r>
            <w:r w:rsidRPr="002C5C15">
              <w:rPr>
                <w:sz w:val="20"/>
                <w:szCs w:val="20"/>
              </w:rPr>
              <w:t xml:space="preserve"> a poskytov</w:t>
            </w:r>
            <w:r w:rsidR="000619B1">
              <w:rPr>
                <w:sz w:val="20"/>
                <w:szCs w:val="20"/>
              </w:rPr>
              <w:t>at</w:t>
            </w:r>
            <w:r w:rsidRPr="002C5C15">
              <w:rPr>
                <w:sz w:val="20"/>
                <w:szCs w:val="20"/>
              </w:rPr>
              <w:t xml:space="preserve"> aplikac</w:t>
            </w:r>
            <w:r w:rsidR="000619B1">
              <w:rPr>
                <w:sz w:val="20"/>
                <w:szCs w:val="20"/>
              </w:rPr>
              <w:t xml:space="preserve">e </w:t>
            </w:r>
            <w:r w:rsidRPr="002C5C15">
              <w:rPr>
                <w:sz w:val="20"/>
                <w:szCs w:val="20"/>
              </w:rPr>
              <w:t>a služb</w:t>
            </w:r>
            <w:r w:rsidR="000619B1">
              <w:rPr>
                <w:sz w:val="20"/>
                <w:szCs w:val="20"/>
              </w:rPr>
              <w:t>y</w:t>
            </w:r>
            <w:r w:rsidRPr="002C5C15">
              <w:rPr>
                <w:sz w:val="20"/>
                <w:szCs w:val="20"/>
              </w:rPr>
              <w:t>. Může se však stát, že vyhledávaná informace, případně využívaná služba bude načtena pomaleji (například videa a obrázky mohou zobrazovat později).</w:t>
            </w:r>
          </w:p>
          <w:p w14:paraId="782A1113" w14:textId="5A7CB1C6" w:rsidR="00250BBB" w:rsidRPr="00F91B99" w:rsidRDefault="00250BBB" w:rsidP="00F535D9">
            <w:pPr>
              <w:spacing w:before="60" w:after="60"/>
              <w:jc w:val="both"/>
              <w:rPr>
                <w:sz w:val="20"/>
                <w:szCs w:val="20"/>
              </w:rPr>
            </w:pPr>
            <w:r w:rsidRPr="00F47D57">
              <w:rPr>
                <w:sz w:val="20"/>
                <w:szCs w:val="20"/>
              </w:rPr>
              <w:t>V případě trvalé nebo pravidelně se opakující odchylky skutečného výkonu služby přístupu k internetu</w:t>
            </w:r>
            <w:r w:rsidR="000619B1" w:rsidRPr="00F47D57">
              <w:rPr>
                <w:sz w:val="20"/>
                <w:szCs w:val="20"/>
              </w:rPr>
              <w:t xml:space="preserve"> od výkonu uvedeného ve smlouvě</w:t>
            </w:r>
            <w:r w:rsidR="000619B1">
              <w:rPr>
                <w:sz w:val="20"/>
                <w:szCs w:val="20"/>
              </w:rPr>
              <w:t>,</w:t>
            </w:r>
            <w:r w:rsidRPr="00F47D57">
              <w:rPr>
                <w:sz w:val="20"/>
                <w:szCs w:val="20"/>
              </w:rPr>
              <w:t xml:space="preserve"> pokud jde o rychlost nebo jiné parametry kvality služby, </w:t>
            </w:r>
            <w:r>
              <w:rPr>
                <w:sz w:val="20"/>
                <w:szCs w:val="20"/>
              </w:rPr>
              <w:t xml:space="preserve">můžete </w:t>
            </w:r>
            <w:r w:rsidRPr="00F47D57">
              <w:rPr>
                <w:sz w:val="20"/>
                <w:szCs w:val="20"/>
              </w:rPr>
              <w:t xml:space="preserve">uplatnit reklamaci </w:t>
            </w:r>
            <w:r>
              <w:rPr>
                <w:sz w:val="20"/>
                <w:szCs w:val="20"/>
              </w:rPr>
              <w:t xml:space="preserve">dopisem zaslaným na </w:t>
            </w:r>
            <w:r w:rsidR="002C5C15">
              <w:rPr>
                <w:sz w:val="20"/>
                <w:szCs w:val="20"/>
              </w:rPr>
              <w:t xml:space="preserve">naši </w:t>
            </w:r>
            <w:r>
              <w:rPr>
                <w:sz w:val="20"/>
                <w:szCs w:val="20"/>
              </w:rPr>
              <w:t xml:space="preserve">adresu nebo elektronicky </w:t>
            </w:r>
            <w:r w:rsidRPr="00F91B99">
              <w:rPr>
                <w:sz w:val="20"/>
                <w:szCs w:val="20"/>
              </w:rPr>
              <w:t>prost</w:t>
            </w:r>
            <w:r>
              <w:rPr>
                <w:sz w:val="20"/>
                <w:szCs w:val="20"/>
              </w:rPr>
              <w:t>ř</w:t>
            </w:r>
            <w:r w:rsidRPr="00F91B99">
              <w:rPr>
                <w:sz w:val="20"/>
                <w:szCs w:val="20"/>
              </w:rPr>
              <w:t>ednictv</w:t>
            </w:r>
            <w:r>
              <w:rPr>
                <w:sz w:val="20"/>
                <w:szCs w:val="20"/>
              </w:rPr>
              <w:t>í</w:t>
            </w:r>
            <w:r w:rsidRPr="00F91B99">
              <w:rPr>
                <w:sz w:val="20"/>
                <w:szCs w:val="20"/>
              </w:rPr>
              <w:t>m reklama</w:t>
            </w:r>
            <w:r>
              <w:rPr>
                <w:sz w:val="20"/>
                <w:szCs w:val="20"/>
              </w:rPr>
              <w:t>č</w:t>
            </w:r>
            <w:r w:rsidRPr="00F91B99">
              <w:rPr>
                <w:sz w:val="20"/>
                <w:szCs w:val="20"/>
              </w:rPr>
              <w:t>n</w:t>
            </w:r>
            <w:r>
              <w:rPr>
                <w:sz w:val="20"/>
                <w:szCs w:val="20"/>
              </w:rPr>
              <w:t>í</w:t>
            </w:r>
            <w:r w:rsidRPr="00F91B99">
              <w:rPr>
                <w:sz w:val="20"/>
                <w:szCs w:val="20"/>
              </w:rPr>
              <w:t>ho formul</w:t>
            </w:r>
            <w:r>
              <w:rPr>
                <w:sz w:val="20"/>
                <w:szCs w:val="20"/>
              </w:rPr>
              <w:t>ář</w:t>
            </w:r>
            <w:r w:rsidRPr="00F91B99">
              <w:rPr>
                <w:sz w:val="20"/>
                <w:szCs w:val="20"/>
              </w:rPr>
              <w:t>e dostupn</w:t>
            </w:r>
            <w:r>
              <w:rPr>
                <w:sz w:val="20"/>
                <w:szCs w:val="20"/>
              </w:rPr>
              <w:t>ého</w:t>
            </w:r>
            <w:r w:rsidRPr="00F91B99">
              <w:rPr>
                <w:sz w:val="20"/>
                <w:szCs w:val="20"/>
              </w:rPr>
              <w:t xml:space="preserve"> na</w:t>
            </w:r>
            <w:r>
              <w:rPr>
                <w:sz w:val="20"/>
                <w:szCs w:val="20"/>
              </w:rPr>
              <w:t xml:space="preserve"> </w:t>
            </w:r>
            <w:hyperlink r:id="rId18" w:history="1">
              <w:r w:rsidRPr="00CB72B9">
                <w:rPr>
                  <w:rStyle w:val="Hypertextovodkaz"/>
                  <w:sz w:val="20"/>
                  <w:szCs w:val="20"/>
                </w:rPr>
                <w:t>www.internetovaspolecnost.cz/reklamace</w:t>
              </w:r>
            </w:hyperlink>
            <w:r w:rsidRPr="00F47D57">
              <w:rPr>
                <w:sz w:val="20"/>
                <w:szCs w:val="20"/>
              </w:rPr>
              <w:t xml:space="preserve">. </w:t>
            </w:r>
            <w:r w:rsidR="000619B1">
              <w:rPr>
                <w:sz w:val="20"/>
                <w:szCs w:val="20"/>
              </w:rPr>
              <w:t xml:space="preserve">V takovém případě můžete </w:t>
            </w:r>
            <w:r w:rsidR="002C5C15">
              <w:rPr>
                <w:sz w:val="20"/>
                <w:szCs w:val="20"/>
              </w:rPr>
              <w:t xml:space="preserve">mimo jiné </w:t>
            </w:r>
            <w:r w:rsidR="000619B1">
              <w:rPr>
                <w:sz w:val="20"/>
                <w:szCs w:val="20"/>
              </w:rPr>
              <w:t xml:space="preserve">požadovat slevu </w:t>
            </w:r>
            <w:r w:rsidR="002C5C15">
              <w:rPr>
                <w:sz w:val="20"/>
                <w:szCs w:val="20"/>
              </w:rPr>
              <w:t xml:space="preserve">z ceny </w:t>
            </w:r>
            <w:r w:rsidR="000619B1">
              <w:rPr>
                <w:sz w:val="20"/>
                <w:szCs w:val="20"/>
              </w:rPr>
              <w:t>nebo od smlouvy odstoupit, pokud jde o její podstatné porušení. Detaily najdete v článku 3 VOP.</w:t>
            </w:r>
          </w:p>
        </w:tc>
      </w:tr>
      <w:tr w:rsidR="00250BBB" w:rsidRPr="002E6992" w14:paraId="75E27917" w14:textId="77777777" w:rsidTr="009D2873">
        <w:trPr>
          <w:trHeight w:val="73"/>
        </w:trPr>
        <w:tc>
          <w:tcPr>
            <w:tcW w:w="9636" w:type="dxa"/>
            <w:vAlign w:val="center"/>
          </w:tcPr>
          <w:p w14:paraId="616EE20A" w14:textId="77777777" w:rsidR="00250BBB" w:rsidRPr="00F91B99" w:rsidRDefault="00250BBB" w:rsidP="00F535D9">
            <w:pPr>
              <w:spacing w:before="60" w:after="60"/>
              <w:jc w:val="both"/>
              <w:rPr>
                <w:sz w:val="20"/>
                <w:szCs w:val="20"/>
              </w:rPr>
            </w:pPr>
            <w:r w:rsidRPr="00F47D57">
              <w:rPr>
                <w:sz w:val="20"/>
                <w:szCs w:val="20"/>
              </w:rPr>
              <w:t>Nevyhoví</w:t>
            </w:r>
            <w:r>
              <w:rPr>
                <w:sz w:val="20"/>
                <w:szCs w:val="20"/>
              </w:rPr>
              <w:t>me</w:t>
            </w:r>
            <w:r w:rsidRPr="00F47D57">
              <w:rPr>
                <w:sz w:val="20"/>
                <w:szCs w:val="20"/>
              </w:rPr>
              <w:t xml:space="preserve">-li </w:t>
            </w:r>
            <w:r>
              <w:rPr>
                <w:sz w:val="20"/>
                <w:szCs w:val="20"/>
              </w:rPr>
              <w:t>Vám, můžete</w:t>
            </w:r>
            <w:r w:rsidRPr="00F47D57">
              <w:rPr>
                <w:sz w:val="20"/>
                <w:szCs w:val="20"/>
              </w:rPr>
              <w:t xml:space="preserve"> podat u Českého telekomunikačního úřadu (</w:t>
            </w:r>
            <w:hyperlink r:id="rId19" w:history="1">
              <w:r w:rsidRPr="00CB72B9">
                <w:rPr>
                  <w:rStyle w:val="Hypertextovodkaz"/>
                  <w:sz w:val="20"/>
                  <w:szCs w:val="20"/>
                </w:rPr>
                <w:t>www.ctu.cz</w:t>
              </w:r>
            </w:hyperlink>
            <w:r w:rsidRPr="00F47D57">
              <w:rPr>
                <w:sz w:val="20"/>
                <w:szCs w:val="20"/>
              </w:rPr>
              <w:t>) návrh na zahájení řízení o námitce proti vyřízení reklamace bez zbytečného odkladu, nejpozději však do 1 měsíce ode dne doručení vyřízení reklamace nebo marného uplynutí lhůty pro její vyřízení, jinak právo uplatnit námitku zanikne</w:t>
            </w:r>
            <w:r>
              <w:rPr>
                <w:sz w:val="20"/>
                <w:szCs w:val="20"/>
              </w:rPr>
              <w:t>.</w:t>
            </w:r>
          </w:p>
        </w:tc>
      </w:tr>
    </w:tbl>
    <w:p w14:paraId="0C4C5C66" w14:textId="77777777" w:rsidR="00250BBB" w:rsidRPr="00F91B99" w:rsidRDefault="00250BBB" w:rsidP="00077F9C">
      <w:pPr>
        <w:spacing w:before="140"/>
        <w:jc w:val="both"/>
        <w:rPr>
          <w:rFonts w:ascii="Calibri" w:hAnsi="Calibri" w:cs="Calibri"/>
          <w:b/>
          <w:bCs/>
          <w:caps/>
          <w:sz w:val="20"/>
          <w:szCs w:val="20"/>
        </w:rPr>
      </w:pPr>
      <w:r w:rsidRPr="00F91B99">
        <w:rPr>
          <w:rFonts w:ascii="Calibri" w:hAnsi="Calibri" w:cs="Calibri"/>
          <w:b/>
          <w:bCs/>
          <w:caps/>
          <w:sz w:val="20"/>
          <w:szCs w:val="20"/>
        </w:rPr>
        <w:t>Cena</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636"/>
      </w:tblGrid>
      <w:tr w:rsidR="00250BBB" w:rsidRPr="002E6992" w14:paraId="46018D2F" w14:textId="77777777" w:rsidTr="009D2873">
        <w:trPr>
          <w:trHeight w:val="73"/>
        </w:trPr>
        <w:tc>
          <w:tcPr>
            <w:tcW w:w="9636" w:type="dxa"/>
            <w:vAlign w:val="center"/>
          </w:tcPr>
          <w:p w14:paraId="68815E0A" w14:textId="77777777" w:rsidR="00250BBB" w:rsidRPr="00F91B99" w:rsidRDefault="00250BBB" w:rsidP="00F535D9">
            <w:pPr>
              <w:spacing w:before="60" w:after="60"/>
              <w:rPr>
                <w:sz w:val="20"/>
                <w:szCs w:val="20"/>
              </w:rPr>
            </w:pPr>
            <w:r>
              <w:rPr>
                <w:sz w:val="20"/>
                <w:szCs w:val="20"/>
              </w:rPr>
              <w:t xml:space="preserve">Měsíční cena za službu Internet: </w:t>
            </w:r>
            <w:r>
              <w:rPr>
                <w:sz w:val="20"/>
                <w:szCs w:val="20"/>
              </w:rPr>
              <w:tab/>
            </w:r>
            <w:r>
              <w:rPr>
                <w:sz w:val="20"/>
                <w:szCs w:val="20"/>
              </w:rPr>
              <w:tab/>
              <w:t>400 Kč včetně DPH</w:t>
            </w:r>
          </w:p>
        </w:tc>
      </w:tr>
      <w:tr w:rsidR="00250BBB" w:rsidRPr="002E6992" w14:paraId="34BAA9DF" w14:textId="77777777" w:rsidTr="009D2873">
        <w:trPr>
          <w:trHeight w:val="73"/>
        </w:trPr>
        <w:tc>
          <w:tcPr>
            <w:tcW w:w="9636" w:type="dxa"/>
            <w:vAlign w:val="center"/>
          </w:tcPr>
          <w:p w14:paraId="44921EF6" w14:textId="77777777" w:rsidR="00250BBB" w:rsidRPr="00F91B99" w:rsidRDefault="00250BBB" w:rsidP="00F535D9">
            <w:pPr>
              <w:spacing w:before="60" w:after="60"/>
              <w:rPr>
                <w:sz w:val="20"/>
                <w:szCs w:val="20"/>
              </w:rPr>
            </w:pPr>
            <w:r>
              <w:rPr>
                <w:sz w:val="20"/>
                <w:szCs w:val="20"/>
              </w:rPr>
              <w:t xml:space="preserve">Měsíční poplatek za nájem modemu: </w:t>
            </w:r>
            <w:r>
              <w:rPr>
                <w:sz w:val="20"/>
                <w:szCs w:val="20"/>
              </w:rPr>
              <w:tab/>
              <w:t>30 Kč včetně DPH</w:t>
            </w:r>
          </w:p>
        </w:tc>
      </w:tr>
    </w:tbl>
    <w:p w14:paraId="78139611" w14:textId="77777777" w:rsidR="00250BBB" w:rsidRPr="000167CC" w:rsidRDefault="00250BBB" w:rsidP="00077F9C">
      <w:pPr>
        <w:spacing w:before="140"/>
        <w:jc w:val="both"/>
        <w:rPr>
          <w:rFonts w:ascii="Calibri" w:hAnsi="Calibri" w:cs="Calibri"/>
          <w:b/>
          <w:bCs/>
          <w:caps/>
          <w:sz w:val="20"/>
          <w:szCs w:val="20"/>
        </w:rPr>
      </w:pPr>
      <w:r w:rsidRPr="000167CC">
        <w:rPr>
          <w:rFonts w:ascii="Calibri" w:hAnsi="Calibri" w:cs="Calibri"/>
          <w:b/>
          <w:bCs/>
          <w:caps/>
          <w:sz w:val="20"/>
          <w:szCs w:val="20"/>
        </w:rPr>
        <w:t>Doba trvání</w:t>
      </w:r>
      <w:r>
        <w:rPr>
          <w:rFonts w:ascii="Calibri" w:hAnsi="Calibri" w:cs="Calibri"/>
          <w:b/>
          <w:bCs/>
          <w:caps/>
          <w:sz w:val="20"/>
          <w:szCs w:val="20"/>
        </w:rPr>
        <w:t xml:space="preserve">, Obnovení </w:t>
      </w:r>
      <w:r w:rsidRPr="000167CC">
        <w:rPr>
          <w:rFonts w:ascii="Calibri" w:hAnsi="Calibri" w:cs="Calibri"/>
          <w:b/>
          <w:bCs/>
          <w:caps/>
          <w:sz w:val="20"/>
          <w:szCs w:val="20"/>
        </w:rPr>
        <w:t>a ukončení</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636"/>
      </w:tblGrid>
      <w:tr w:rsidR="00250BBB" w:rsidRPr="002E6992" w14:paraId="64B3A80D" w14:textId="77777777" w:rsidTr="009D2873">
        <w:trPr>
          <w:trHeight w:val="73"/>
        </w:trPr>
        <w:tc>
          <w:tcPr>
            <w:tcW w:w="9636" w:type="dxa"/>
            <w:vAlign w:val="center"/>
          </w:tcPr>
          <w:p w14:paraId="22710403" w14:textId="77777777" w:rsidR="00250BBB" w:rsidRPr="00F91B99" w:rsidRDefault="00250BBB" w:rsidP="00F535D9">
            <w:pPr>
              <w:spacing w:before="60" w:after="60"/>
              <w:jc w:val="both"/>
              <w:rPr>
                <w:sz w:val="20"/>
                <w:szCs w:val="20"/>
              </w:rPr>
            </w:pPr>
            <w:r w:rsidRPr="00554C1B">
              <w:rPr>
                <w:sz w:val="20"/>
                <w:szCs w:val="20"/>
              </w:rPr>
              <w:t>Doba trvání smlouvy: na dobu neurčitou</w:t>
            </w:r>
            <w:r>
              <w:rPr>
                <w:sz w:val="20"/>
                <w:szCs w:val="20"/>
              </w:rPr>
              <w:t>.</w:t>
            </w:r>
          </w:p>
        </w:tc>
      </w:tr>
      <w:tr w:rsidR="00250BBB" w:rsidRPr="002E6992" w14:paraId="30A76A0B" w14:textId="77777777" w:rsidTr="009D2873">
        <w:trPr>
          <w:trHeight w:val="73"/>
        </w:trPr>
        <w:tc>
          <w:tcPr>
            <w:tcW w:w="9636" w:type="dxa"/>
            <w:vAlign w:val="center"/>
          </w:tcPr>
          <w:p w14:paraId="5B42E711" w14:textId="77777777" w:rsidR="00250BBB" w:rsidRPr="00F91B99" w:rsidRDefault="00250BBB" w:rsidP="00F535D9">
            <w:pPr>
              <w:spacing w:before="60" w:after="60"/>
              <w:jc w:val="both"/>
              <w:rPr>
                <w:sz w:val="20"/>
                <w:szCs w:val="20"/>
              </w:rPr>
            </w:pPr>
            <w:r w:rsidRPr="00554C1B">
              <w:rPr>
                <w:sz w:val="20"/>
                <w:szCs w:val="20"/>
              </w:rPr>
              <w:t xml:space="preserve">Smlouvu </w:t>
            </w:r>
            <w:r>
              <w:rPr>
                <w:sz w:val="20"/>
                <w:szCs w:val="20"/>
              </w:rPr>
              <w:t>můžete</w:t>
            </w:r>
            <w:r w:rsidRPr="00554C1B">
              <w:rPr>
                <w:sz w:val="20"/>
                <w:szCs w:val="20"/>
              </w:rPr>
              <w:t xml:space="preserve"> kdykoliv </w:t>
            </w:r>
            <w:r>
              <w:rPr>
                <w:sz w:val="20"/>
                <w:szCs w:val="20"/>
              </w:rPr>
              <w:t xml:space="preserve">bezplatně </w:t>
            </w:r>
            <w:r w:rsidRPr="00554C1B">
              <w:rPr>
                <w:sz w:val="20"/>
                <w:szCs w:val="20"/>
              </w:rPr>
              <w:t>vypov</w:t>
            </w:r>
            <w:r>
              <w:rPr>
                <w:sz w:val="20"/>
                <w:szCs w:val="20"/>
              </w:rPr>
              <w:t>ědět bez udání důvodu. Učinit tak můžete oznámením zaslaným na adresu našeho sídla nebo e-mailem zaslaným na naši e-mailovou adresu uvedenou výše. Výpovědní doba je 30 dní od doručení oznámení. Smlouvu můžete</w:t>
            </w:r>
            <w:r w:rsidRPr="002F1B45">
              <w:t xml:space="preserve"> </w:t>
            </w:r>
            <w:r>
              <w:rPr>
                <w:sz w:val="20"/>
                <w:szCs w:val="20"/>
              </w:rPr>
              <w:t>ukončit i jinými způsoby</w:t>
            </w:r>
            <w:r w:rsidRPr="002F1B45">
              <w:rPr>
                <w:sz w:val="20"/>
                <w:szCs w:val="20"/>
              </w:rPr>
              <w:t xml:space="preserve"> stanoven</w:t>
            </w:r>
            <w:r>
              <w:rPr>
                <w:sz w:val="20"/>
                <w:szCs w:val="20"/>
              </w:rPr>
              <w:t>ými</w:t>
            </w:r>
            <w:r w:rsidRPr="002F1B45">
              <w:rPr>
                <w:sz w:val="20"/>
                <w:szCs w:val="20"/>
              </w:rPr>
              <w:t xml:space="preserve"> </w:t>
            </w:r>
            <w:r>
              <w:rPr>
                <w:sz w:val="20"/>
                <w:szCs w:val="20"/>
              </w:rPr>
              <w:t>právními předpisy.</w:t>
            </w:r>
          </w:p>
        </w:tc>
      </w:tr>
    </w:tbl>
    <w:p w14:paraId="219BECEF" w14:textId="77777777" w:rsidR="00250BBB" w:rsidRPr="00013AA8" w:rsidRDefault="00250BBB" w:rsidP="00077F9C">
      <w:pPr>
        <w:spacing w:before="140"/>
        <w:jc w:val="both"/>
        <w:rPr>
          <w:rFonts w:ascii="Calibri" w:hAnsi="Calibri" w:cs="Calibri"/>
          <w:b/>
          <w:bCs/>
          <w:caps/>
          <w:sz w:val="20"/>
          <w:szCs w:val="20"/>
        </w:rPr>
      </w:pPr>
      <w:r w:rsidRPr="002F1B45">
        <w:rPr>
          <w:rFonts w:ascii="Calibri" w:hAnsi="Calibri" w:cs="Calibri"/>
          <w:b/>
          <w:bCs/>
          <w:caps/>
          <w:sz w:val="20"/>
          <w:szCs w:val="20"/>
        </w:rPr>
        <w:t>Funkce pro koncové uživatele se zdravotním postižením</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636"/>
      </w:tblGrid>
      <w:tr w:rsidR="00250BBB" w:rsidRPr="002E6992" w14:paraId="44999467" w14:textId="77777777" w:rsidTr="009D2873">
        <w:trPr>
          <w:trHeight w:val="73"/>
        </w:trPr>
        <w:tc>
          <w:tcPr>
            <w:tcW w:w="9636" w:type="dxa"/>
            <w:vAlign w:val="center"/>
          </w:tcPr>
          <w:p w14:paraId="75DD447E" w14:textId="79D01F43" w:rsidR="00250BBB" w:rsidRPr="00F91B99" w:rsidRDefault="00250BBB" w:rsidP="00F94603">
            <w:pPr>
              <w:spacing w:before="60" w:after="60"/>
              <w:jc w:val="both"/>
              <w:rPr>
                <w:sz w:val="20"/>
                <w:szCs w:val="20"/>
              </w:rPr>
            </w:pPr>
            <w:r w:rsidRPr="00013AA8">
              <w:rPr>
                <w:sz w:val="20"/>
                <w:szCs w:val="20"/>
              </w:rPr>
              <w:t xml:space="preserve">Speciální linka pro neslyšící je k dispozici </w:t>
            </w:r>
            <w:r>
              <w:rPr>
                <w:sz w:val="20"/>
                <w:szCs w:val="20"/>
              </w:rPr>
              <w:t>na čísle +420 909 908 907</w:t>
            </w:r>
            <w:r w:rsidRPr="00013AA8">
              <w:rPr>
                <w:sz w:val="20"/>
                <w:szCs w:val="20"/>
              </w:rPr>
              <w:t>, kdy volání se spojí do textového hovoru, který je převeden do psané podoby. Pro nevidomé veškeré požadavky vyřídí</w:t>
            </w:r>
            <w:r>
              <w:rPr>
                <w:sz w:val="20"/>
                <w:szCs w:val="20"/>
              </w:rPr>
              <w:t>me</w:t>
            </w:r>
            <w:r w:rsidRPr="00013AA8">
              <w:rPr>
                <w:sz w:val="20"/>
                <w:szCs w:val="20"/>
              </w:rPr>
              <w:t xml:space="preserve"> telefonicky na lince</w:t>
            </w:r>
            <w:r>
              <w:rPr>
                <w:sz w:val="20"/>
                <w:szCs w:val="20"/>
              </w:rPr>
              <w:t xml:space="preserve"> +420 909 906 905</w:t>
            </w:r>
            <w:r w:rsidRPr="00013AA8">
              <w:rPr>
                <w:sz w:val="20"/>
                <w:szCs w:val="20"/>
              </w:rPr>
              <w:t xml:space="preserve">. Podrobnosti jsou k dispozici </w:t>
            </w:r>
            <w:r>
              <w:rPr>
                <w:sz w:val="20"/>
                <w:szCs w:val="20"/>
              </w:rPr>
              <w:t xml:space="preserve">na </w:t>
            </w:r>
            <w:hyperlink r:id="rId20" w:history="1">
              <w:r w:rsidR="00F94603" w:rsidRPr="00CB72B9">
                <w:rPr>
                  <w:rStyle w:val="Hypertextovodkaz"/>
                  <w:sz w:val="20"/>
                  <w:szCs w:val="20"/>
                </w:rPr>
                <w:t>www.internetovaspolecnost.cz/zdravotni-postizeni</w:t>
              </w:r>
            </w:hyperlink>
            <w:r w:rsidRPr="00F47D57">
              <w:rPr>
                <w:sz w:val="20"/>
                <w:szCs w:val="20"/>
              </w:rPr>
              <w:t>.</w:t>
            </w:r>
          </w:p>
        </w:tc>
      </w:tr>
    </w:tbl>
    <w:p w14:paraId="52DF0C5B" w14:textId="77777777" w:rsidR="00250BBB" w:rsidRPr="00ED00D6" w:rsidRDefault="00250BBB" w:rsidP="00077F9C">
      <w:pPr>
        <w:spacing w:before="140"/>
        <w:jc w:val="both"/>
        <w:rPr>
          <w:rFonts w:ascii="Calibri" w:hAnsi="Calibri" w:cs="Calibri"/>
          <w:b/>
          <w:bCs/>
          <w:caps/>
          <w:sz w:val="20"/>
          <w:szCs w:val="20"/>
        </w:rPr>
      </w:pPr>
      <w:r w:rsidRPr="00ED00D6">
        <w:rPr>
          <w:rFonts w:ascii="Calibri" w:hAnsi="Calibri" w:cs="Calibri"/>
          <w:b/>
          <w:bCs/>
          <w:caps/>
          <w:sz w:val="20"/>
          <w:szCs w:val="20"/>
        </w:rPr>
        <w:t>Další důležité informace</w:t>
      </w:r>
    </w:p>
    <w:tbl>
      <w:tblPr>
        <w:tblStyle w:val="Mkatabulky"/>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636"/>
      </w:tblGrid>
      <w:tr w:rsidR="00250BBB" w:rsidRPr="002E6992" w14:paraId="16B0B902" w14:textId="77777777" w:rsidTr="009D2873">
        <w:trPr>
          <w:trHeight w:val="73"/>
        </w:trPr>
        <w:tc>
          <w:tcPr>
            <w:tcW w:w="9636" w:type="dxa"/>
            <w:vAlign w:val="center"/>
          </w:tcPr>
          <w:p w14:paraId="51E9F033" w14:textId="77777777" w:rsidR="00250BBB" w:rsidRPr="00F91B99" w:rsidRDefault="00250BBB" w:rsidP="00077F9C">
            <w:pPr>
              <w:spacing w:before="60"/>
              <w:jc w:val="both"/>
              <w:rPr>
                <w:sz w:val="20"/>
                <w:szCs w:val="20"/>
              </w:rPr>
            </w:pPr>
            <w:r>
              <w:rPr>
                <w:sz w:val="20"/>
                <w:szCs w:val="20"/>
              </w:rPr>
              <w:t xml:space="preserve">Podrobné podmínky poskytování služby spolu s dalšími informacemi, jež vám musíme dle právních předpisů poskytnout předtím, než začnete být vázáni smlouvou, jsou uvedeny v našich obchodních podmínkách dostupných na </w:t>
            </w:r>
            <w:hyperlink r:id="rId21" w:history="1">
              <w:r w:rsidRPr="00CB72B9">
                <w:rPr>
                  <w:rStyle w:val="Hypertextovodkaz"/>
                  <w:sz w:val="20"/>
                  <w:szCs w:val="20"/>
                </w:rPr>
                <w:t>www.internetovaspolecnost.cz/vop</w:t>
              </w:r>
            </w:hyperlink>
            <w:r w:rsidRPr="00F47D57">
              <w:rPr>
                <w:sz w:val="20"/>
                <w:szCs w:val="20"/>
              </w:rPr>
              <w:t>.</w:t>
            </w:r>
          </w:p>
        </w:tc>
      </w:tr>
    </w:tbl>
    <w:p w14:paraId="50FF188E" w14:textId="124600EF" w:rsidR="002E6992" w:rsidRPr="002E6992" w:rsidRDefault="002E6992" w:rsidP="009D2873">
      <w:pPr>
        <w:rPr>
          <w:rFonts w:ascii="Calibri" w:hAnsi="Calibri" w:cs="Calibri"/>
          <w:sz w:val="20"/>
          <w:szCs w:val="20"/>
          <w:highlight w:val="yellow"/>
        </w:rPr>
      </w:pPr>
    </w:p>
    <w:sectPr w:rsidR="002E6992" w:rsidRPr="002E6992" w:rsidSect="009D2873">
      <w:headerReference w:type="default" r:id="rId22"/>
      <w:pgSz w:w="11906" w:h="16838"/>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A51A" w16cex:dateUtc="2022-03-16T17: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2C26C" w14:textId="77777777" w:rsidR="001A10BA" w:rsidRDefault="001A10BA" w:rsidP="00242176">
      <w:r>
        <w:separator/>
      </w:r>
    </w:p>
  </w:endnote>
  <w:endnote w:type="continuationSeparator" w:id="0">
    <w:p w14:paraId="71D58F48" w14:textId="77777777" w:rsidR="001A10BA" w:rsidRDefault="001A10BA" w:rsidP="0024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Calibri"/>
    <w:charset w:val="00"/>
    <w:family w:val="swiss"/>
    <w:pitch w:val="default"/>
    <w:sig w:usb0="00000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Times New Roman (Základní tex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185861568"/>
      <w:docPartObj>
        <w:docPartGallery w:val="Page Numbers (Bottom of Page)"/>
        <w:docPartUnique/>
      </w:docPartObj>
    </w:sdtPr>
    <w:sdtContent>
      <w:p w14:paraId="6F8698B5" w14:textId="401C939A" w:rsidR="001A10BA" w:rsidRDefault="001A10BA" w:rsidP="002C5C1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42734090"/>
      <w:docPartObj>
        <w:docPartGallery w:val="Page Numbers (Bottom of Page)"/>
        <w:docPartUnique/>
      </w:docPartObj>
    </w:sdtPr>
    <w:sdtContent>
      <w:p w14:paraId="6DACBA9F" w14:textId="52CF74C6" w:rsidR="001A10BA" w:rsidRDefault="001A10BA" w:rsidP="002C5C1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3D74463" w14:textId="77777777" w:rsidR="001A10BA" w:rsidRDefault="001A10BA" w:rsidP="000C07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42D42" w14:textId="1FCDF6BF" w:rsidR="001A10BA" w:rsidRPr="002E6F0B" w:rsidRDefault="001A10BA" w:rsidP="000C0775">
    <w:pPr>
      <w:pStyle w:val="Zpat"/>
      <w:tabs>
        <w:tab w:val="clear" w:pos="4536"/>
        <w:tab w:val="left" w:pos="3731"/>
        <w:tab w:val="center" w:pos="4538"/>
      </w:tabs>
      <w:rPr>
        <w:color w:val="000000" w:themeColor="text1"/>
        <w:sz w:val="20"/>
        <w:szCs w:val="20"/>
      </w:rPr>
    </w:pPr>
    <w:r w:rsidRPr="002E6F0B">
      <w:rPr>
        <w:color w:val="000000" w:themeColor="text1"/>
        <w:sz w:val="20"/>
        <w:szCs w:val="20"/>
      </w:rPr>
      <w:tab/>
    </w:r>
    <w:r w:rsidRPr="002E6F0B">
      <w:rPr>
        <w:color w:val="000000" w:themeColor="text1"/>
        <w:sz w:val="20"/>
        <w:szCs w:val="20"/>
      </w:rPr>
      <w:tab/>
      <w:t xml:space="preserve">Strana </w:t>
    </w:r>
    <w:r w:rsidRPr="002E6F0B">
      <w:rPr>
        <w:color w:val="000000" w:themeColor="text1"/>
        <w:sz w:val="20"/>
        <w:szCs w:val="20"/>
      </w:rPr>
      <w:fldChar w:fldCharType="begin"/>
    </w:r>
    <w:r w:rsidRPr="002E6F0B">
      <w:rPr>
        <w:color w:val="000000" w:themeColor="text1"/>
        <w:sz w:val="20"/>
        <w:szCs w:val="20"/>
      </w:rPr>
      <w:instrText>PAGE  \* Arabic  \* MERGEFORMAT</w:instrText>
    </w:r>
    <w:r w:rsidRPr="002E6F0B">
      <w:rPr>
        <w:color w:val="000000" w:themeColor="text1"/>
        <w:sz w:val="20"/>
        <w:szCs w:val="20"/>
      </w:rPr>
      <w:fldChar w:fldCharType="separate"/>
    </w:r>
    <w:r w:rsidRPr="002E6F0B">
      <w:rPr>
        <w:color w:val="000000" w:themeColor="text1"/>
        <w:sz w:val="20"/>
        <w:szCs w:val="20"/>
      </w:rPr>
      <w:t>2</w:t>
    </w:r>
    <w:r w:rsidRPr="002E6F0B">
      <w:rPr>
        <w:color w:val="000000" w:themeColor="text1"/>
        <w:sz w:val="20"/>
        <w:szCs w:val="20"/>
      </w:rPr>
      <w:fldChar w:fldCharType="end"/>
    </w:r>
    <w:r w:rsidRPr="002E6F0B">
      <w:rPr>
        <w:color w:val="000000" w:themeColor="text1"/>
        <w:sz w:val="20"/>
        <w:szCs w:val="20"/>
      </w:rPr>
      <w:t xml:space="preserve"> / </w:t>
    </w:r>
    <w:r w:rsidRPr="002E6F0B">
      <w:rPr>
        <w:color w:val="000000" w:themeColor="text1"/>
        <w:sz w:val="20"/>
        <w:szCs w:val="20"/>
      </w:rPr>
      <w:fldChar w:fldCharType="begin"/>
    </w:r>
    <w:r w:rsidRPr="002E6F0B">
      <w:rPr>
        <w:color w:val="000000" w:themeColor="text1"/>
        <w:sz w:val="20"/>
        <w:szCs w:val="20"/>
      </w:rPr>
      <w:instrText>NUMPAGES  \* Arabic  \* MERGEFORMAT</w:instrText>
    </w:r>
    <w:r w:rsidRPr="002E6F0B">
      <w:rPr>
        <w:color w:val="000000" w:themeColor="text1"/>
        <w:sz w:val="20"/>
        <w:szCs w:val="20"/>
      </w:rPr>
      <w:fldChar w:fldCharType="separate"/>
    </w:r>
    <w:r w:rsidRPr="002E6F0B">
      <w:rPr>
        <w:color w:val="000000" w:themeColor="text1"/>
        <w:sz w:val="20"/>
        <w:szCs w:val="20"/>
      </w:rPr>
      <w:t>2</w:t>
    </w:r>
    <w:r w:rsidRPr="002E6F0B">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4B270" w14:textId="77777777" w:rsidR="001A10BA" w:rsidRDefault="001A10BA" w:rsidP="00242176">
      <w:r>
        <w:separator/>
      </w:r>
    </w:p>
  </w:footnote>
  <w:footnote w:type="continuationSeparator" w:id="0">
    <w:p w14:paraId="1F2A72CE" w14:textId="77777777" w:rsidR="001A10BA" w:rsidRDefault="001A10BA" w:rsidP="00242176">
      <w:r>
        <w:continuationSeparator/>
      </w:r>
    </w:p>
  </w:footnote>
  <w:footnote w:id="1">
    <w:p w14:paraId="4045DB5C" w14:textId="77777777" w:rsidR="001A10BA" w:rsidRPr="00D47E15" w:rsidRDefault="001A10BA" w:rsidP="00A41F21">
      <w:r>
        <w:rPr>
          <w:rStyle w:val="Znakapoznpodarou"/>
        </w:rPr>
        <w:footnoteRef/>
      </w:r>
      <w:r>
        <w:t xml:space="preserve"> </w:t>
      </w:r>
      <w:r w:rsidRPr="00826BF5">
        <w:rPr>
          <w:color w:val="000000"/>
          <w:sz w:val="19"/>
          <w:szCs w:val="19"/>
          <w:shd w:val="clear" w:color="auto" w:fill="FFFFFF"/>
        </w:rPr>
        <w:t>Ustanovení čl. 102 odst. 3 směrnice Evropského parlamentu a Rady (EU) 2018/1972 ze dne 11. prosince 2018, kterou se stanoví evropský kodex pro elektronické komunikace (</w:t>
      </w:r>
      <w:hyperlink r:id="rId1" w:history="1">
        <w:r w:rsidRPr="00826BF5">
          <w:rPr>
            <w:rStyle w:val="Hypertextovodkaz"/>
            <w:sz w:val="19"/>
            <w:szCs w:val="19"/>
          </w:rPr>
          <w:t>Úřední věstník L 321, 17.12.2018, s. 36</w:t>
        </w:r>
      </w:hyperlink>
      <w:r w:rsidRPr="00826BF5">
        <w:rPr>
          <w:color w:val="000000"/>
          <w:sz w:val="19"/>
          <w:szCs w:val="19"/>
          <w:shd w:val="clear" w:color="auto" w:fill="FFFFFF"/>
        </w:rPr>
        <w:t>).</w:t>
      </w:r>
    </w:p>
  </w:footnote>
  <w:footnote w:id="2">
    <w:p w14:paraId="598F1A73" w14:textId="77777777" w:rsidR="001A10BA" w:rsidRPr="00826BF5" w:rsidRDefault="001A10BA" w:rsidP="00A41F21">
      <w:r w:rsidRPr="00826BF5">
        <w:rPr>
          <w:rStyle w:val="Znakapoznpodarou"/>
        </w:rPr>
        <w:footnoteRef/>
      </w:r>
      <w:r w:rsidRPr="00826BF5">
        <w:t xml:space="preserve"> </w:t>
      </w:r>
      <w:r w:rsidRPr="00826BF5">
        <w:rPr>
          <w:color w:val="000000"/>
          <w:sz w:val="19"/>
          <w:szCs w:val="19"/>
          <w:shd w:val="clear" w:color="auto" w:fill="FFFFFF"/>
        </w:rPr>
        <w:t>Ustanovení čl. 102 odst. 3 směrnice Evropského parlamentu a Rady (EU) 2018/1972 ze dne 11. prosince 2018, kterou se stanoví evropský kodex pro elektronické komunikace (</w:t>
      </w:r>
      <w:hyperlink r:id="rId2" w:history="1">
        <w:r w:rsidRPr="00826BF5">
          <w:rPr>
            <w:rStyle w:val="Hypertextovodkaz"/>
            <w:sz w:val="19"/>
            <w:szCs w:val="19"/>
          </w:rPr>
          <w:t>Úřední věstník L 321, 17.12.2018, s. 36</w:t>
        </w:r>
      </w:hyperlink>
      <w:r w:rsidRPr="00826BF5">
        <w:rPr>
          <w:color w:val="000000"/>
          <w:sz w:val="19"/>
          <w:szCs w:val="19"/>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18FC" w14:textId="76677891" w:rsidR="001A10BA" w:rsidRPr="00242176" w:rsidRDefault="001A10BA" w:rsidP="00242176">
    <w:pPr>
      <w:spacing w:after="200" w:line="300" w:lineRule="auto"/>
      <w:jc w:val="center"/>
      <w:rPr>
        <w:b/>
        <w:bCs/>
        <w:sz w:val="20"/>
        <w:szCs w:val="20"/>
      </w:rPr>
    </w:pPr>
    <w:r>
      <w:rPr>
        <w:b/>
        <w:bCs/>
        <w:sz w:val="20"/>
        <w:szCs w:val="20"/>
      </w:rPr>
      <w:t xml:space="preserve">Manuál pro </w:t>
    </w:r>
    <w:r w:rsidRPr="00C4615D">
      <w:rPr>
        <w:b/>
        <w:bCs/>
        <w:sz w:val="20"/>
        <w:szCs w:val="20"/>
      </w:rPr>
      <w:t xml:space="preserve">shrnutí smlouvy, </w:t>
    </w:r>
    <w:r>
      <w:rPr>
        <w:b/>
        <w:bCs/>
        <w:sz w:val="20"/>
        <w:szCs w:val="20"/>
      </w:rPr>
      <w:t>které</w:t>
    </w:r>
    <w:r w:rsidRPr="00C4615D">
      <w:rPr>
        <w:b/>
        <w:bCs/>
        <w:sz w:val="20"/>
        <w:szCs w:val="20"/>
      </w:rPr>
      <w:t xml:space="preserve"> mají použít poskytovatelé veřejně dostupných služeb elektronických komunikací podle směrnice Evropského parlamentu a Rady (EU) 2018/1972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2AFD" w14:textId="0D4FCEFF" w:rsidR="001A10BA" w:rsidRPr="00242176" w:rsidRDefault="001A10BA" w:rsidP="00242176">
    <w:pPr>
      <w:spacing w:after="200" w:line="300" w:lineRule="auto"/>
      <w:jc w:val="center"/>
      <w:rPr>
        <w:b/>
        <w:bCs/>
        <w:sz w:val="20"/>
        <w:szCs w:val="20"/>
      </w:rPr>
    </w:pPr>
    <w:r>
      <w:rPr>
        <w:b/>
        <w:bCs/>
        <w:sz w:val="20"/>
        <w:szCs w:val="20"/>
      </w:rPr>
      <w:t>Šablona shrnutí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055C" w14:textId="767D08A2" w:rsidR="001A10BA" w:rsidRPr="00B50B33" w:rsidRDefault="001A10BA" w:rsidP="009D2873">
    <w:pPr>
      <w:spacing w:line="300" w:lineRule="auto"/>
      <w:jc w:val="center"/>
      <w:rPr>
        <w:b/>
        <w:bCs/>
        <w:sz w:val="20"/>
        <w:szCs w:val="20"/>
      </w:rPr>
    </w:pPr>
    <w:r>
      <w:rPr>
        <w:b/>
        <w:bCs/>
        <w:sz w:val="20"/>
        <w:szCs w:val="20"/>
      </w:rPr>
      <w:t>Příklad vyplněné š</w:t>
    </w:r>
    <w:r w:rsidRPr="00C4615D">
      <w:rPr>
        <w:b/>
        <w:bCs/>
        <w:sz w:val="20"/>
        <w:szCs w:val="20"/>
      </w:rPr>
      <w:t>ablon</w:t>
    </w:r>
    <w:r>
      <w:rPr>
        <w:b/>
        <w:bCs/>
        <w:sz w:val="20"/>
        <w:szCs w:val="20"/>
      </w:rPr>
      <w:t>y</w:t>
    </w:r>
    <w:r w:rsidRPr="00C4615D">
      <w:rPr>
        <w:b/>
        <w:bCs/>
        <w:sz w:val="20"/>
        <w:szCs w:val="20"/>
      </w:rPr>
      <w:t xml:space="preserve"> </w:t>
    </w:r>
    <w:r>
      <w:rPr>
        <w:b/>
        <w:bCs/>
        <w:sz w:val="20"/>
        <w:szCs w:val="20"/>
      </w:rPr>
      <w:t>s</w:t>
    </w:r>
    <w:r w:rsidRPr="00C4615D">
      <w:rPr>
        <w:b/>
        <w:bCs/>
        <w:sz w:val="20"/>
        <w:szCs w:val="20"/>
      </w:rPr>
      <w:t>hrnutí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953"/>
    <w:multiLevelType w:val="hybridMultilevel"/>
    <w:tmpl w:val="4774A3FE"/>
    <w:lvl w:ilvl="0" w:tplc="E69EF39C">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63688"/>
    <w:multiLevelType w:val="hybridMultilevel"/>
    <w:tmpl w:val="5C9C4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F7189A"/>
    <w:multiLevelType w:val="hybridMultilevel"/>
    <w:tmpl w:val="01E0251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7A1DB2"/>
    <w:multiLevelType w:val="hybridMultilevel"/>
    <w:tmpl w:val="01E0251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320C55"/>
    <w:multiLevelType w:val="hybridMultilevel"/>
    <w:tmpl w:val="94CE3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412264"/>
    <w:multiLevelType w:val="hybridMultilevel"/>
    <w:tmpl w:val="B526F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7D4E33"/>
    <w:multiLevelType w:val="hybridMultilevel"/>
    <w:tmpl w:val="01E0251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985D71"/>
    <w:multiLevelType w:val="hybridMultilevel"/>
    <w:tmpl w:val="8E7CD2B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9C292B"/>
    <w:multiLevelType w:val="hybridMultilevel"/>
    <w:tmpl w:val="CA50D6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2D263F46"/>
    <w:multiLevelType w:val="hybridMultilevel"/>
    <w:tmpl w:val="01E0251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D71313"/>
    <w:multiLevelType w:val="hybridMultilevel"/>
    <w:tmpl w:val="486A836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30F552E"/>
    <w:multiLevelType w:val="hybridMultilevel"/>
    <w:tmpl w:val="06CC26F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1605FE"/>
    <w:multiLevelType w:val="hybridMultilevel"/>
    <w:tmpl w:val="29A2A314"/>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3" w15:restartNumberingAfterBreak="0">
    <w:nsid w:val="4D600FC7"/>
    <w:multiLevelType w:val="hybridMultilevel"/>
    <w:tmpl w:val="0472C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CC6CC7"/>
    <w:multiLevelType w:val="hybridMultilevel"/>
    <w:tmpl w:val="B4D49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CA5F7A"/>
    <w:multiLevelType w:val="hybridMultilevel"/>
    <w:tmpl w:val="40800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9D6009B"/>
    <w:multiLevelType w:val="hybridMultilevel"/>
    <w:tmpl w:val="CE82E5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6D7C78"/>
    <w:multiLevelType w:val="hybridMultilevel"/>
    <w:tmpl w:val="01E0251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F6265C"/>
    <w:multiLevelType w:val="hybridMultilevel"/>
    <w:tmpl w:val="8834A8D6"/>
    <w:lvl w:ilvl="0" w:tplc="A30EC230">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6B55229"/>
    <w:multiLevelType w:val="hybridMultilevel"/>
    <w:tmpl w:val="486A836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6"/>
  </w:num>
  <w:num w:numId="4">
    <w:abstractNumId w:val="12"/>
  </w:num>
  <w:num w:numId="5">
    <w:abstractNumId w:val="8"/>
  </w:num>
  <w:num w:numId="6">
    <w:abstractNumId w:val="1"/>
  </w:num>
  <w:num w:numId="7">
    <w:abstractNumId w:val="10"/>
  </w:num>
  <w:num w:numId="8">
    <w:abstractNumId w:val="6"/>
  </w:num>
  <w:num w:numId="9">
    <w:abstractNumId w:val="2"/>
  </w:num>
  <w:num w:numId="10">
    <w:abstractNumId w:val="17"/>
  </w:num>
  <w:num w:numId="11">
    <w:abstractNumId w:val="3"/>
  </w:num>
  <w:num w:numId="12">
    <w:abstractNumId w:val="9"/>
  </w:num>
  <w:num w:numId="13">
    <w:abstractNumId w:val="13"/>
  </w:num>
  <w:num w:numId="14">
    <w:abstractNumId w:val="15"/>
  </w:num>
  <w:num w:numId="15">
    <w:abstractNumId w:val="11"/>
  </w:num>
  <w:num w:numId="16">
    <w:abstractNumId w:val="0"/>
  </w:num>
  <w:num w:numId="17">
    <w:abstractNumId w:val="5"/>
  </w:num>
  <w:num w:numId="18">
    <w:abstractNumId w:val="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05"/>
    <w:rsid w:val="000015F4"/>
    <w:rsid w:val="00006DF4"/>
    <w:rsid w:val="000228F5"/>
    <w:rsid w:val="000619B1"/>
    <w:rsid w:val="0007373D"/>
    <w:rsid w:val="00077F9C"/>
    <w:rsid w:val="000C0775"/>
    <w:rsid w:val="000D72D7"/>
    <w:rsid w:val="000E1686"/>
    <w:rsid w:val="000E2F7C"/>
    <w:rsid w:val="00124FC1"/>
    <w:rsid w:val="001357C4"/>
    <w:rsid w:val="0018327C"/>
    <w:rsid w:val="001857D1"/>
    <w:rsid w:val="001A10BA"/>
    <w:rsid w:val="001B7AF3"/>
    <w:rsid w:val="00212E13"/>
    <w:rsid w:val="00242176"/>
    <w:rsid w:val="00250BBB"/>
    <w:rsid w:val="00261250"/>
    <w:rsid w:val="002715C1"/>
    <w:rsid w:val="00271C41"/>
    <w:rsid w:val="00276421"/>
    <w:rsid w:val="002819CC"/>
    <w:rsid w:val="00281CAE"/>
    <w:rsid w:val="002A3410"/>
    <w:rsid w:val="002C3CAA"/>
    <w:rsid w:val="002C5C15"/>
    <w:rsid w:val="002E6992"/>
    <w:rsid w:val="002E6F0B"/>
    <w:rsid w:val="003347BF"/>
    <w:rsid w:val="00374FDB"/>
    <w:rsid w:val="003905E4"/>
    <w:rsid w:val="004248C1"/>
    <w:rsid w:val="004711FF"/>
    <w:rsid w:val="004A0DBC"/>
    <w:rsid w:val="004C1D67"/>
    <w:rsid w:val="004D191C"/>
    <w:rsid w:val="00510F7F"/>
    <w:rsid w:val="00513589"/>
    <w:rsid w:val="00523394"/>
    <w:rsid w:val="005335DC"/>
    <w:rsid w:val="0054009D"/>
    <w:rsid w:val="00542EED"/>
    <w:rsid w:val="005A62CA"/>
    <w:rsid w:val="006212C2"/>
    <w:rsid w:val="0062504C"/>
    <w:rsid w:val="006830EE"/>
    <w:rsid w:val="006A4E0A"/>
    <w:rsid w:val="0075101D"/>
    <w:rsid w:val="00796E83"/>
    <w:rsid w:val="00826BF5"/>
    <w:rsid w:val="00886DAC"/>
    <w:rsid w:val="008A34D1"/>
    <w:rsid w:val="00910BC9"/>
    <w:rsid w:val="00911057"/>
    <w:rsid w:val="009131AD"/>
    <w:rsid w:val="0092119D"/>
    <w:rsid w:val="00956283"/>
    <w:rsid w:val="009642EE"/>
    <w:rsid w:val="009803D8"/>
    <w:rsid w:val="009D2873"/>
    <w:rsid w:val="009E017F"/>
    <w:rsid w:val="009E4903"/>
    <w:rsid w:val="00A27F88"/>
    <w:rsid w:val="00A31A2A"/>
    <w:rsid w:val="00A32896"/>
    <w:rsid w:val="00A37F8D"/>
    <w:rsid w:val="00A41F21"/>
    <w:rsid w:val="00A52707"/>
    <w:rsid w:val="00A55D05"/>
    <w:rsid w:val="00A864CE"/>
    <w:rsid w:val="00AD246D"/>
    <w:rsid w:val="00AF0B0F"/>
    <w:rsid w:val="00B06F2B"/>
    <w:rsid w:val="00B25667"/>
    <w:rsid w:val="00B735CF"/>
    <w:rsid w:val="00BA6BED"/>
    <w:rsid w:val="00BB304A"/>
    <w:rsid w:val="00BC002E"/>
    <w:rsid w:val="00BD2A0D"/>
    <w:rsid w:val="00BF19BE"/>
    <w:rsid w:val="00C20A8D"/>
    <w:rsid w:val="00C4615D"/>
    <w:rsid w:val="00C57AAB"/>
    <w:rsid w:val="00C844FB"/>
    <w:rsid w:val="00CA0935"/>
    <w:rsid w:val="00CA0EFF"/>
    <w:rsid w:val="00CA50DE"/>
    <w:rsid w:val="00CE5141"/>
    <w:rsid w:val="00D23BE3"/>
    <w:rsid w:val="00D44EBA"/>
    <w:rsid w:val="00D47E15"/>
    <w:rsid w:val="00D82A8F"/>
    <w:rsid w:val="00DF3E8D"/>
    <w:rsid w:val="00E14182"/>
    <w:rsid w:val="00E242B1"/>
    <w:rsid w:val="00E5051C"/>
    <w:rsid w:val="00E54163"/>
    <w:rsid w:val="00E63E44"/>
    <w:rsid w:val="00E758CB"/>
    <w:rsid w:val="00EA65D9"/>
    <w:rsid w:val="00EB06F0"/>
    <w:rsid w:val="00EB56C5"/>
    <w:rsid w:val="00EE417F"/>
    <w:rsid w:val="00EE4694"/>
    <w:rsid w:val="00F00743"/>
    <w:rsid w:val="00F31EBB"/>
    <w:rsid w:val="00F3252E"/>
    <w:rsid w:val="00F535D9"/>
    <w:rsid w:val="00F74ED9"/>
    <w:rsid w:val="00F932DD"/>
    <w:rsid w:val="00F94603"/>
    <w:rsid w:val="00FA4A65"/>
    <w:rsid w:val="00FC3448"/>
    <w:rsid w:val="00FC39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FCADC"/>
  <w15:chartTrackingRefBased/>
  <w15:docId w15:val="{9902D7E7-4D4C-224D-AF33-43D21EDC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A6BED"/>
    <w:pPr>
      <w:autoSpaceDE w:val="0"/>
      <w:autoSpaceDN w:val="0"/>
      <w:adjustRightInd w:val="0"/>
    </w:pPr>
    <w:rPr>
      <w:rFonts w:ascii="EUAlbertina" w:hAnsi="EUAlbertina" w:cs="EUAlbertina"/>
      <w:color w:val="000000"/>
    </w:rPr>
  </w:style>
  <w:style w:type="paragraph" w:styleId="Zkladntext">
    <w:name w:val="Body Text"/>
    <w:basedOn w:val="Normln"/>
    <w:link w:val="ZkladntextChar"/>
    <w:uiPriority w:val="1"/>
    <w:qFormat/>
    <w:rsid w:val="00BA6BED"/>
    <w:pPr>
      <w:autoSpaceDE w:val="0"/>
      <w:autoSpaceDN w:val="0"/>
      <w:adjustRightInd w:val="0"/>
      <w:ind w:left="39"/>
    </w:pPr>
    <w:rPr>
      <w:rFonts w:ascii="Times New Roman" w:hAnsi="Times New Roman" w:cs="Times New Roman"/>
      <w:b/>
      <w:bCs/>
      <w:sz w:val="19"/>
      <w:szCs w:val="19"/>
    </w:rPr>
  </w:style>
  <w:style w:type="character" w:customStyle="1" w:styleId="ZkladntextChar">
    <w:name w:val="Základní text Char"/>
    <w:basedOn w:val="Standardnpsmoodstavce"/>
    <w:link w:val="Zkladntext"/>
    <w:uiPriority w:val="1"/>
    <w:rsid w:val="00BA6BED"/>
    <w:rPr>
      <w:rFonts w:ascii="Times New Roman" w:hAnsi="Times New Roman" w:cs="Times New Roman"/>
      <w:b/>
      <w:bCs/>
      <w:sz w:val="19"/>
      <w:szCs w:val="19"/>
    </w:rPr>
  </w:style>
  <w:style w:type="paragraph" w:styleId="Odstavecseseznamem">
    <w:name w:val="List Paragraph"/>
    <w:basedOn w:val="Normln"/>
    <w:uiPriority w:val="34"/>
    <w:qFormat/>
    <w:rsid w:val="00242176"/>
    <w:pPr>
      <w:ind w:left="720"/>
      <w:contextualSpacing/>
    </w:pPr>
  </w:style>
  <w:style w:type="paragraph" w:styleId="Zhlav">
    <w:name w:val="header"/>
    <w:basedOn w:val="Normln"/>
    <w:link w:val="ZhlavChar"/>
    <w:uiPriority w:val="99"/>
    <w:unhideWhenUsed/>
    <w:rsid w:val="00242176"/>
    <w:pPr>
      <w:tabs>
        <w:tab w:val="center" w:pos="4536"/>
        <w:tab w:val="right" w:pos="9072"/>
      </w:tabs>
    </w:pPr>
  </w:style>
  <w:style w:type="character" w:customStyle="1" w:styleId="ZhlavChar">
    <w:name w:val="Záhlaví Char"/>
    <w:basedOn w:val="Standardnpsmoodstavce"/>
    <w:link w:val="Zhlav"/>
    <w:uiPriority w:val="99"/>
    <w:rsid w:val="00242176"/>
    <w:rPr>
      <w:lang w:val="en-US"/>
    </w:rPr>
  </w:style>
  <w:style w:type="paragraph" w:styleId="Zpat">
    <w:name w:val="footer"/>
    <w:basedOn w:val="Normln"/>
    <w:link w:val="ZpatChar"/>
    <w:uiPriority w:val="99"/>
    <w:unhideWhenUsed/>
    <w:rsid w:val="00242176"/>
    <w:pPr>
      <w:tabs>
        <w:tab w:val="center" w:pos="4536"/>
        <w:tab w:val="right" w:pos="9072"/>
      </w:tabs>
    </w:pPr>
  </w:style>
  <w:style w:type="character" w:customStyle="1" w:styleId="ZpatChar">
    <w:name w:val="Zápatí Char"/>
    <w:basedOn w:val="Standardnpsmoodstavce"/>
    <w:link w:val="Zpat"/>
    <w:uiPriority w:val="99"/>
    <w:rsid w:val="00242176"/>
    <w:rPr>
      <w:lang w:val="en-US"/>
    </w:rPr>
  </w:style>
  <w:style w:type="table" w:styleId="Mkatabulky">
    <w:name w:val="Table Grid"/>
    <w:basedOn w:val="Normlntabulka"/>
    <w:uiPriority w:val="39"/>
    <w:rsid w:val="0024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A34D1"/>
    <w:rPr>
      <w:sz w:val="16"/>
      <w:szCs w:val="16"/>
    </w:rPr>
  </w:style>
  <w:style w:type="paragraph" w:styleId="Textkomente">
    <w:name w:val="annotation text"/>
    <w:basedOn w:val="Normln"/>
    <w:link w:val="TextkomenteChar"/>
    <w:uiPriority w:val="99"/>
    <w:semiHidden/>
    <w:unhideWhenUsed/>
    <w:rsid w:val="008A34D1"/>
    <w:rPr>
      <w:sz w:val="20"/>
      <w:szCs w:val="20"/>
    </w:rPr>
  </w:style>
  <w:style w:type="character" w:customStyle="1" w:styleId="TextkomenteChar">
    <w:name w:val="Text komentáře Char"/>
    <w:basedOn w:val="Standardnpsmoodstavce"/>
    <w:link w:val="Textkomente"/>
    <w:uiPriority w:val="99"/>
    <w:semiHidden/>
    <w:rsid w:val="008A34D1"/>
    <w:rPr>
      <w:sz w:val="20"/>
      <w:szCs w:val="20"/>
      <w:lang w:val="en-US"/>
    </w:rPr>
  </w:style>
  <w:style w:type="paragraph" w:styleId="Pedmtkomente">
    <w:name w:val="annotation subject"/>
    <w:basedOn w:val="Textkomente"/>
    <w:next w:val="Textkomente"/>
    <w:link w:val="PedmtkomenteChar"/>
    <w:uiPriority w:val="99"/>
    <w:semiHidden/>
    <w:unhideWhenUsed/>
    <w:rsid w:val="008A34D1"/>
    <w:rPr>
      <w:b/>
      <w:bCs/>
    </w:rPr>
  </w:style>
  <w:style w:type="character" w:customStyle="1" w:styleId="PedmtkomenteChar">
    <w:name w:val="Předmět komentáře Char"/>
    <w:basedOn w:val="TextkomenteChar"/>
    <w:link w:val="Pedmtkomente"/>
    <w:uiPriority w:val="99"/>
    <w:semiHidden/>
    <w:rsid w:val="008A34D1"/>
    <w:rPr>
      <w:b/>
      <w:bCs/>
      <w:sz w:val="20"/>
      <w:szCs w:val="20"/>
      <w:lang w:val="en-US"/>
    </w:rPr>
  </w:style>
  <w:style w:type="character" w:customStyle="1" w:styleId="italic">
    <w:name w:val="italic"/>
    <w:basedOn w:val="Standardnpsmoodstavce"/>
    <w:rsid w:val="009131AD"/>
  </w:style>
  <w:style w:type="paragraph" w:customStyle="1" w:styleId="Normln1">
    <w:name w:val="Normální1"/>
    <w:basedOn w:val="Normln"/>
    <w:rsid w:val="00281CAE"/>
    <w:pPr>
      <w:spacing w:before="100" w:beforeAutospacing="1" w:after="100" w:afterAutospacing="1"/>
    </w:pPr>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0C0775"/>
  </w:style>
  <w:style w:type="character" w:styleId="Hypertextovodkaz">
    <w:name w:val="Hyperlink"/>
    <w:basedOn w:val="Standardnpsmoodstavce"/>
    <w:uiPriority w:val="99"/>
    <w:unhideWhenUsed/>
    <w:rsid w:val="00250BBB"/>
    <w:rPr>
      <w:color w:val="0563C1" w:themeColor="hyperlink"/>
      <w:u w:val="single"/>
    </w:rPr>
  </w:style>
  <w:style w:type="character" w:styleId="Sledovanodkaz">
    <w:name w:val="FollowedHyperlink"/>
    <w:basedOn w:val="Standardnpsmoodstavce"/>
    <w:uiPriority w:val="99"/>
    <w:semiHidden/>
    <w:unhideWhenUsed/>
    <w:rsid w:val="00250BBB"/>
    <w:rPr>
      <w:color w:val="954F72" w:themeColor="followedHyperlink"/>
      <w:u w:val="single"/>
    </w:rPr>
  </w:style>
  <w:style w:type="character" w:styleId="Nevyeenzmnka">
    <w:name w:val="Unresolved Mention"/>
    <w:basedOn w:val="Standardnpsmoodstavce"/>
    <w:uiPriority w:val="99"/>
    <w:semiHidden/>
    <w:unhideWhenUsed/>
    <w:rsid w:val="00F94603"/>
    <w:rPr>
      <w:color w:val="605E5C"/>
      <w:shd w:val="clear" w:color="auto" w:fill="E1DFDD"/>
    </w:rPr>
  </w:style>
  <w:style w:type="paragraph" w:styleId="Textpoznpodarou">
    <w:name w:val="footnote text"/>
    <w:basedOn w:val="Normln"/>
    <w:link w:val="TextpoznpodarouChar"/>
    <w:uiPriority w:val="99"/>
    <w:semiHidden/>
    <w:unhideWhenUsed/>
    <w:rsid w:val="00826BF5"/>
    <w:rPr>
      <w:sz w:val="20"/>
      <w:szCs w:val="20"/>
    </w:rPr>
  </w:style>
  <w:style w:type="character" w:customStyle="1" w:styleId="TextpoznpodarouChar">
    <w:name w:val="Text pozn. pod čarou Char"/>
    <w:basedOn w:val="Standardnpsmoodstavce"/>
    <w:link w:val="Textpoznpodarou"/>
    <w:uiPriority w:val="99"/>
    <w:semiHidden/>
    <w:rsid w:val="00826BF5"/>
    <w:rPr>
      <w:sz w:val="20"/>
      <w:szCs w:val="20"/>
      <w:lang w:val="en-US"/>
    </w:rPr>
  </w:style>
  <w:style w:type="character" w:styleId="Znakapoznpodarou">
    <w:name w:val="footnote reference"/>
    <w:basedOn w:val="Standardnpsmoodstavce"/>
    <w:uiPriority w:val="99"/>
    <w:semiHidden/>
    <w:unhideWhenUsed/>
    <w:rsid w:val="00826BF5"/>
    <w:rPr>
      <w:vertAlign w:val="superscript"/>
    </w:rPr>
  </w:style>
  <w:style w:type="paragraph" w:styleId="Revize">
    <w:name w:val="Revision"/>
    <w:hidden/>
    <w:uiPriority w:val="99"/>
    <w:semiHidden/>
    <w:rsid w:val="00A41F21"/>
    <w:rPr>
      <w:lang w:val="en-US"/>
    </w:rPr>
  </w:style>
  <w:style w:type="paragraph" w:styleId="Textbubliny">
    <w:name w:val="Balloon Text"/>
    <w:basedOn w:val="Normln"/>
    <w:link w:val="TextbublinyChar"/>
    <w:uiPriority w:val="99"/>
    <w:semiHidden/>
    <w:unhideWhenUsed/>
    <w:rsid w:val="00E141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418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6950">
      <w:bodyDiv w:val="1"/>
      <w:marLeft w:val="0"/>
      <w:marRight w:val="0"/>
      <w:marTop w:val="0"/>
      <w:marBottom w:val="0"/>
      <w:divBdr>
        <w:top w:val="none" w:sz="0" w:space="0" w:color="auto"/>
        <w:left w:val="none" w:sz="0" w:space="0" w:color="auto"/>
        <w:bottom w:val="none" w:sz="0" w:space="0" w:color="auto"/>
        <w:right w:val="none" w:sz="0" w:space="0" w:color="auto"/>
      </w:divBdr>
      <w:divsChild>
        <w:div w:id="1509129622">
          <w:marLeft w:val="0"/>
          <w:marRight w:val="0"/>
          <w:marTop w:val="0"/>
          <w:marBottom w:val="0"/>
          <w:divBdr>
            <w:top w:val="none" w:sz="0" w:space="0" w:color="auto"/>
            <w:left w:val="none" w:sz="0" w:space="0" w:color="auto"/>
            <w:bottom w:val="none" w:sz="0" w:space="0" w:color="auto"/>
            <w:right w:val="none" w:sz="0" w:space="0" w:color="auto"/>
          </w:divBdr>
          <w:divsChild>
            <w:div w:id="1952080238">
              <w:marLeft w:val="0"/>
              <w:marRight w:val="0"/>
              <w:marTop w:val="0"/>
              <w:marBottom w:val="0"/>
              <w:divBdr>
                <w:top w:val="none" w:sz="0" w:space="0" w:color="auto"/>
                <w:left w:val="none" w:sz="0" w:space="0" w:color="auto"/>
                <w:bottom w:val="none" w:sz="0" w:space="0" w:color="auto"/>
                <w:right w:val="none" w:sz="0" w:space="0" w:color="auto"/>
              </w:divBdr>
              <w:divsChild>
                <w:div w:id="1241134123">
                  <w:marLeft w:val="0"/>
                  <w:marRight w:val="0"/>
                  <w:marTop w:val="0"/>
                  <w:marBottom w:val="0"/>
                  <w:divBdr>
                    <w:top w:val="none" w:sz="0" w:space="0" w:color="auto"/>
                    <w:left w:val="none" w:sz="0" w:space="0" w:color="auto"/>
                    <w:bottom w:val="none" w:sz="0" w:space="0" w:color="auto"/>
                    <w:right w:val="none" w:sz="0" w:space="0" w:color="auto"/>
                  </w:divBdr>
                  <w:divsChild>
                    <w:div w:id="4369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2555">
      <w:bodyDiv w:val="1"/>
      <w:marLeft w:val="0"/>
      <w:marRight w:val="0"/>
      <w:marTop w:val="0"/>
      <w:marBottom w:val="0"/>
      <w:divBdr>
        <w:top w:val="none" w:sz="0" w:space="0" w:color="auto"/>
        <w:left w:val="none" w:sz="0" w:space="0" w:color="auto"/>
        <w:bottom w:val="none" w:sz="0" w:space="0" w:color="auto"/>
        <w:right w:val="none" w:sz="0" w:space="0" w:color="auto"/>
      </w:divBdr>
    </w:div>
    <w:div w:id="284698733">
      <w:bodyDiv w:val="1"/>
      <w:marLeft w:val="0"/>
      <w:marRight w:val="0"/>
      <w:marTop w:val="0"/>
      <w:marBottom w:val="0"/>
      <w:divBdr>
        <w:top w:val="none" w:sz="0" w:space="0" w:color="auto"/>
        <w:left w:val="none" w:sz="0" w:space="0" w:color="auto"/>
        <w:bottom w:val="none" w:sz="0" w:space="0" w:color="auto"/>
        <w:right w:val="none" w:sz="0" w:space="0" w:color="auto"/>
      </w:divBdr>
      <w:divsChild>
        <w:div w:id="1462529836">
          <w:marLeft w:val="0"/>
          <w:marRight w:val="0"/>
          <w:marTop w:val="0"/>
          <w:marBottom w:val="0"/>
          <w:divBdr>
            <w:top w:val="none" w:sz="0" w:space="0" w:color="auto"/>
            <w:left w:val="none" w:sz="0" w:space="0" w:color="auto"/>
            <w:bottom w:val="none" w:sz="0" w:space="0" w:color="auto"/>
            <w:right w:val="none" w:sz="0" w:space="0" w:color="auto"/>
          </w:divBdr>
          <w:divsChild>
            <w:div w:id="887062332">
              <w:marLeft w:val="0"/>
              <w:marRight w:val="0"/>
              <w:marTop w:val="0"/>
              <w:marBottom w:val="0"/>
              <w:divBdr>
                <w:top w:val="none" w:sz="0" w:space="0" w:color="auto"/>
                <w:left w:val="none" w:sz="0" w:space="0" w:color="auto"/>
                <w:bottom w:val="none" w:sz="0" w:space="0" w:color="auto"/>
                <w:right w:val="none" w:sz="0" w:space="0" w:color="auto"/>
              </w:divBdr>
              <w:divsChild>
                <w:div w:id="1952475138">
                  <w:marLeft w:val="0"/>
                  <w:marRight w:val="0"/>
                  <w:marTop w:val="0"/>
                  <w:marBottom w:val="0"/>
                  <w:divBdr>
                    <w:top w:val="none" w:sz="0" w:space="0" w:color="auto"/>
                    <w:left w:val="none" w:sz="0" w:space="0" w:color="auto"/>
                    <w:bottom w:val="none" w:sz="0" w:space="0" w:color="auto"/>
                    <w:right w:val="none" w:sz="0" w:space="0" w:color="auto"/>
                  </w:divBdr>
                  <w:divsChild>
                    <w:div w:id="7547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02796">
      <w:bodyDiv w:val="1"/>
      <w:marLeft w:val="0"/>
      <w:marRight w:val="0"/>
      <w:marTop w:val="0"/>
      <w:marBottom w:val="0"/>
      <w:divBdr>
        <w:top w:val="none" w:sz="0" w:space="0" w:color="auto"/>
        <w:left w:val="none" w:sz="0" w:space="0" w:color="auto"/>
        <w:bottom w:val="none" w:sz="0" w:space="0" w:color="auto"/>
        <w:right w:val="none" w:sz="0" w:space="0" w:color="auto"/>
      </w:divBdr>
    </w:div>
    <w:div w:id="626204948">
      <w:bodyDiv w:val="1"/>
      <w:marLeft w:val="0"/>
      <w:marRight w:val="0"/>
      <w:marTop w:val="0"/>
      <w:marBottom w:val="0"/>
      <w:divBdr>
        <w:top w:val="none" w:sz="0" w:space="0" w:color="auto"/>
        <w:left w:val="none" w:sz="0" w:space="0" w:color="auto"/>
        <w:bottom w:val="none" w:sz="0" w:space="0" w:color="auto"/>
        <w:right w:val="none" w:sz="0" w:space="0" w:color="auto"/>
      </w:divBdr>
    </w:div>
    <w:div w:id="633104144">
      <w:bodyDiv w:val="1"/>
      <w:marLeft w:val="0"/>
      <w:marRight w:val="0"/>
      <w:marTop w:val="0"/>
      <w:marBottom w:val="0"/>
      <w:divBdr>
        <w:top w:val="none" w:sz="0" w:space="0" w:color="auto"/>
        <w:left w:val="none" w:sz="0" w:space="0" w:color="auto"/>
        <w:bottom w:val="none" w:sz="0" w:space="0" w:color="auto"/>
        <w:right w:val="none" w:sz="0" w:space="0" w:color="auto"/>
      </w:divBdr>
    </w:div>
    <w:div w:id="697002488">
      <w:bodyDiv w:val="1"/>
      <w:marLeft w:val="0"/>
      <w:marRight w:val="0"/>
      <w:marTop w:val="0"/>
      <w:marBottom w:val="0"/>
      <w:divBdr>
        <w:top w:val="none" w:sz="0" w:space="0" w:color="auto"/>
        <w:left w:val="none" w:sz="0" w:space="0" w:color="auto"/>
        <w:bottom w:val="none" w:sz="0" w:space="0" w:color="auto"/>
        <w:right w:val="none" w:sz="0" w:space="0" w:color="auto"/>
      </w:divBdr>
    </w:div>
    <w:div w:id="842937801">
      <w:bodyDiv w:val="1"/>
      <w:marLeft w:val="0"/>
      <w:marRight w:val="0"/>
      <w:marTop w:val="0"/>
      <w:marBottom w:val="0"/>
      <w:divBdr>
        <w:top w:val="none" w:sz="0" w:space="0" w:color="auto"/>
        <w:left w:val="none" w:sz="0" w:space="0" w:color="auto"/>
        <w:bottom w:val="none" w:sz="0" w:space="0" w:color="auto"/>
        <w:right w:val="none" w:sz="0" w:space="0" w:color="auto"/>
      </w:divBdr>
    </w:div>
    <w:div w:id="900555988">
      <w:bodyDiv w:val="1"/>
      <w:marLeft w:val="0"/>
      <w:marRight w:val="0"/>
      <w:marTop w:val="0"/>
      <w:marBottom w:val="0"/>
      <w:divBdr>
        <w:top w:val="none" w:sz="0" w:space="0" w:color="auto"/>
        <w:left w:val="none" w:sz="0" w:space="0" w:color="auto"/>
        <w:bottom w:val="none" w:sz="0" w:space="0" w:color="auto"/>
        <w:right w:val="none" w:sz="0" w:space="0" w:color="auto"/>
      </w:divBdr>
    </w:div>
    <w:div w:id="1213272101">
      <w:bodyDiv w:val="1"/>
      <w:marLeft w:val="0"/>
      <w:marRight w:val="0"/>
      <w:marTop w:val="0"/>
      <w:marBottom w:val="0"/>
      <w:divBdr>
        <w:top w:val="none" w:sz="0" w:space="0" w:color="auto"/>
        <w:left w:val="none" w:sz="0" w:space="0" w:color="auto"/>
        <w:bottom w:val="none" w:sz="0" w:space="0" w:color="auto"/>
        <w:right w:val="none" w:sz="0" w:space="0" w:color="auto"/>
      </w:divBdr>
    </w:div>
    <w:div w:id="1465275029">
      <w:bodyDiv w:val="1"/>
      <w:marLeft w:val="0"/>
      <w:marRight w:val="0"/>
      <w:marTop w:val="0"/>
      <w:marBottom w:val="0"/>
      <w:divBdr>
        <w:top w:val="none" w:sz="0" w:space="0" w:color="auto"/>
        <w:left w:val="none" w:sz="0" w:space="0" w:color="auto"/>
        <w:bottom w:val="none" w:sz="0" w:space="0" w:color="auto"/>
        <w:right w:val="none" w:sz="0" w:space="0" w:color="auto"/>
      </w:divBdr>
    </w:div>
    <w:div w:id="1507593997">
      <w:bodyDiv w:val="1"/>
      <w:marLeft w:val="0"/>
      <w:marRight w:val="0"/>
      <w:marTop w:val="0"/>
      <w:marBottom w:val="0"/>
      <w:divBdr>
        <w:top w:val="none" w:sz="0" w:space="0" w:color="auto"/>
        <w:left w:val="none" w:sz="0" w:space="0" w:color="auto"/>
        <w:bottom w:val="none" w:sz="0" w:space="0" w:color="auto"/>
        <w:right w:val="none" w:sz="0" w:space="0" w:color="auto"/>
      </w:divBdr>
    </w:div>
    <w:div w:id="1646854726">
      <w:bodyDiv w:val="1"/>
      <w:marLeft w:val="0"/>
      <w:marRight w:val="0"/>
      <w:marTop w:val="0"/>
      <w:marBottom w:val="0"/>
      <w:divBdr>
        <w:top w:val="none" w:sz="0" w:space="0" w:color="auto"/>
        <w:left w:val="none" w:sz="0" w:space="0" w:color="auto"/>
        <w:bottom w:val="none" w:sz="0" w:space="0" w:color="auto"/>
        <w:right w:val="none" w:sz="0" w:space="0" w:color="auto"/>
      </w:divBdr>
    </w:div>
    <w:div w:id="1678195925">
      <w:bodyDiv w:val="1"/>
      <w:marLeft w:val="0"/>
      <w:marRight w:val="0"/>
      <w:marTop w:val="0"/>
      <w:marBottom w:val="0"/>
      <w:divBdr>
        <w:top w:val="none" w:sz="0" w:space="0" w:color="auto"/>
        <w:left w:val="none" w:sz="0" w:space="0" w:color="auto"/>
        <w:bottom w:val="none" w:sz="0" w:space="0" w:color="auto"/>
        <w:right w:val="none" w:sz="0" w:space="0" w:color="auto"/>
      </w:divBdr>
    </w:div>
    <w:div w:id="20819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svg"/><Relationship Id="rId18" Type="http://schemas.openxmlformats.org/officeDocument/2006/relationships/hyperlink" Target="http://www.internetovaspolecnost.cz/reklamace" TargetMode="External"/><Relationship Id="rId3" Type="http://schemas.openxmlformats.org/officeDocument/2006/relationships/styles" Target="styles.xml"/><Relationship Id="rId21" Type="http://schemas.openxmlformats.org/officeDocument/2006/relationships/hyperlink" Target="http://www.internetovaspolecnost.cz/vop"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internetovaspolecnost.cz" TargetMode="External"/><Relationship Id="rId2" Type="http://schemas.openxmlformats.org/officeDocument/2006/relationships/numbering" Target="numbering.xml"/><Relationship Id="rId16" Type="http://schemas.openxmlformats.org/officeDocument/2006/relationships/hyperlink" Target="mailto:internet@spolecnost.cz" TargetMode="External"/><Relationship Id="rId20" Type="http://schemas.openxmlformats.org/officeDocument/2006/relationships/hyperlink" Target="http://www.internetovaspolecnost.cz/zdravotni-postizeni"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tu.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CS/TXT/?uri=OJ%3AL%3A2018%3A321%3ATOC" TargetMode="External"/><Relationship Id="rId1" Type="http://schemas.openxmlformats.org/officeDocument/2006/relationships/hyperlink" Target="https://eur-lex.europa.eu/legal-content/CS/TXT/?uri=OJ%3AL%3A2018%3A321%3ATOC"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28DE-F973-4855-A1B8-B7A124F7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2440</Words>
  <Characters>14398</Characters>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2022-05-05T10:43:00Z</dcterms:created>
  <dcterms:modified xsi:type="dcterms:W3CDTF">2022-05-09T14:16:00Z</dcterms:modified>
</cp:coreProperties>
</file>