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5AC7" w14:textId="544D159A" w:rsidR="00D95EAE" w:rsidRPr="001711C5" w:rsidRDefault="00D95EAE" w:rsidP="00D95EAE">
      <w:pPr>
        <w:jc w:val="right"/>
        <w:rPr>
          <w:b/>
        </w:rPr>
      </w:pPr>
      <w:r w:rsidRPr="001711C5">
        <w:rPr>
          <w:b/>
        </w:rPr>
        <w:t>I.</w:t>
      </w:r>
    </w:p>
    <w:p w14:paraId="13F36EFE" w14:textId="77777777" w:rsidR="00D95EAE" w:rsidRPr="0001569B" w:rsidRDefault="00D95EAE" w:rsidP="00D95EAE">
      <w:pPr>
        <w:spacing w:before="600"/>
        <w:jc w:val="center"/>
        <w:rPr>
          <w:b/>
        </w:rPr>
      </w:pPr>
      <w:r w:rsidRPr="0001569B">
        <w:rPr>
          <w:b/>
        </w:rPr>
        <w:t>PŘEDKLÁDACÍ ZPRÁVA</w:t>
      </w:r>
    </w:p>
    <w:p w14:paraId="2D86E04C" w14:textId="77777777" w:rsidR="00D95EAE" w:rsidRDefault="00D95EAE" w:rsidP="00D95EAE">
      <w:pPr>
        <w:rPr>
          <w:rFonts w:cs="Arial"/>
          <w:bCs/>
          <w:szCs w:val="22"/>
        </w:rPr>
      </w:pPr>
    </w:p>
    <w:p w14:paraId="64619922" w14:textId="04E36EB7" w:rsidR="00AB12A1" w:rsidRDefault="00AB12A1" w:rsidP="00D95EAE">
      <w:pPr>
        <w:rPr>
          <w:rFonts w:cs="Arial"/>
          <w:bCs/>
          <w:szCs w:val="22"/>
        </w:rPr>
      </w:pPr>
    </w:p>
    <w:p w14:paraId="530723FE" w14:textId="178ADE04" w:rsidR="00D95EAE" w:rsidRPr="00E16D3A" w:rsidRDefault="00D95EAE" w:rsidP="00563F32">
      <w:pPr>
        <w:ind w:firstLine="720"/>
        <w:jc w:val="both"/>
      </w:pPr>
      <w:r w:rsidRPr="00E16D3A">
        <w:t xml:space="preserve">Český telekomunikační úřad (dále jen „ČTÚ“) předkládá </w:t>
      </w:r>
      <w:r w:rsidR="00563F32">
        <w:t>materiál „</w:t>
      </w:r>
      <w:r w:rsidR="00E16D3A" w:rsidRPr="00E16D3A">
        <w:t>Druh</w:t>
      </w:r>
      <w:r w:rsidR="00563F32">
        <w:t>á</w:t>
      </w:r>
      <w:r w:rsidR="00E16D3A" w:rsidRPr="00E16D3A">
        <w:t xml:space="preserve"> Situační zpráv</w:t>
      </w:r>
      <w:r w:rsidR="00A10E80">
        <w:t>a</w:t>
      </w:r>
      <w:r w:rsidR="00E16D3A" w:rsidRPr="00E16D3A">
        <w:t xml:space="preserve"> </w:t>
      </w:r>
      <w:r w:rsidR="00E16D3A">
        <w:t xml:space="preserve">o </w:t>
      </w:r>
      <w:r w:rsidR="00E16D3A" w:rsidRPr="00E16D3A">
        <w:t>stavu plnění opatření</w:t>
      </w:r>
      <w:r w:rsidR="00C02FAE">
        <w:t xml:space="preserve"> </w:t>
      </w:r>
      <w:r w:rsidR="00C02FAE" w:rsidRPr="00913989">
        <w:t>(doplňující dokument ke Strategii správy rádiového spektra ze dne 3. června 2015, ve znění Situační zprávy o stavu plnění opatření ze dne 16. května 2018)</w:t>
      </w:r>
      <w:r w:rsidR="00563F32">
        <w:t>“</w:t>
      </w:r>
      <w:r w:rsidR="00E16D3A">
        <w:t xml:space="preserve"> (dále jen „Druhá situační zpráva“).</w:t>
      </w:r>
      <w:r w:rsidRPr="00E16D3A">
        <w:t xml:space="preserve"> </w:t>
      </w:r>
    </w:p>
    <w:p w14:paraId="53FC9C51" w14:textId="77777777" w:rsidR="00D95EAE" w:rsidRPr="00E16D3A" w:rsidRDefault="00D95EAE" w:rsidP="00D95EAE">
      <w:pPr>
        <w:ind w:firstLine="708"/>
        <w:jc w:val="both"/>
      </w:pPr>
    </w:p>
    <w:p w14:paraId="6DD829D8" w14:textId="657D661A" w:rsidR="00E16D3A" w:rsidRDefault="00D95EAE" w:rsidP="006A5E79">
      <w:pPr>
        <w:ind w:firstLine="720"/>
        <w:jc w:val="both"/>
      </w:pPr>
      <w:r w:rsidRPr="00462D43">
        <w:t>Usnesení</w:t>
      </w:r>
      <w:r w:rsidR="00E16D3A">
        <w:t>m</w:t>
      </w:r>
      <w:r w:rsidRPr="00E16D3A">
        <w:t xml:space="preserve"> vlády č. 421 ze dne 3. června 2015</w:t>
      </w:r>
      <w:r w:rsidR="00E16D3A">
        <w:t>, kterým byl</w:t>
      </w:r>
      <w:r w:rsidR="00563F32">
        <w:t xml:space="preserve"> </w:t>
      </w:r>
      <w:r w:rsidR="00E16D3A">
        <w:t>schválen</w:t>
      </w:r>
      <w:r w:rsidR="00563F32">
        <w:t xml:space="preserve"> materiál</w:t>
      </w:r>
      <w:r w:rsidR="00E16D3A">
        <w:t xml:space="preserve"> Strategie správy rádiového spektra (dále jen „Strategie“),</w:t>
      </w:r>
      <w:r w:rsidRPr="00E16D3A">
        <w:t xml:space="preserve"> </w:t>
      </w:r>
      <w:r w:rsidR="00E16D3A">
        <w:t xml:space="preserve">bylo </w:t>
      </w:r>
      <w:r w:rsidRPr="00E16D3A">
        <w:t>ulož</w:t>
      </w:r>
      <w:r w:rsidR="00E16D3A">
        <w:t>eno</w:t>
      </w:r>
      <w:r w:rsidRPr="00E16D3A">
        <w:t xml:space="preserve"> předsedovi Rady Českého telekomunikačního úřadu předložit vládě do 30. června 2017 situační zprávu o naplňování Strategie (dále jen „První Situační zpráva“)</w:t>
      </w:r>
      <w:r w:rsidR="00E16D3A">
        <w:t>,</w:t>
      </w:r>
      <w:r w:rsidRPr="00E16D3A">
        <w:t xml:space="preserve"> včetně návrhu na doplnění nebo úpravu opatření. První Situační zpráva byla schválena usnesením vlády č. 293 ze dne 16. května 2018. </w:t>
      </w:r>
    </w:p>
    <w:p w14:paraId="1F993194" w14:textId="77777777" w:rsidR="00E16D3A" w:rsidRDefault="00E16D3A" w:rsidP="006A5E79">
      <w:pPr>
        <w:ind w:firstLine="720"/>
        <w:jc w:val="both"/>
      </w:pPr>
    </w:p>
    <w:p w14:paraId="1D05AF7C" w14:textId="0B60EFF7" w:rsidR="00D95EAE" w:rsidRPr="00E16D3A" w:rsidRDefault="00D95EAE" w:rsidP="00563F32">
      <w:pPr>
        <w:ind w:firstLine="720"/>
        <w:jc w:val="both"/>
      </w:pPr>
      <w:r w:rsidRPr="00E16D3A">
        <w:t xml:space="preserve">S ohledem na další vývoj v oblasti správy rádiového spektra, jakož i na potřebu vyhodnotit svěřené úkoly </w:t>
      </w:r>
      <w:r w:rsidR="00A10E80">
        <w:t xml:space="preserve">a </w:t>
      </w:r>
      <w:r w:rsidRPr="00E16D3A">
        <w:t>připravit strategická opatření pro další období, vypracoval ČTÚ Druh</w:t>
      </w:r>
      <w:r w:rsidR="00E16D3A">
        <w:t>ou</w:t>
      </w:r>
      <w:r w:rsidRPr="00E16D3A">
        <w:t xml:space="preserve"> Situační zpráv</w:t>
      </w:r>
      <w:r w:rsidR="00E16D3A">
        <w:t>u</w:t>
      </w:r>
      <w:r w:rsidRPr="00E16D3A">
        <w:t>, kterou tímto předkládá vládě</w:t>
      </w:r>
      <w:r w:rsidR="001D0EFF" w:rsidRPr="00E16D3A">
        <w:t xml:space="preserve"> pro informaci, když se jedná o závažnou problematiku, jejíž řešení je primárně v</w:t>
      </w:r>
      <w:r w:rsidR="001D0EFF" w:rsidRPr="00462D43">
        <w:t> působnosti</w:t>
      </w:r>
      <w:r w:rsidR="001D0EFF" w:rsidRPr="00E16D3A">
        <w:t xml:space="preserve"> ČTÚ, ale dotýká se oblastí působnosti ostatních členů vlády.</w:t>
      </w:r>
      <w:bookmarkStart w:id="0" w:name="_GoBack"/>
      <w:bookmarkEnd w:id="0"/>
    </w:p>
    <w:p w14:paraId="7E29FCA3" w14:textId="77777777" w:rsidR="00D95EAE" w:rsidRPr="00E16D3A" w:rsidRDefault="00D95EAE" w:rsidP="00D95EAE">
      <w:pPr>
        <w:ind w:firstLine="708"/>
        <w:jc w:val="both"/>
      </w:pPr>
    </w:p>
    <w:p w14:paraId="2BCDFC31" w14:textId="3D260871" w:rsidR="00D95EAE" w:rsidRPr="00E16D3A" w:rsidRDefault="00D95EAE" w:rsidP="00563F32">
      <w:pPr>
        <w:ind w:firstLine="720"/>
        <w:jc w:val="both"/>
      </w:pPr>
      <w:r w:rsidRPr="00E16D3A">
        <w:t>Z Druhé Situační zprávy vyplývá, že z celkem 40 dosavadních krátkodobých cílů a</w:t>
      </w:r>
      <w:r w:rsidR="00563F32">
        <w:t> </w:t>
      </w:r>
      <w:r w:rsidRPr="00E16D3A">
        <w:t>opatření obsažených ve Strategii po doplnění První Situační zprávou bylo v původně předpokládaném věcném rozsahu realizováno 35 cílů a opatření. Zbývajících 5 cílů a opatření bylo odloženo, nahrazeno jinými cíli a opatřeními nebo nebylo realizováno. Střednědobá a</w:t>
      </w:r>
      <w:r w:rsidR="00563F32">
        <w:t> </w:t>
      </w:r>
      <w:r w:rsidRPr="00E16D3A">
        <w:t xml:space="preserve">krátkodobá opatření nejsou s ohledem na časový či věcný přesah do dalších úkolů předmětem vyhodnocení. </w:t>
      </w:r>
    </w:p>
    <w:p w14:paraId="1850AAC3" w14:textId="77777777" w:rsidR="00D95EAE" w:rsidRPr="00E16D3A" w:rsidRDefault="00D95EAE" w:rsidP="00D95EAE">
      <w:pPr>
        <w:ind w:firstLine="708"/>
        <w:jc w:val="both"/>
      </w:pPr>
    </w:p>
    <w:p w14:paraId="69B3AED6" w14:textId="77777777" w:rsidR="00D95EAE" w:rsidRPr="00E16D3A" w:rsidRDefault="00D95EAE" w:rsidP="00563F32">
      <w:pPr>
        <w:ind w:firstLine="720"/>
        <w:jc w:val="both"/>
      </w:pPr>
      <w:r w:rsidRPr="00E16D3A">
        <w:t>Mezi hlavní realizovaná opatření patří:</w:t>
      </w:r>
    </w:p>
    <w:p w14:paraId="2D474A32" w14:textId="77777777" w:rsidR="00D95EAE" w:rsidRPr="00E16D3A" w:rsidRDefault="00D95EAE" w:rsidP="00D95EAE">
      <w:pPr>
        <w:ind w:firstLine="708"/>
        <w:jc w:val="both"/>
      </w:pPr>
    </w:p>
    <w:p w14:paraId="22F61CB5" w14:textId="77777777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uvolnění pásma 700 MHz od zemského digitálního TV vysílání a dokončení přechodu na televizní vysílací formát DVB-T2 při zajištění kmitočtů pro 4 aktuálně provozované celoplošné vysílací sítě s platností přídělů do roku 2030, a to při udržení stanovené úrovně pokrytí obyvatel signálem zemského TV vysílání,</w:t>
      </w:r>
    </w:p>
    <w:p w14:paraId="56B81C9A" w14:textId="77777777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úspěšné přidělení kmitočtů z pásma 700 MHz a 3,4‒3,6 GHz mobilním operátorům v aukci v roce 2020, společně s uložením rozvojových kritérií k pokrytí a kvalitě signálu 5G. V pásmu 3,4‒3,6 GHz je výsledkem aukce také příchod dalších operátorů sítí 5G na trh,</w:t>
      </w:r>
    </w:p>
    <w:p w14:paraId="702E1968" w14:textId="272DCE32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reorganizace („</w:t>
      </w:r>
      <w:proofErr w:type="spellStart"/>
      <w:r w:rsidRPr="00E16D3A">
        <w:rPr>
          <w:rFonts w:ascii="Times New Roman" w:hAnsi="Times New Roman"/>
          <w:sz w:val="24"/>
          <w:szCs w:val="24"/>
        </w:rPr>
        <w:t>refarming</w:t>
      </w:r>
      <w:proofErr w:type="spellEnd"/>
      <w:r w:rsidRPr="00E16D3A">
        <w:rPr>
          <w:rFonts w:ascii="Times New Roman" w:hAnsi="Times New Roman"/>
          <w:sz w:val="24"/>
          <w:szCs w:val="24"/>
        </w:rPr>
        <w:t>“) kmitočtového pásma 900 MHz a 1800 MHz, která umožnila využití ucelených úseků spektra k provozu technologií 4G</w:t>
      </w:r>
      <w:r w:rsidR="00E0433B">
        <w:rPr>
          <w:rFonts w:ascii="Times New Roman" w:hAnsi="Times New Roman"/>
          <w:sz w:val="24"/>
          <w:szCs w:val="24"/>
        </w:rPr>
        <w:t xml:space="preserve"> a 5G</w:t>
      </w:r>
      <w:r w:rsidRPr="00E16D3A">
        <w:rPr>
          <w:rFonts w:ascii="Times New Roman" w:hAnsi="Times New Roman"/>
          <w:sz w:val="24"/>
          <w:szCs w:val="24"/>
        </w:rPr>
        <w:t>,</w:t>
      </w:r>
    </w:p>
    <w:p w14:paraId="3391A657" w14:textId="77777777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zavedení technologicky neutrálních podmínek v pásmu 2,6 GHz využívaném mobilními sítěmi k poskytování veřejně dostupných služeb,</w:t>
      </w:r>
    </w:p>
    <w:p w14:paraId="75A71F4F" w14:textId="472FBFAE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zpřístupnění pásem 5,2</w:t>
      </w:r>
      <w:r w:rsidR="00FE6749">
        <w:rPr>
          <w:rFonts w:ascii="Times New Roman" w:hAnsi="Times New Roman"/>
          <w:sz w:val="24"/>
          <w:szCs w:val="24"/>
        </w:rPr>
        <w:t> </w:t>
      </w:r>
      <w:r w:rsidRPr="00E16D3A">
        <w:rPr>
          <w:rFonts w:ascii="Times New Roman" w:hAnsi="Times New Roman"/>
          <w:sz w:val="24"/>
          <w:szCs w:val="24"/>
        </w:rPr>
        <w:t>GHz a 5,8</w:t>
      </w:r>
      <w:r w:rsidR="00FE6749">
        <w:rPr>
          <w:rFonts w:ascii="Times New Roman" w:hAnsi="Times New Roman"/>
          <w:sz w:val="24"/>
          <w:szCs w:val="24"/>
        </w:rPr>
        <w:t> </w:t>
      </w:r>
      <w:r w:rsidRPr="00E16D3A">
        <w:rPr>
          <w:rFonts w:ascii="Times New Roman" w:hAnsi="Times New Roman"/>
          <w:sz w:val="24"/>
          <w:szCs w:val="24"/>
        </w:rPr>
        <w:t>GHz pro venkovní provoz přístupových sítí BFWA/RLAN, včetně Wi-Fi,</w:t>
      </w:r>
    </w:p>
    <w:p w14:paraId="05196FD8" w14:textId="43ADF072" w:rsidR="00D95EAE" w:rsidRPr="00563F32" w:rsidRDefault="00D95EAE" w:rsidP="00563F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 xml:space="preserve">zavedení bezplatného přístupu ke spektru (všeobecné oprávnění) s využitím principu registrace a vzájemné koordinace stanic uživateli v pásmu 57‒66 GHz a zcela bez </w:t>
      </w:r>
      <w:r w:rsidRPr="00E16D3A">
        <w:rPr>
          <w:rFonts w:ascii="Times New Roman" w:hAnsi="Times New Roman"/>
          <w:sz w:val="24"/>
          <w:szCs w:val="24"/>
        </w:rPr>
        <w:lastRenderedPageBreak/>
        <w:t>registrace v pásmu 66‒71 GHz, což umožňuje provoz vysokorychlostních přístupových sítí a infrastrukturních pevných spojů v těchto pásmech,</w:t>
      </w:r>
    </w:p>
    <w:p w14:paraId="3BE471C2" w14:textId="02CC8140" w:rsidR="00D95EAE" w:rsidRPr="00E16D3A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průběžné zajišťování ochrany TV vysílání odstraňováním důsledků rušení v souvislosti s provozem některých vysílačů LTE</w:t>
      </w:r>
      <w:r w:rsidR="00E0433B">
        <w:rPr>
          <w:rFonts w:ascii="Times New Roman" w:hAnsi="Times New Roman"/>
          <w:sz w:val="24"/>
          <w:szCs w:val="24"/>
        </w:rPr>
        <w:t>/4G a 5G</w:t>
      </w:r>
      <w:r w:rsidRPr="00E16D3A">
        <w:rPr>
          <w:rFonts w:ascii="Times New Roman" w:hAnsi="Times New Roman"/>
          <w:sz w:val="24"/>
          <w:szCs w:val="24"/>
        </w:rPr>
        <w:t>,</w:t>
      </w:r>
    </w:p>
    <w:p w14:paraId="2E453430" w14:textId="5294D59B" w:rsidR="00D95EAE" w:rsidRPr="00563F32" w:rsidRDefault="00D95EAE" w:rsidP="00D95E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6D3A">
        <w:rPr>
          <w:rFonts w:ascii="Times New Roman" w:hAnsi="Times New Roman"/>
          <w:sz w:val="24"/>
          <w:szCs w:val="24"/>
        </w:rPr>
        <w:t>sjednocení doby platnosti přídělů rádiových kmitočtů.</w:t>
      </w:r>
    </w:p>
    <w:p w14:paraId="2FEFD700" w14:textId="60238130" w:rsidR="00D95EAE" w:rsidRPr="00563F32" w:rsidRDefault="00D95EAE" w:rsidP="00E16D3A">
      <w:pPr>
        <w:ind w:firstLine="720"/>
        <w:jc w:val="both"/>
      </w:pPr>
      <w:r w:rsidRPr="00E16D3A">
        <w:t xml:space="preserve">Předkládaná Druhá Situační zpráva kromě vyhodnocení dosavadního plnění jednotlivých </w:t>
      </w:r>
      <w:r w:rsidRPr="00563F32">
        <w:t>cílů a opatření Strategie obsahuje i návrh na jejich aktualizaci a doplnění s tím, že Strategie zůstává nadále účinná včetně navržených dopl</w:t>
      </w:r>
      <w:r w:rsidR="006A5E79" w:rsidRPr="00563F32">
        <w:t>nění</w:t>
      </w:r>
      <w:r w:rsidRPr="00563F32">
        <w:t>. Řada cílů a opatření je povahy střednědobé nebo dlouhodobé. Z pohledu nejbližší budoucnosti patří mezi nejdůležitější tyto cíle:</w:t>
      </w:r>
    </w:p>
    <w:p w14:paraId="1F17F25E" w14:textId="77777777" w:rsidR="00D95EAE" w:rsidRPr="00563F32" w:rsidRDefault="00D95EAE" w:rsidP="00D95EAE">
      <w:pPr>
        <w:ind w:firstLine="708"/>
        <w:jc w:val="both"/>
      </w:pPr>
    </w:p>
    <w:p w14:paraId="74B9D20B" w14:textId="58F7B20C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>zajištění podmínek pro rozvoj zemského digitálního rozhlasového vysílání DAB ve III. pásmu (174‒225 MHz) a uskutečnění výběrového řízení na udělení přídělů kmitočtů pro multiplexy pro komerční vysílání (předpoklad v roce 2022),</w:t>
      </w:r>
    </w:p>
    <w:p w14:paraId="17BBDE4B" w14:textId="77777777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 xml:space="preserve">příprava pásma 1,4 GHz pro využití sítěmi MFCN k podpoře </w:t>
      </w:r>
      <w:proofErr w:type="spellStart"/>
      <w:r w:rsidRPr="00563F32">
        <w:rPr>
          <w:rFonts w:ascii="Times New Roman" w:hAnsi="Times New Roman"/>
          <w:sz w:val="24"/>
          <w:szCs w:val="24"/>
        </w:rPr>
        <w:t>downloadu</w:t>
      </w:r>
      <w:proofErr w:type="spellEnd"/>
      <w:r w:rsidRPr="00563F32">
        <w:rPr>
          <w:rFonts w:ascii="Times New Roman" w:hAnsi="Times New Roman"/>
          <w:sz w:val="24"/>
          <w:szCs w:val="24"/>
        </w:rPr>
        <w:t xml:space="preserve"> při nesymetrickém provozu v sítích IMT (včetně 4G a 5G), jakmile po takovém využití nastane poptávka,</w:t>
      </w:r>
    </w:p>
    <w:p w14:paraId="1D4BA51C" w14:textId="37E62C45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63F32">
        <w:rPr>
          <w:rFonts w:ascii="Times New Roman" w:hAnsi="Times New Roman"/>
          <w:sz w:val="24"/>
          <w:szCs w:val="24"/>
        </w:rPr>
        <w:t xml:space="preserve">provedení analýzy možných podmínek využívání </w:t>
      </w:r>
      <w:r w:rsidR="00CF5B8F">
        <w:rPr>
          <w:rFonts w:ascii="Times New Roman" w:hAnsi="Times New Roman"/>
          <w:sz w:val="24"/>
          <w:szCs w:val="24"/>
        </w:rPr>
        <w:t>kmitočtov</w:t>
      </w:r>
      <w:r w:rsidR="00E0433B">
        <w:rPr>
          <w:rFonts w:ascii="Times New Roman" w:hAnsi="Times New Roman"/>
          <w:sz w:val="24"/>
          <w:szCs w:val="24"/>
        </w:rPr>
        <w:t>ých</w:t>
      </w:r>
      <w:r w:rsidR="00CF5B8F">
        <w:rPr>
          <w:rFonts w:ascii="Times New Roman" w:hAnsi="Times New Roman"/>
          <w:sz w:val="24"/>
          <w:szCs w:val="24"/>
        </w:rPr>
        <w:t xml:space="preserve"> </w:t>
      </w:r>
      <w:r w:rsidRPr="00563F32">
        <w:rPr>
          <w:rFonts w:ascii="Times New Roman" w:hAnsi="Times New Roman"/>
          <w:sz w:val="24"/>
          <w:szCs w:val="24"/>
        </w:rPr>
        <w:t>pás</w:t>
      </w:r>
      <w:r w:rsidR="00E0433B">
        <w:rPr>
          <w:rFonts w:ascii="Times New Roman" w:hAnsi="Times New Roman"/>
          <w:sz w:val="24"/>
          <w:szCs w:val="24"/>
        </w:rPr>
        <w:t>e</w:t>
      </w:r>
      <w:r w:rsidRPr="00563F32">
        <w:rPr>
          <w:rFonts w:ascii="Times New Roman" w:hAnsi="Times New Roman"/>
          <w:sz w:val="24"/>
          <w:szCs w:val="24"/>
        </w:rPr>
        <w:t>m 410/420</w:t>
      </w:r>
      <w:r w:rsidR="00E0433B">
        <w:rPr>
          <w:rFonts w:ascii="Times New Roman" w:hAnsi="Times New Roman"/>
          <w:sz w:val="24"/>
          <w:szCs w:val="24"/>
        </w:rPr>
        <w:t> </w:t>
      </w:r>
      <w:r w:rsidRPr="00563F32">
        <w:rPr>
          <w:rFonts w:ascii="Times New Roman" w:hAnsi="Times New Roman"/>
          <w:sz w:val="24"/>
          <w:szCs w:val="24"/>
        </w:rPr>
        <w:t xml:space="preserve">MHz </w:t>
      </w:r>
      <w:r w:rsidR="00E0433B" w:rsidRPr="00E0433B">
        <w:rPr>
          <w:rFonts w:ascii="Times New Roman" w:hAnsi="Times New Roman"/>
          <w:sz w:val="24"/>
          <w:szCs w:val="24"/>
        </w:rPr>
        <w:t>a</w:t>
      </w:r>
      <w:r w:rsidR="00E0433B">
        <w:rPr>
          <w:rFonts w:ascii="Times New Roman" w:hAnsi="Times New Roman"/>
          <w:sz w:val="24"/>
          <w:szCs w:val="24"/>
        </w:rPr>
        <w:t> </w:t>
      </w:r>
      <w:r w:rsidR="00E0433B" w:rsidRPr="00E0433B">
        <w:rPr>
          <w:rFonts w:ascii="Times New Roman" w:hAnsi="Times New Roman"/>
          <w:sz w:val="24"/>
          <w:szCs w:val="24"/>
        </w:rPr>
        <w:t>450/460</w:t>
      </w:r>
      <w:r w:rsidR="00E0433B">
        <w:rPr>
          <w:rFonts w:ascii="Times New Roman" w:hAnsi="Times New Roman"/>
          <w:sz w:val="24"/>
          <w:szCs w:val="24"/>
        </w:rPr>
        <w:t> </w:t>
      </w:r>
      <w:r w:rsidR="00E0433B" w:rsidRPr="00E0433B">
        <w:rPr>
          <w:rFonts w:ascii="Times New Roman" w:hAnsi="Times New Roman"/>
          <w:sz w:val="24"/>
          <w:szCs w:val="24"/>
        </w:rPr>
        <w:t>MHz</w:t>
      </w:r>
      <w:r w:rsidR="00AA0A80">
        <w:rPr>
          <w:rFonts w:ascii="Times New Roman" w:hAnsi="Times New Roman"/>
          <w:sz w:val="24"/>
          <w:szCs w:val="24"/>
        </w:rPr>
        <w:t>,</w:t>
      </w:r>
      <w:r w:rsidR="00E0433B" w:rsidRPr="00E0433B">
        <w:rPr>
          <w:rFonts w:ascii="Times New Roman" w:hAnsi="Times New Roman"/>
          <w:sz w:val="24"/>
          <w:szCs w:val="24"/>
        </w:rPr>
        <w:t xml:space="preserve"> </w:t>
      </w:r>
      <w:r w:rsidR="00AA0A80" w:rsidRPr="00AA0A80">
        <w:rPr>
          <w:rFonts w:ascii="Times New Roman" w:hAnsi="Times New Roman"/>
          <w:sz w:val="24"/>
          <w:szCs w:val="24"/>
        </w:rPr>
        <w:t>včetně způsobů autorizace</w:t>
      </w:r>
      <w:r w:rsidR="00AA0A80">
        <w:rPr>
          <w:rFonts w:ascii="Times New Roman" w:hAnsi="Times New Roman"/>
          <w:sz w:val="24"/>
          <w:szCs w:val="24"/>
        </w:rPr>
        <w:t>,</w:t>
      </w:r>
      <w:r w:rsidR="00AA0A80" w:rsidRPr="00563F32">
        <w:rPr>
          <w:rFonts w:ascii="Times New Roman" w:hAnsi="Times New Roman"/>
          <w:sz w:val="24"/>
          <w:szCs w:val="24"/>
        </w:rPr>
        <w:t xml:space="preserve"> </w:t>
      </w:r>
      <w:r w:rsidR="00AA0A80">
        <w:rPr>
          <w:rFonts w:ascii="Times New Roman" w:hAnsi="Times New Roman"/>
          <w:sz w:val="24"/>
          <w:szCs w:val="24"/>
        </w:rPr>
        <w:t xml:space="preserve">a to </w:t>
      </w:r>
      <w:r w:rsidRPr="00563F32">
        <w:rPr>
          <w:rFonts w:ascii="Times New Roman" w:hAnsi="Times New Roman"/>
          <w:sz w:val="24"/>
          <w:szCs w:val="24"/>
        </w:rPr>
        <w:t>s přihlédnutím k potřebám potenciálních uživatelů pásma,</w:t>
      </w:r>
    </w:p>
    <w:p w14:paraId="7A09F00C" w14:textId="65EB0CAF" w:rsidR="00D95EAE" w:rsidRPr="00563F32" w:rsidRDefault="00D95EAE" w:rsidP="00D95EA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1" w:name="_Hlk96942688"/>
      <w:r w:rsidRPr="00563F32">
        <w:rPr>
          <w:rFonts w:ascii="Times New Roman" w:hAnsi="Times New Roman"/>
          <w:sz w:val="24"/>
          <w:szCs w:val="24"/>
        </w:rPr>
        <w:t xml:space="preserve">komplexní posouzení poplatkové politiky a vypracování návrhu na úpravu nařízení vlády </w:t>
      </w:r>
      <w:r w:rsidR="00E43EF7">
        <w:rPr>
          <w:rFonts w:ascii="Times New Roman" w:hAnsi="Times New Roman"/>
          <w:sz w:val="24"/>
          <w:szCs w:val="24"/>
        </w:rPr>
        <w:t xml:space="preserve">č. </w:t>
      </w:r>
      <w:r w:rsidRPr="00563F32">
        <w:rPr>
          <w:rFonts w:ascii="Times New Roman" w:hAnsi="Times New Roman"/>
          <w:sz w:val="24"/>
          <w:szCs w:val="24"/>
        </w:rPr>
        <w:t>154/2005 Sb.</w:t>
      </w:r>
      <w:r w:rsidR="00E43EF7">
        <w:rPr>
          <w:rFonts w:ascii="Times New Roman" w:hAnsi="Times New Roman"/>
          <w:sz w:val="24"/>
          <w:szCs w:val="24"/>
        </w:rPr>
        <w:t xml:space="preserve">, </w:t>
      </w:r>
      <w:r w:rsidR="00E43EF7" w:rsidRPr="00E43EF7">
        <w:rPr>
          <w:rFonts w:ascii="Times New Roman" w:hAnsi="Times New Roman"/>
          <w:sz w:val="24"/>
          <w:szCs w:val="24"/>
        </w:rPr>
        <w:t>o stanovení výše a způsobu výpočtu poplatků za využívání rádiových kmitočtů a čísel</w:t>
      </w:r>
      <w:r w:rsidR="00E43EF7">
        <w:rPr>
          <w:rFonts w:ascii="Times New Roman" w:hAnsi="Times New Roman"/>
          <w:sz w:val="24"/>
          <w:szCs w:val="24"/>
        </w:rPr>
        <w:t>, ve znění pozdějších předpisů,</w:t>
      </w:r>
      <w:r w:rsidRPr="00563F32">
        <w:rPr>
          <w:rFonts w:ascii="Times New Roman" w:hAnsi="Times New Roman"/>
          <w:sz w:val="24"/>
          <w:szCs w:val="24"/>
        </w:rPr>
        <w:t xml:space="preserve"> </w:t>
      </w:r>
      <w:r w:rsidR="005C0DA0" w:rsidRPr="005C0DA0">
        <w:rPr>
          <w:rFonts w:ascii="Times New Roman" w:hAnsi="Times New Roman"/>
          <w:sz w:val="24"/>
          <w:szCs w:val="24"/>
        </w:rPr>
        <w:t xml:space="preserve">se zaměřením </w:t>
      </w:r>
      <w:bookmarkEnd w:id="1"/>
      <w:r w:rsidR="005C0DA0" w:rsidRPr="005C0DA0">
        <w:rPr>
          <w:rFonts w:ascii="Times New Roman" w:hAnsi="Times New Roman"/>
          <w:sz w:val="24"/>
          <w:szCs w:val="24"/>
        </w:rPr>
        <w:t>na</w:t>
      </w:r>
      <w:r w:rsidR="00AA0A80">
        <w:rPr>
          <w:rFonts w:ascii="Times New Roman" w:hAnsi="Times New Roman"/>
          <w:sz w:val="24"/>
          <w:szCs w:val="24"/>
        </w:rPr>
        <w:t xml:space="preserve"> </w:t>
      </w:r>
      <w:r w:rsidR="00AA0A80" w:rsidRPr="00AA0A80">
        <w:rPr>
          <w:rFonts w:ascii="Times New Roman" w:hAnsi="Times New Roman"/>
          <w:sz w:val="24"/>
          <w:szCs w:val="24"/>
        </w:rPr>
        <w:t>optimalizaci sazeb za kmitočty s cílem zohlednit technologické trendy a nákladové aspekty na straně uživatelů kmitočtů, zohlednit zavádění širokých rádiových kanálů umožňujících vyšší datovou propustnost, podpořit rozvoj inovativních služeb a technologií a stimulovat rozvoj pokrytí bílých míst</w:t>
      </w:r>
      <w:r w:rsidRPr="00563F32">
        <w:rPr>
          <w:rFonts w:ascii="Times New Roman" w:hAnsi="Times New Roman"/>
          <w:sz w:val="24"/>
          <w:szCs w:val="24"/>
        </w:rPr>
        <w:t>.</w:t>
      </w:r>
    </w:p>
    <w:p w14:paraId="6A4AE422" w14:textId="77777777" w:rsidR="00D95EAE" w:rsidRPr="00E16D3A" w:rsidRDefault="00D95EAE" w:rsidP="00D95EAE">
      <w:pPr>
        <w:ind w:firstLine="708"/>
        <w:jc w:val="both"/>
      </w:pPr>
    </w:p>
    <w:p w14:paraId="561EDC38" w14:textId="00ACACF5" w:rsidR="00D95EAE" w:rsidRPr="00E16D3A" w:rsidRDefault="00D95EAE" w:rsidP="00E16D3A">
      <w:pPr>
        <w:ind w:firstLine="720"/>
        <w:jc w:val="both"/>
      </w:pPr>
      <w:r w:rsidRPr="00E16D3A">
        <w:t xml:space="preserve">Druhá situační zpráva je doplněna rovněž </w:t>
      </w:r>
      <w:r w:rsidR="00B87F2A" w:rsidRPr="00E16D3A">
        <w:t xml:space="preserve">o </w:t>
      </w:r>
      <w:r w:rsidRPr="00E16D3A">
        <w:t>rámcové shrnutí připravovaných návrhů opatření pro oblast rádiových kmitočtů na úrovni EU. Tyto návrhy budou přijímány v návaznosti na přijetí evropské iniciativy Digitální kompas k naplňování cílů vytyčených v rámci návazných dokumentů k Digitálnímu kompasu a cílům</w:t>
      </w:r>
      <w:r w:rsidR="001D0EFF" w:rsidRPr="00E16D3A">
        <w:t xml:space="preserve"> tzv.</w:t>
      </w:r>
      <w:r w:rsidRPr="00E16D3A">
        <w:t xml:space="preserve"> gigabitové společnosti. </w:t>
      </w:r>
      <w:bookmarkStart w:id="2" w:name="_Hlk85724463"/>
      <w:bookmarkStart w:id="3" w:name="_Hlk85724545"/>
      <w:r w:rsidRPr="00E16D3A">
        <w:t>K naplnění těchto cílů bude nezbytná efektivní správa rádiového spektra a další opatření zahrnující oblast sdílení spektra, způsob</w:t>
      </w:r>
      <w:r w:rsidR="001D0EFF" w:rsidRPr="00E16D3A">
        <w:t>ů</w:t>
      </w:r>
      <w:r w:rsidRPr="00E16D3A">
        <w:t xml:space="preserve"> autorizace spektra, </w:t>
      </w:r>
      <w:r w:rsidR="001D0EFF" w:rsidRPr="00E16D3A">
        <w:t xml:space="preserve">rádiových kmitočtů </w:t>
      </w:r>
      <w:r w:rsidRPr="00E16D3A">
        <w:t xml:space="preserve">k naplnění politik EU, zavádění inovací, požadavky na </w:t>
      </w:r>
      <w:r w:rsidR="001D0EFF" w:rsidRPr="00E16D3A">
        <w:t xml:space="preserve">rádiové </w:t>
      </w:r>
      <w:r w:rsidRPr="00E16D3A">
        <w:t xml:space="preserve">kmitočty v dopravě, </w:t>
      </w:r>
      <w:r w:rsidR="00D00633">
        <w:t xml:space="preserve">v oblasti </w:t>
      </w:r>
      <w:r w:rsidRPr="00E16D3A">
        <w:t>družicových komunikací a</w:t>
      </w:r>
      <w:r w:rsidR="001D0EFF" w:rsidRPr="00E16D3A">
        <w:t> </w:t>
      </w:r>
      <w:r w:rsidRPr="00E16D3A">
        <w:t>další oblasti.</w:t>
      </w:r>
      <w:bookmarkEnd w:id="2"/>
      <w:r w:rsidRPr="00E16D3A">
        <w:t xml:space="preserve"> </w:t>
      </w:r>
      <w:bookmarkEnd w:id="3"/>
      <w:r w:rsidRPr="00E16D3A">
        <w:t>Dokumenty EU pro oblast rádiového spektra budou přijímány politickou reprezentací a budou pro členské státy závazné.</w:t>
      </w:r>
    </w:p>
    <w:p w14:paraId="6E6CBFBC" w14:textId="45D83CEB" w:rsidR="00D95EAE" w:rsidRPr="00E16D3A" w:rsidRDefault="00D95EAE" w:rsidP="00D95EAE">
      <w:pPr>
        <w:rPr>
          <w:rFonts w:cs="Arial"/>
          <w:bCs/>
        </w:rPr>
      </w:pPr>
    </w:p>
    <w:p w14:paraId="13A5EE86" w14:textId="5FBC346A" w:rsidR="001D0EFF" w:rsidRPr="00E16D3A" w:rsidRDefault="001D0EFF" w:rsidP="00E16D3A">
      <w:pPr>
        <w:ind w:firstLine="720"/>
        <w:rPr>
          <w:rFonts w:cs="Arial"/>
          <w:bCs/>
        </w:rPr>
      </w:pPr>
      <w:r w:rsidRPr="00E16D3A">
        <w:t>Materiál nemá dopad na rovnost mužů a žen a není v rozporu s předpisy EU.</w:t>
      </w:r>
    </w:p>
    <w:p w14:paraId="1501E1D3" w14:textId="044108E7" w:rsidR="00D95EAE" w:rsidRPr="00E16D3A" w:rsidRDefault="00D95EAE" w:rsidP="00B87F2A">
      <w:pPr>
        <w:rPr>
          <w:rFonts w:cs="Arial"/>
          <w:bCs/>
        </w:rPr>
      </w:pPr>
    </w:p>
    <w:p w14:paraId="4DFF456B" w14:textId="32D4655E" w:rsidR="00D95EAE" w:rsidRPr="005C0DA0" w:rsidRDefault="00D95EAE" w:rsidP="005C0DA0">
      <w:pPr>
        <w:ind w:firstLine="720"/>
        <w:jc w:val="both"/>
      </w:pPr>
      <w:r w:rsidRPr="00E16D3A">
        <w:t>K předloženému materiálu bylo vyhlášeno meziresortní připomínkové řízení, které probíhalo od XX. XX. 202</w:t>
      </w:r>
      <w:r w:rsidR="00B847F3">
        <w:t>2</w:t>
      </w:r>
      <w:r w:rsidRPr="00E16D3A">
        <w:t xml:space="preserve"> do XX. XX. 202</w:t>
      </w:r>
      <w:r w:rsidR="00B847F3">
        <w:t>2</w:t>
      </w:r>
      <w:r w:rsidRPr="00E16D3A">
        <w:t xml:space="preserve">. V rámci meziresortního připomínkového řízení bylo celkem shromážděno XX připomínek, z toho XX zásadních a XX doporučujících. Návrhy vypořádání připomínek byly zaslány k odsouhlasení jednotlivým připomínkovým místům. </w:t>
      </w:r>
      <w:r w:rsidR="001D0EFF" w:rsidRPr="00E16D3A">
        <w:t>Materiál je na vládu předkládán bez rozporu/s rozporem. Vypořádání všech připomínek je</w:t>
      </w:r>
      <w:r w:rsidR="00E43EF7">
        <w:t> </w:t>
      </w:r>
      <w:r w:rsidR="001D0EFF" w:rsidRPr="00E16D3A">
        <w:t>uvedeno v části III. materiálu.</w:t>
      </w:r>
    </w:p>
    <w:sectPr w:rsidR="00D95EAE" w:rsidRPr="005C0DA0" w:rsidSect="005C0DA0">
      <w:pgSz w:w="11907" w:h="16840" w:code="9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266C"/>
    <w:multiLevelType w:val="hybridMultilevel"/>
    <w:tmpl w:val="5290C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91753"/>
    <w:multiLevelType w:val="hybridMultilevel"/>
    <w:tmpl w:val="49A0F90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C"/>
    <w:rsid w:val="000C1D84"/>
    <w:rsid w:val="00137031"/>
    <w:rsid w:val="001D0EFF"/>
    <w:rsid w:val="003C212C"/>
    <w:rsid w:val="00462D43"/>
    <w:rsid w:val="00505152"/>
    <w:rsid w:val="00563F32"/>
    <w:rsid w:val="005C0DA0"/>
    <w:rsid w:val="00656F19"/>
    <w:rsid w:val="006A5E79"/>
    <w:rsid w:val="00791C64"/>
    <w:rsid w:val="007B1DA3"/>
    <w:rsid w:val="009460F0"/>
    <w:rsid w:val="00A10E80"/>
    <w:rsid w:val="00AA0A80"/>
    <w:rsid w:val="00AB12A1"/>
    <w:rsid w:val="00B847F3"/>
    <w:rsid w:val="00B87F2A"/>
    <w:rsid w:val="00C02FAE"/>
    <w:rsid w:val="00C95BD3"/>
    <w:rsid w:val="00CD50F2"/>
    <w:rsid w:val="00CF5B8F"/>
    <w:rsid w:val="00D00633"/>
    <w:rsid w:val="00D47796"/>
    <w:rsid w:val="00D95EAE"/>
    <w:rsid w:val="00E0433B"/>
    <w:rsid w:val="00E16D3A"/>
    <w:rsid w:val="00E43EF7"/>
    <w:rsid w:val="00EF196A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A0F7"/>
  <w15:chartTrackingRefBased/>
  <w15:docId w15:val="{B690FC68-0DEA-4260-8C99-EEA0104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95EAE"/>
    <w:rPr>
      <w:rFonts w:ascii="Calibri" w:eastAsia="Times New Roman" w:hAnsi="Calibri" w:cs="Times New Roman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95E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F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F2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 11</dc:creator>
  <cp:keywords/>
  <dc:description/>
  <cp:lastModifiedBy>JADRNÝ Vratislav</cp:lastModifiedBy>
  <cp:revision>5</cp:revision>
  <dcterms:created xsi:type="dcterms:W3CDTF">2022-02-25T13:11:00Z</dcterms:created>
  <dcterms:modified xsi:type="dcterms:W3CDTF">2022-03-02T13:19:00Z</dcterms:modified>
</cp:coreProperties>
</file>