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DD747" w14:textId="49178B72" w:rsidR="00124891" w:rsidRPr="00C5124A" w:rsidRDefault="003339BF" w:rsidP="00124891">
      <w:pPr>
        <w:pStyle w:val="Bezmezer"/>
        <w:jc w:val="right"/>
        <w:rPr>
          <w:rFonts w:ascii="Times New Roman" w:hAnsi="Times New Roman"/>
          <w:b/>
        </w:rPr>
      </w:pPr>
      <w:r w:rsidRPr="00C5124A">
        <w:rPr>
          <w:rFonts w:ascii="Times New Roman" w:hAnsi="Times New Roman"/>
          <w:b/>
        </w:rPr>
        <w:t>V</w:t>
      </w:r>
      <w:r w:rsidR="00D74F7A" w:rsidRPr="00C5124A">
        <w:rPr>
          <w:rFonts w:ascii="Times New Roman" w:hAnsi="Times New Roman"/>
          <w:b/>
        </w:rPr>
        <w:t>I</w:t>
      </w:r>
      <w:r w:rsidRPr="00C5124A">
        <w:rPr>
          <w:rFonts w:ascii="Times New Roman" w:hAnsi="Times New Roman"/>
          <w:b/>
        </w:rPr>
        <w:t>.</w:t>
      </w:r>
    </w:p>
    <w:p w14:paraId="7018745D" w14:textId="3BA730A4" w:rsidR="00887ECA" w:rsidRPr="00C5124A" w:rsidRDefault="00D74F7A" w:rsidP="00124891">
      <w:pPr>
        <w:spacing w:before="360" w:after="600"/>
        <w:jc w:val="right"/>
        <w:rPr>
          <w:sz w:val="22"/>
          <w:szCs w:val="22"/>
        </w:rPr>
      </w:pPr>
      <w:r w:rsidRPr="00C5124A">
        <w:rPr>
          <w:bCs/>
          <w:sz w:val="22"/>
          <w:szCs w:val="22"/>
        </w:rPr>
        <w:t>24110</w:t>
      </w:r>
      <w:r w:rsidR="00307EC4" w:rsidRPr="00C5124A">
        <w:rPr>
          <w:bCs/>
          <w:sz w:val="22"/>
          <w:szCs w:val="22"/>
        </w:rPr>
        <w:t>/2</w:t>
      </w:r>
      <w:r w:rsidRPr="00C5124A">
        <w:rPr>
          <w:bCs/>
          <w:sz w:val="22"/>
          <w:szCs w:val="22"/>
        </w:rPr>
        <w:t>5</w:t>
      </w:r>
      <w:r w:rsidR="00307EC4" w:rsidRPr="00C5124A">
        <w:rPr>
          <w:bCs/>
          <w:sz w:val="22"/>
          <w:szCs w:val="22"/>
        </w:rPr>
        <w:t>/71600/01000</w:t>
      </w:r>
    </w:p>
    <w:p w14:paraId="75350F1D" w14:textId="77777777" w:rsidR="002A672E" w:rsidRPr="00C5124A" w:rsidRDefault="007D67E7" w:rsidP="001B7406">
      <w:pPr>
        <w:spacing w:after="600"/>
        <w:jc w:val="center"/>
        <w:rPr>
          <w:b/>
        </w:rPr>
      </w:pPr>
      <w:r w:rsidRPr="00C5124A">
        <w:rPr>
          <w:b/>
        </w:rPr>
        <w:t>ROZDÍLOVÁ TABULKA NÁVRHU PRÁVNÍHO PŘEDPISU S PŘEDPISY 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83"/>
        <w:gridCol w:w="4601"/>
        <w:gridCol w:w="1648"/>
        <w:gridCol w:w="1612"/>
        <w:gridCol w:w="3650"/>
      </w:tblGrid>
      <w:tr w:rsidR="007D67E7" w:rsidRPr="00C5124A" w14:paraId="738A9E03" w14:textId="77777777" w:rsidTr="00B563D5">
        <w:trPr>
          <w:trHeight w:val="624"/>
        </w:trPr>
        <w:tc>
          <w:tcPr>
            <w:tcW w:w="2531" w:type="pct"/>
            <w:gridSpan w:val="2"/>
            <w:tcBorders>
              <w:top w:val="single" w:sz="4" w:space="0" w:color="auto"/>
              <w:left w:val="single" w:sz="4" w:space="0" w:color="auto"/>
              <w:bottom w:val="single" w:sz="4" w:space="0" w:color="auto"/>
              <w:right w:val="single" w:sz="4" w:space="0" w:color="auto"/>
            </w:tcBorders>
            <w:vAlign w:val="center"/>
          </w:tcPr>
          <w:p w14:paraId="0F91CB24" w14:textId="77777777" w:rsidR="007D67E7" w:rsidRPr="00C5124A" w:rsidRDefault="007D67E7" w:rsidP="007D67E7">
            <w:pPr>
              <w:tabs>
                <w:tab w:val="left" w:pos="360"/>
              </w:tabs>
              <w:spacing w:line="276" w:lineRule="auto"/>
              <w:jc w:val="center"/>
              <w:rPr>
                <w:sz w:val="22"/>
                <w:szCs w:val="22"/>
                <w:lang w:eastAsia="ar-SA"/>
              </w:rPr>
            </w:pPr>
            <w:r w:rsidRPr="00C5124A">
              <w:rPr>
                <w:sz w:val="22"/>
                <w:szCs w:val="22"/>
              </w:rPr>
              <w:t>Navrhovaný právní předpis</w:t>
            </w:r>
          </w:p>
        </w:tc>
        <w:tc>
          <w:tcPr>
            <w:tcW w:w="2469" w:type="pct"/>
            <w:gridSpan w:val="3"/>
            <w:tcBorders>
              <w:top w:val="single" w:sz="4" w:space="0" w:color="auto"/>
              <w:left w:val="single" w:sz="4" w:space="0" w:color="auto"/>
              <w:bottom w:val="single" w:sz="4" w:space="0" w:color="auto"/>
              <w:right w:val="single" w:sz="4" w:space="0" w:color="auto"/>
            </w:tcBorders>
            <w:vAlign w:val="center"/>
            <w:hideMark/>
          </w:tcPr>
          <w:p w14:paraId="672AE471"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Odpovídající předpis EU</w:t>
            </w:r>
          </w:p>
        </w:tc>
      </w:tr>
      <w:tr w:rsidR="007D67E7" w:rsidRPr="00C5124A" w14:paraId="0321B45A" w14:textId="77777777" w:rsidTr="00B563D5">
        <w:tc>
          <w:tcPr>
            <w:tcW w:w="887" w:type="pct"/>
            <w:tcBorders>
              <w:top w:val="single" w:sz="4" w:space="0" w:color="auto"/>
              <w:left w:val="single" w:sz="4" w:space="0" w:color="auto"/>
              <w:bottom w:val="single" w:sz="4" w:space="0" w:color="auto"/>
              <w:right w:val="single" w:sz="4" w:space="0" w:color="auto"/>
            </w:tcBorders>
            <w:vAlign w:val="center"/>
            <w:hideMark/>
          </w:tcPr>
          <w:p w14:paraId="27DCC690"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Ustanovení (část, §, odst., písm., apod.)</w:t>
            </w:r>
          </w:p>
        </w:tc>
        <w:tc>
          <w:tcPr>
            <w:tcW w:w="1644" w:type="pct"/>
            <w:tcBorders>
              <w:top w:val="single" w:sz="4" w:space="0" w:color="auto"/>
              <w:left w:val="single" w:sz="4" w:space="0" w:color="auto"/>
              <w:bottom w:val="single" w:sz="4" w:space="0" w:color="auto"/>
              <w:right w:val="single" w:sz="4" w:space="0" w:color="auto"/>
            </w:tcBorders>
            <w:vAlign w:val="center"/>
            <w:hideMark/>
          </w:tcPr>
          <w:p w14:paraId="5BBA4453"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Obsah</w:t>
            </w:r>
          </w:p>
        </w:tc>
        <w:tc>
          <w:tcPr>
            <w:tcW w:w="589" w:type="pct"/>
            <w:tcBorders>
              <w:top w:val="single" w:sz="4" w:space="0" w:color="auto"/>
              <w:left w:val="single" w:sz="4" w:space="0" w:color="auto"/>
              <w:bottom w:val="single" w:sz="4" w:space="0" w:color="auto"/>
              <w:right w:val="single" w:sz="4" w:space="0" w:color="auto"/>
            </w:tcBorders>
            <w:vAlign w:val="center"/>
            <w:hideMark/>
          </w:tcPr>
          <w:p w14:paraId="13DBFEF8" w14:textId="77777777" w:rsidR="007D67E7" w:rsidRPr="00C5124A" w:rsidRDefault="007D67E7" w:rsidP="007D67E7">
            <w:pPr>
              <w:tabs>
                <w:tab w:val="left" w:pos="360"/>
              </w:tabs>
              <w:suppressAutoHyphens/>
              <w:spacing w:line="276" w:lineRule="auto"/>
              <w:jc w:val="center"/>
              <w:rPr>
                <w:sz w:val="22"/>
                <w:szCs w:val="22"/>
                <w:lang w:eastAsia="ar-SA"/>
              </w:rPr>
            </w:pPr>
            <w:proofErr w:type="spellStart"/>
            <w:r w:rsidRPr="00C5124A">
              <w:rPr>
                <w:sz w:val="22"/>
                <w:szCs w:val="22"/>
              </w:rPr>
              <w:t>Celex</w:t>
            </w:r>
            <w:proofErr w:type="spellEnd"/>
            <w:r w:rsidRPr="00C5124A">
              <w:rPr>
                <w:sz w:val="22"/>
                <w:szCs w:val="22"/>
              </w:rPr>
              <w:t xml:space="preserve"> č.</w:t>
            </w:r>
          </w:p>
        </w:tc>
        <w:tc>
          <w:tcPr>
            <w:tcW w:w="576" w:type="pct"/>
            <w:tcBorders>
              <w:top w:val="single" w:sz="4" w:space="0" w:color="auto"/>
              <w:left w:val="single" w:sz="4" w:space="0" w:color="auto"/>
              <w:bottom w:val="single" w:sz="4" w:space="0" w:color="auto"/>
              <w:right w:val="single" w:sz="4" w:space="0" w:color="auto"/>
            </w:tcBorders>
            <w:vAlign w:val="center"/>
            <w:hideMark/>
          </w:tcPr>
          <w:p w14:paraId="79D12943"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 xml:space="preserve">Ustanovení (čl., odst., písm., </w:t>
            </w:r>
            <w:proofErr w:type="gramStart"/>
            <w:r w:rsidRPr="00C5124A">
              <w:rPr>
                <w:sz w:val="22"/>
                <w:szCs w:val="22"/>
              </w:rPr>
              <w:t>bod,</w:t>
            </w:r>
            <w:proofErr w:type="gramEnd"/>
            <w:r w:rsidRPr="00C5124A">
              <w:rPr>
                <w:sz w:val="22"/>
                <w:szCs w:val="22"/>
              </w:rPr>
              <w:t xml:space="preserve"> apod.)</w:t>
            </w:r>
          </w:p>
        </w:tc>
        <w:tc>
          <w:tcPr>
            <w:tcW w:w="1304" w:type="pct"/>
            <w:tcBorders>
              <w:top w:val="single" w:sz="4" w:space="0" w:color="auto"/>
              <w:left w:val="single" w:sz="4" w:space="0" w:color="auto"/>
              <w:bottom w:val="single" w:sz="4" w:space="0" w:color="auto"/>
              <w:right w:val="single" w:sz="4" w:space="0" w:color="auto"/>
            </w:tcBorders>
            <w:vAlign w:val="center"/>
            <w:hideMark/>
          </w:tcPr>
          <w:p w14:paraId="6828DFE1"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Obsah</w:t>
            </w:r>
          </w:p>
        </w:tc>
      </w:tr>
      <w:tr w:rsidR="006A4003" w:rsidRPr="00C5124A" w14:paraId="018B8313" w14:textId="77777777" w:rsidTr="00B563D5">
        <w:tc>
          <w:tcPr>
            <w:tcW w:w="887" w:type="pct"/>
            <w:tcBorders>
              <w:top w:val="single" w:sz="4" w:space="0" w:color="auto"/>
              <w:left w:val="single" w:sz="4" w:space="0" w:color="auto"/>
              <w:bottom w:val="single" w:sz="4" w:space="0" w:color="auto"/>
              <w:right w:val="single" w:sz="4" w:space="0" w:color="auto"/>
            </w:tcBorders>
          </w:tcPr>
          <w:p w14:paraId="6172FB66" w14:textId="7A3EE1DB" w:rsidR="006A4003" w:rsidRPr="00C5124A" w:rsidRDefault="006A4003" w:rsidP="007D67E7">
            <w:pPr>
              <w:suppressAutoHyphens/>
              <w:spacing w:line="276" w:lineRule="auto"/>
              <w:ind w:left="117"/>
              <w:rPr>
                <w:sz w:val="22"/>
                <w:szCs w:val="22"/>
                <w:lang w:eastAsia="ar-SA"/>
              </w:rPr>
            </w:pPr>
            <w:r w:rsidRPr="00C5124A">
              <w:rPr>
                <w:sz w:val="22"/>
                <w:szCs w:val="22"/>
                <w:lang w:eastAsia="ar-SA"/>
              </w:rPr>
              <w:t>§ 1</w:t>
            </w:r>
          </w:p>
        </w:tc>
        <w:tc>
          <w:tcPr>
            <w:tcW w:w="1644" w:type="pct"/>
            <w:tcBorders>
              <w:top w:val="single" w:sz="4" w:space="0" w:color="auto"/>
              <w:left w:val="single" w:sz="4" w:space="0" w:color="auto"/>
              <w:bottom w:val="single" w:sz="4" w:space="0" w:color="auto"/>
              <w:right w:val="single" w:sz="4" w:space="0" w:color="auto"/>
            </w:tcBorders>
          </w:tcPr>
          <w:p w14:paraId="5120F550" w14:textId="39847300" w:rsidR="006A4003" w:rsidRPr="00C5124A" w:rsidRDefault="00E66785" w:rsidP="00E66785">
            <w:pPr>
              <w:suppressAutoHyphens/>
              <w:spacing w:line="276" w:lineRule="auto"/>
              <w:ind w:left="46"/>
              <w:jc w:val="both"/>
            </w:pPr>
            <w:r w:rsidRPr="00C5124A">
              <w:t>Tento zákon upravuje v návaznosti na přímo použitelný předpis Evropské unie</w:t>
            </w:r>
            <w:r w:rsidRPr="00C5124A">
              <w:rPr>
                <w:vertAlign w:val="superscript"/>
              </w:rPr>
              <w:t>1)</w:t>
            </w:r>
            <w:r w:rsidRPr="00C5124A">
              <w:t xml:space="preserve"> podporu zavádění sítí s velmi vysokou kapacitou.</w:t>
            </w:r>
          </w:p>
          <w:p w14:paraId="13235BB6" w14:textId="66599758" w:rsidR="00E66785" w:rsidRPr="00C5124A" w:rsidRDefault="00E66785" w:rsidP="00E66785">
            <w:pPr>
              <w:suppressAutoHyphens/>
              <w:jc w:val="both"/>
              <w:rPr>
                <w:sz w:val="20"/>
                <w:szCs w:val="20"/>
              </w:rPr>
            </w:pPr>
            <w:bookmarkStart w:id="0" w:name="_Hlk181715848"/>
            <w:r w:rsidRPr="00C5124A">
              <w:rPr>
                <w:sz w:val="20"/>
                <w:szCs w:val="20"/>
                <w:vertAlign w:val="superscript"/>
              </w:rPr>
              <w:t>1)</w:t>
            </w:r>
            <w:r w:rsidRPr="00C5124A">
              <w:rPr>
                <w:sz w:val="20"/>
                <w:szCs w:val="20"/>
              </w:rPr>
              <w:t>Nařízení Evropského parlamentu a Rady (EU) 2024/1309 ze dne 29. dubna 2024 o opatřeních ke snížení nákladů na budování gigabitových sítí elektronických komunikací, o změně nařízení (EU) 2015/2120 a o zrušení směrnice 2014/61/EU (nařízení o gigabitové infrastruktuře)</w:t>
            </w:r>
            <w:bookmarkEnd w:id="0"/>
            <w:r w:rsidRPr="00C5124A">
              <w:rPr>
                <w:sz w:val="20"/>
                <w:szCs w:val="20"/>
              </w:rPr>
              <w:t>.</w:t>
            </w:r>
          </w:p>
        </w:tc>
        <w:tc>
          <w:tcPr>
            <w:tcW w:w="589" w:type="pct"/>
            <w:tcBorders>
              <w:top w:val="single" w:sz="4" w:space="0" w:color="auto"/>
              <w:left w:val="single" w:sz="4" w:space="0" w:color="auto"/>
              <w:bottom w:val="single" w:sz="4" w:space="0" w:color="auto"/>
              <w:right w:val="single" w:sz="4" w:space="0" w:color="auto"/>
            </w:tcBorders>
          </w:tcPr>
          <w:p w14:paraId="4E821EEC" w14:textId="4F50167A" w:rsidR="006A4003" w:rsidRPr="00C5124A" w:rsidRDefault="006A4003" w:rsidP="007D67E7">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0E91A59" w14:textId="5344D02D" w:rsidR="006A4003" w:rsidRPr="00C5124A" w:rsidRDefault="006A4003" w:rsidP="007D67E7">
            <w:pPr>
              <w:ind w:left="53"/>
              <w:rPr>
                <w:sz w:val="22"/>
                <w:szCs w:val="22"/>
              </w:rPr>
            </w:pPr>
            <w:r w:rsidRPr="00C5124A">
              <w:rPr>
                <w:sz w:val="22"/>
                <w:szCs w:val="22"/>
              </w:rPr>
              <w:t>čl. 1</w:t>
            </w:r>
          </w:p>
        </w:tc>
        <w:tc>
          <w:tcPr>
            <w:tcW w:w="1304" w:type="pct"/>
            <w:tcBorders>
              <w:top w:val="single" w:sz="4" w:space="0" w:color="auto"/>
              <w:left w:val="single" w:sz="4" w:space="0" w:color="auto"/>
              <w:bottom w:val="single" w:sz="4" w:space="0" w:color="auto"/>
              <w:right w:val="single" w:sz="4" w:space="0" w:color="auto"/>
            </w:tcBorders>
          </w:tcPr>
          <w:p w14:paraId="4D46BB68" w14:textId="77777777" w:rsidR="006A4003" w:rsidRPr="00C5124A" w:rsidRDefault="006A4003" w:rsidP="004E23DD">
            <w:pPr>
              <w:pStyle w:val="Default"/>
              <w:jc w:val="both"/>
              <w:rPr>
                <w:rFonts w:ascii="Times New Roman" w:hAnsi="Times New Roman" w:cs="Times New Roman"/>
                <w:sz w:val="22"/>
                <w:szCs w:val="22"/>
              </w:rPr>
            </w:pPr>
            <w:r w:rsidRPr="00C5124A">
              <w:rPr>
                <w:rFonts w:ascii="Times New Roman" w:hAnsi="Times New Roman" w:cs="Times New Roman"/>
                <w:sz w:val="22"/>
                <w:szCs w:val="22"/>
              </w:rPr>
              <w:t>1.Cílem tohoto nařízení je usnadnit a podpořit budování sítí s velmi vysokou kapacitou (dále jen „sítě VHCN“) podporou společného využívání existující fyzické infrastruktury a usnadněním efektivnějšího budování nové fyzické infrastruktury, aby bylo možné tyto sítě zavádět rychleji a s nižšími náklady.</w:t>
            </w:r>
          </w:p>
          <w:p w14:paraId="2D9051F5" w14:textId="77777777" w:rsidR="006A4003" w:rsidRPr="00C5124A" w:rsidRDefault="006A4003" w:rsidP="004E23DD">
            <w:pPr>
              <w:pStyle w:val="Default"/>
              <w:jc w:val="both"/>
              <w:rPr>
                <w:rFonts w:ascii="Times New Roman" w:hAnsi="Times New Roman" w:cs="Times New Roman"/>
                <w:sz w:val="22"/>
                <w:szCs w:val="22"/>
              </w:rPr>
            </w:pPr>
            <w:r w:rsidRPr="00C5124A">
              <w:rPr>
                <w:rFonts w:ascii="Times New Roman" w:hAnsi="Times New Roman" w:cs="Times New Roman"/>
                <w:sz w:val="22"/>
                <w:szCs w:val="22"/>
              </w:rPr>
              <w:t>2.Pokud jsou ustanovení tohoto nařízení v rozporu s ustanoveními směrnic 2002/77/ES, (EU) 2018/1972 nebo (EU) 2022/2555, použijí se příslušná ustanovení uvedených směrnic.</w:t>
            </w:r>
          </w:p>
          <w:p w14:paraId="14A5014B" w14:textId="77777777" w:rsidR="006A4003" w:rsidRPr="00C5124A" w:rsidRDefault="006A4003" w:rsidP="004E23DD">
            <w:pPr>
              <w:pStyle w:val="Default"/>
              <w:jc w:val="both"/>
              <w:rPr>
                <w:rFonts w:ascii="Times New Roman" w:hAnsi="Times New Roman" w:cs="Times New Roman"/>
                <w:sz w:val="22"/>
                <w:szCs w:val="22"/>
              </w:rPr>
            </w:pPr>
            <w:r w:rsidRPr="00C5124A">
              <w:rPr>
                <w:rFonts w:ascii="Times New Roman" w:hAnsi="Times New Roman" w:cs="Times New Roman"/>
                <w:sz w:val="22"/>
                <w:szCs w:val="22"/>
              </w:rPr>
              <w:t xml:space="preserve">3.Toto nařízení stanoví minimální požadavky týkající se dosažení cílů stanovených v odstavci 1. Členské státy mohou zachovat nebo zavést opatření v souladu s právními předpisy Unie, která jsou přísnější nebo podrobnější než tyto minimální požadavky, pokud tato </w:t>
            </w:r>
            <w:r w:rsidRPr="00C5124A">
              <w:rPr>
                <w:rFonts w:ascii="Times New Roman" w:hAnsi="Times New Roman" w:cs="Times New Roman"/>
                <w:sz w:val="22"/>
                <w:szCs w:val="22"/>
              </w:rPr>
              <w:lastRenderedPageBreak/>
              <w:t>opatření slouží k podpoře společného využívání existující fyzické infrastruktury nebo k umožnění účinnějšího budování nové fyzické infrastruktury.</w:t>
            </w:r>
          </w:p>
          <w:p w14:paraId="192F5332" w14:textId="77777777" w:rsidR="006A4003" w:rsidRPr="00C5124A" w:rsidRDefault="006A4003" w:rsidP="004E23DD">
            <w:pPr>
              <w:pStyle w:val="Default"/>
              <w:jc w:val="both"/>
              <w:rPr>
                <w:rFonts w:ascii="Times New Roman" w:hAnsi="Times New Roman" w:cs="Times New Roman"/>
                <w:sz w:val="22"/>
                <w:szCs w:val="22"/>
              </w:rPr>
            </w:pPr>
            <w:r w:rsidRPr="00C5124A">
              <w:rPr>
                <w:rFonts w:ascii="Times New Roman" w:hAnsi="Times New Roman" w:cs="Times New Roman"/>
                <w:sz w:val="22"/>
                <w:szCs w:val="22"/>
              </w:rPr>
              <w:t>4.Odchylně od odstavce 3 tohoto článku nesmějí členské státy ponechat v platnosti ani zavést opatření uvedená v odstavci 3 ve vztahu k čl. 3 odst. 5 prvnímu pododstavci písm. a) až e), čl. 3 odst. 7 a 10, čl. 4 odst. 7, čl. 5 odst. 2 druhému pododstavci, čl. 5 odst. 5, čl. 6 odst. 2 a čl. 10 odst. 7 a 8.</w:t>
            </w:r>
          </w:p>
          <w:p w14:paraId="39A4C7A3" w14:textId="47975A70" w:rsidR="006A4003" w:rsidRPr="00C5124A" w:rsidRDefault="006A4003" w:rsidP="004E23DD">
            <w:pPr>
              <w:ind w:left="63"/>
              <w:jc w:val="both"/>
              <w:rPr>
                <w:color w:val="333333"/>
                <w:sz w:val="22"/>
                <w:szCs w:val="22"/>
                <w:shd w:val="clear" w:color="auto" w:fill="FFFFFF"/>
              </w:rPr>
            </w:pPr>
            <w:r w:rsidRPr="00C5124A">
              <w:rPr>
                <w:sz w:val="22"/>
                <w:szCs w:val="22"/>
              </w:rPr>
              <w:t>5.Tímto nařízením není dotčena odpovědnost členských států za ochranu národní bezpečnosti ani jejich pravomoc chránit jiné základní funkce státu, včetně zajišťování územní celistvosti státu a zachování veřejného pořádku.</w:t>
            </w:r>
          </w:p>
        </w:tc>
      </w:tr>
      <w:tr w:rsidR="0016088B" w:rsidRPr="00C5124A" w14:paraId="29C971D7" w14:textId="77777777" w:rsidTr="00B563D5">
        <w:tc>
          <w:tcPr>
            <w:tcW w:w="887" w:type="pct"/>
            <w:tcBorders>
              <w:top w:val="single" w:sz="4" w:space="0" w:color="auto"/>
              <w:left w:val="single" w:sz="4" w:space="0" w:color="auto"/>
              <w:bottom w:val="single" w:sz="4" w:space="0" w:color="auto"/>
              <w:right w:val="single" w:sz="4" w:space="0" w:color="auto"/>
            </w:tcBorders>
          </w:tcPr>
          <w:p w14:paraId="7A457C3F" w14:textId="0B97F04E" w:rsidR="0016088B" w:rsidRPr="00C5124A" w:rsidRDefault="0016088B" w:rsidP="007D67E7">
            <w:pPr>
              <w:suppressAutoHyphens/>
              <w:spacing w:line="276" w:lineRule="auto"/>
              <w:ind w:left="117"/>
              <w:rPr>
                <w:sz w:val="22"/>
                <w:szCs w:val="22"/>
                <w:lang w:eastAsia="ar-SA"/>
              </w:rPr>
            </w:pPr>
            <w:r w:rsidRPr="00C5124A">
              <w:rPr>
                <w:sz w:val="22"/>
                <w:szCs w:val="22"/>
                <w:lang w:eastAsia="ar-SA"/>
              </w:rPr>
              <w:lastRenderedPageBreak/>
              <w:t xml:space="preserve">§ </w:t>
            </w:r>
            <w:r w:rsidR="007366D2" w:rsidRPr="00C5124A">
              <w:rPr>
                <w:sz w:val="22"/>
                <w:szCs w:val="22"/>
                <w:lang w:eastAsia="ar-SA"/>
              </w:rPr>
              <w:t>2</w:t>
            </w:r>
          </w:p>
        </w:tc>
        <w:tc>
          <w:tcPr>
            <w:tcW w:w="1644" w:type="pct"/>
            <w:tcBorders>
              <w:top w:val="single" w:sz="4" w:space="0" w:color="auto"/>
              <w:left w:val="single" w:sz="4" w:space="0" w:color="auto"/>
              <w:bottom w:val="single" w:sz="4" w:space="0" w:color="auto"/>
              <w:right w:val="single" w:sz="4" w:space="0" w:color="auto"/>
            </w:tcBorders>
          </w:tcPr>
          <w:p w14:paraId="44EA91D4" w14:textId="77777777" w:rsidR="00595103" w:rsidRPr="00C5124A" w:rsidRDefault="00595103" w:rsidP="00595103">
            <w:pPr>
              <w:jc w:val="both"/>
            </w:pPr>
            <w:r w:rsidRPr="00C5124A">
              <w:t xml:space="preserve">(1) Český telekomunikační úřad (dále jen „Úřad“) je jednotným vnitrostátním digitálním kontaktním místem podle čl. 12 odst. 3 </w:t>
            </w:r>
            <w:bookmarkStart w:id="1" w:name="_Hlk181714291"/>
            <w:r w:rsidRPr="00C5124A">
              <w:t>nařízení Evropského parlamentu a Rady (EU) 2024/1309</w:t>
            </w:r>
            <w:bookmarkEnd w:id="1"/>
            <w:r w:rsidRPr="00C5124A">
              <w:t xml:space="preserve">. </w:t>
            </w:r>
          </w:p>
          <w:p w14:paraId="75E940C3" w14:textId="77777777" w:rsidR="00595103" w:rsidRPr="00C5124A" w:rsidRDefault="00595103" w:rsidP="00595103">
            <w:pPr>
              <w:jc w:val="both"/>
            </w:pPr>
            <w:r w:rsidRPr="00C5124A">
              <w:t xml:space="preserve">(2) Jednotnými informačními místy podle nařízení Evropského parlamentu a Rady (EU) 2024/1309 jsou </w:t>
            </w:r>
          </w:p>
          <w:p w14:paraId="10667560" w14:textId="77777777" w:rsidR="00595103" w:rsidRPr="00C5124A" w:rsidRDefault="00595103" w:rsidP="00595103">
            <w:pPr>
              <w:jc w:val="both"/>
            </w:pPr>
            <w:r w:rsidRPr="00C5124A">
              <w:t>a) Úřad podle čl. 3, 5, 10, 12, 13 a 14 nařízení Evropského parlamentu a Rady (EU) 2024/1309,</w:t>
            </w:r>
          </w:p>
          <w:p w14:paraId="45B19328" w14:textId="77777777" w:rsidR="00595103" w:rsidRPr="00C5124A" w:rsidRDefault="00595103" w:rsidP="00595103">
            <w:pPr>
              <w:jc w:val="both"/>
            </w:pPr>
            <w:r w:rsidRPr="00C5124A">
              <w:t>b) Ministerstvo pro místní rozvoj podle čl. 7, 9 a 12 nařízení Evropského parlamentu a Rady (EU) 2024/1309 a</w:t>
            </w:r>
          </w:p>
          <w:p w14:paraId="4867309C" w14:textId="77777777" w:rsidR="00595103" w:rsidRPr="00C5124A" w:rsidRDefault="00595103" w:rsidP="00595103">
            <w:pPr>
              <w:jc w:val="both"/>
            </w:pPr>
            <w:r w:rsidRPr="00C5124A">
              <w:lastRenderedPageBreak/>
              <w:t>c) Český úřad zeměměřický a katastrální podle čl. 4, 6 a 12 nařízení Evropského parlamentu a Rady (EU) 2024/1309.</w:t>
            </w:r>
          </w:p>
          <w:p w14:paraId="39C0AAA9" w14:textId="77777777" w:rsidR="00595103" w:rsidRPr="00C5124A" w:rsidRDefault="00595103" w:rsidP="00595103">
            <w:pPr>
              <w:jc w:val="both"/>
            </w:pPr>
            <w:r w:rsidRPr="00C5124A">
              <w:t>(3) Úřad ve spolupráci s Ministerstvem vnitra, Ministerstvem pro místní rozvoj, Českým úřadem zeměměřickým a katastrálním, krajskými úřady a Magistrátem hlavního města Prahy a Digitální a informační agenturou koordinuje využití digitálních nástrojů a informačních systémů, například digitálních technických map, základní báze geografických dat, digitální mapy veřejné správy, portálu stavebníka, informačního systému stavebního řízení a informačního systému datových schránek, vztahujících se k zavádění sítí s velmi vysokou kapacitou podle nařízení Evropského parlamentu a Rady (EU) 2024/1309. Ministerstvo vnitra, Ministerstvo pro místní rozvoj, Český úřad zeměměřický a katastrální, kraje a Digitální a informační agentura poskytují Úřadu nezbytnou součinnost při koordinaci digitálních nástrojů a informačních systémů.</w:t>
            </w:r>
          </w:p>
          <w:p w14:paraId="2F5FF501" w14:textId="77777777" w:rsidR="00595103" w:rsidRPr="00C5124A" w:rsidRDefault="00595103" w:rsidP="00595103">
            <w:pPr>
              <w:spacing w:line="257" w:lineRule="auto"/>
              <w:jc w:val="both"/>
            </w:pPr>
            <w:r w:rsidRPr="00C5124A">
              <w:t>(4) Úřad poskytuje pro účel plnění povinností podle nařízení Evropského parlamentu a Rady (EU) 2024/1309 informace o tom, které osoby jsou operátory ve smyslu čl. 2 bodu 29 směrnice (EU) 2018/1972, a to způsobem umožňujícím automatizované získání a zpracování těchto informací.</w:t>
            </w:r>
          </w:p>
          <w:p w14:paraId="0F46F884" w14:textId="77777777" w:rsidR="00595103" w:rsidRPr="00C5124A" w:rsidRDefault="00595103" w:rsidP="00595103">
            <w:pPr>
              <w:jc w:val="both"/>
              <w:rPr>
                <w:bCs/>
              </w:rPr>
            </w:pPr>
            <w:r w:rsidRPr="00C5124A">
              <w:rPr>
                <w:bCs/>
              </w:rPr>
              <w:t>(5) Úřad zveřejňuje způsobem umožňujícím dálkový přístup</w:t>
            </w:r>
          </w:p>
          <w:p w14:paraId="30B88891" w14:textId="77777777" w:rsidR="00595103" w:rsidRPr="00C5124A" w:rsidRDefault="00595103" w:rsidP="00595103">
            <w:pPr>
              <w:jc w:val="both"/>
              <w:rPr>
                <w:bCs/>
              </w:rPr>
            </w:pPr>
            <w:r w:rsidRPr="00C5124A">
              <w:rPr>
                <w:bCs/>
              </w:rPr>
              <w:lastRenderedPageBreak/>
              <w:t xml:space="preserve">a) údaje týkající se podmínek a postupů podle stavebního zákona a další údaje nezbytné pro účely zavádění sítí s velmi vysokou kapacitou, </w:t>
            </w:r>
          </w:p>
          <w:p w14:paraId="325BE763" w14:textId="77777777" w:rsidR="00595103" w:rsidRPr="00C5124A" w:rsidRDefault="00595103" w:rsidP="00595103">
            <w:pPr>
              <w:jc w:val="both"/>
              <w:rPr>
                <w:i/>
                <w:iCs/>
              </w:rPr>
            </w:pPr>
            <w:r w:rsidRPr="00C5124A">
              <w:t>b) pravomocná rozhodnutí Úřadu podle čl. 13 odst. 4 nařízení Evropského parlamentu a Rady (EU) 2024/1309,</w:t>
            </w:r>
          </w:p>
          <w:p w14:paraId="0AC88A19" w14:textId="77777777" w:rsidR="00595103" w:rsidRPr="00C5124A" w:rsidRDefault="00595103" w:rsidP="00595103">
            <w:pPr>
              <w:jc w:val="both"/>
            </w:pPr>
            <w:r w:rsidRPr="00C5124A">
              <w:t xml:space="preserve">c) seznam </w:t>
            </w:r>
            <w:bookmarkStart w:id="2" w:name="_Hlk191278333"/>
            <w:r w:rsidRPr="00C5124A">
              <w:t xml:space="preserve">kategorií fyzické infrastruktury a kritéria použitá k jejich identifikaci </w:t>
            </w:r>
            <w:bookmarkEnd w:id="2"/>
            <w:r w:rsidRPr="00C5124A">
              <w:t>podle § 3 odst. 2,</w:t>
            </w:r>
          </w:p>
          <w:p w14:paraId="4A669F59" w14:textId="77777777" w:rsidR="00595103" w:rsidRPr="00C5124A" w:rsidRDefault="00595103" w:rsidP="00595103">
            <w:pPr>
              <w:jc w:val="both"/>
            </w:pPr>
            <w:r w:rsidRPr="00C5124A">
              <w:t>d) informace o stavebních pracích omezeného rozsahu podle § 6 odst. 2 a § 7 odst. 8,</w:t>
            </w:r>
          </w:p>
          <w:p w14:paraId="5DFBF0FF" w14:textId="77777777" w:rsidR="00595103" w:rsidRPr="00C5124A" w:rsidRDefault="00595103" w:rsidP="00595103">
            <w:pPr>
              <w:jc w:val="both"/>
            </w:pPr>
            <w:r w:rsidRPr="00C5124A">
              <w:t>e) informace o stavebních pracích podle § 10 odst. 1,</w:t>
            </w:r>
          </w:p>
          <w:p w14:paraId="25595469" w14:textId="77777777" w:rsidR="00595103" w:rsidRPr="00C5124A" w:rsidRDefault="00595103" w:rsidP="00595103">
            <w:pPr>
              <w:jc w:val="both"/>
            </w:pPr>
            <w:r w:rsidRPr="00C5124A">
              <w:t>f) informace podle čl. 14 odst. 8 nařízení Evropského parlamentu a Rady (EU) 2024/1309 a</w:t>
            </w:r>
          </w:p>
          <w:p w14:paraId="6F07F797" w14:textId="77777777" w:rsidR="00595103" w:rsidRPr="00C5124A" w:rsidRDefault="00595103" w:rsidP="00595103">
            <w:pPr>
              <w:jc w:val="both"/>
            </w:pPr>
            <w:r w:rsidRPr="00C5124A">
              <w:t>g) další informace vhodné pro podporu zavádění sítí s velmi vysokou kapacitou podle smyslu a účelu nařízení Evropského parlamentu a Rady (EU) 2024/1309.</w:t>
            </w:r>
          </w:p>
          <w:p w14:paraId="56BC846E" w14:textId="5E4CF021" w:rsidR="0016088B" w:rsidRPr="00C5124A" w:rsidRDefault="00595103" w:rsidP="00595103">
            <w:pPr>
              <w:jc w:val="both"/>
              <w:rPr>
                <w:sz w:val="22"/>
                <w:szCs w:val="22"/>
              </w:rPr>
            </w:pPr>
            <w:r w:rsidRPr="00C5124A">
              <w:t>(6) Ministerstvo pro místní rozvoj předkládá zprávu Evropské komisi podle čl. 7 odst. 10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1931606E" w14:textId="3AF581FB" w:rsidR="0016088B" w:rsidRPr="00C5124A" w:rsidRDefault="0016088B" w:rsidP="007D67E7">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164D2817" w14:textId="5D69ED34" w:rsidR="0016088B" w:rsidRPr="00C5124A" w:rsidRDefault="0016088B" w:rsidP="007D67E7">
            <w:pPr>
              <w:ind w:left="53"/>
              <w:rPr>
                <w:sz w:val="22"/>
                <w:szCs w:val="22"/>
              </w:rPr>
            </w:pPr>
            <w:r w:rsidRPr="00C5124A">
              <w:rPr>
                <w:sz w:val="22"/>
                <w:szCs w:val="22"/>
              </w:rPr>
              <w:t>čl. 12 odst. 4</w:t>
            </w:r>
          </w:p>
        </w:tc>
        <w:tc>
          <w:tcPr>
            <w:tcW w:w="1304" w:type="pct"/>
            <w:tcBorders>
              <w:top w:val="single" w:sz="4" w:space="0" w:color="auto"/>
              <w:left w:val="single" w:sz="4" w:space="0" w:color="auto"/>
              <w:bottom w:val="single" w:sz="4" w:space="0" w:color="auto"/>
              <w:right w:val="single" w:sz="4" w:space="0" w:color="auto"/>
            </w:tcBorders>
          </w:tcPr>
          <w:p w14:paraId="2907C2D0" w14:textId="61527E89" w:rsidR="0016088B" w:rsidRPr="00C5124A" w:rsidRDefault="0016088B" w:rsidP="007D67E7">
            <w:pPr>
              <w:ind w:left="63"/>
              <w:rPr>
                <w:color w:val="000000" w:themeColor="text1"/>
                <w:sz w:val="22"/>
                <w:szCs w:val="22"/>
                <w:shd w:val="clear" w:color="auto" w:fill="FFFFFF"/>
              </w:rPr>
            </w:pPr>
            <w:r w:rsidRPr="00C5124A">
              <w:rPr>
                <w:color w:val="000000" w:themeColor="text1"/>
                <w:sz w:val="22"/>
                <w:szCs w:val="22"/>
                <w:shd w:val="clear" w:color="auto" w:fill="FFFFFF"/>
              </w:rPr>
              <w:t>4.   Členské státy zajistí odpovídající technické, finanční a lidské zdroje na podporu zavádění a digitalizace jednotných informačních míst.</w:t>
            </w:r>
          </w:p>
        </w:tc>
      </w:tr>
      <w:tr w:rsidR="007D67E7" w:rsidRPr="00C5124A" w14:paraId="20E28447" w14:textId="77777777" w:rsidTr="00B563D5">
        <w:tc>
          <w:tcPr>
            <w:tcW w:w="887" w:type="pct"/>
            <w:tcBorders>
              <w:top w:val="single" w:sz="4" w:space="0" w:color="auto"/>
              <w:left w:val="single" w:sz="4" w:space="0" w:color="auto"/>
              <w:bottom w:val="single" w:sz="4" w:space="0" w:color="auto"/>
              <w:right w:val="single" w:sz="4" w:space="0" w:color="auto"/>
            </w:tcBorders>
          </w:tcPr>
          <w:p w14:paraId="3F108C9B" w14:textId="6B576026" w:rsidR="007D67E7" w:rsidRPr="00C5124A" w:rsidRDefault="00CA6F76" w:rsidP="007D67E7">
            <w:pPr>
              <w:suppressAutoHyphens/>
              <w:spacing w:line="276" w:lineRule="auto"/>
              <w:ind w:left="117"/>
              <w:rPr>
                <w:sz w:val="22"/>
                <w:szCs w:val="22"/>
                <w:lang w:eastAsia="ar-SA"/>
              </w:rPr>
            </w:pPr>
            <w:r w:rsidRPr="00C5124A">
              <w:rPr>
                <w:sz w:val="22"/>
                <w:szCs w:val="22"/>
                <w:lang w:eastAsia="ar-SA"/>
              </w:rPr>
              <w:lastRenderedPageBreak/>
              <w:t xml:space="preserve">§ </w:t>
            </w:r>
            <w:r w:rsidR="007366D2" w:rsidRPr="00C5124A">
              <w:rPr>
                <w:sz w:val="22"/>
                <w:szCs w:val="22"/>
                <w:lang w:eastAsia="ar-SA"/>
              </w:rPr>
              <w:t>2</w:t>
            </w:r>
            <w:r w:rsidRPr="00C5124A">
              <w:rPr>
                <w:sz w:val="22"/>
                <w:szCs w:val="22"/>
                <w:lang w:eastAsia="ar-SA"/>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78EEDAB8" w14:textId="47B279E1" w:rsidR="00DB0747" w:rsidRPr="00C5124A" w:rsidRDefault="00344DBC" w:rsidP="003A6249">
            <w:pPr>
              <w:jc w:val="both"/>
              <w:rPr>
                <w:sz w:val="22"/>
                <w:szCs w:val="22"/>
              </w:rPr>
            </w:pPr>
            <w:r w:rsidRPr="00C5124A">
              <w:t>(1) Český telekomunikační úřad (dále jen „Úřad“) je jednotným vnitrostátním digitálním kontaktním místem podle čl. 12 odst. 3 nařízení Evropského parlamentu a Rady (EU) 2024/1309.</w:t>
            </w:r>
            <w:r w:rsidR="003A6249" w:rsidRPr="00C5124A">
              <w:rPr>
                <w:sz w:val="22"/>
                <w:szCs w:val="22"/>
              </w:rPr>
              <w:t xml:space="preserve"> </w:t>
            </w:r>
          </w:p>
        </w:tc>
        <w:tc>
          <w:tcPr>
            <w:tcW w:w="589" w:type="pct"/>
            <w:tcBorders>
              <w:top w:val="single" w:sz="4" w:space="0" w:color="auto"/>
              <w:left w:val="single" w:sz="4" w:space="0" w:color="auto"/>
              <w:bottom w:val="single" w:sz="4" w:space="0" w:color="auto"/>
              <w:right w:val="single" w:sz="4" w:space="0" w:color="auto"/>
            </w:tcBorders>
          </w:tcPr>
          <w:p w14:paraId="7E49AF77" w14:textId="7A6B6C5B" w:rsidR="007D67E7" w:rsidRPr="00C5124A" w:rsidRDefault="001C0C2D" w:rsidP="007D67E7">
            <w:pPr>
              <w:ind w:left="45"/>
              <w:rPr>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BDD545A" w14:textId="63631961" w:rsidR="00E85304" w:rsidRPr="00C5124A" w:rsidRDefault="001C0C2D" w:rsidP="007D67E7">
            <w:pPr>
              <w:ind w:left="53"/>
              <w:rPr>
                <w:sz w:val="22"/>
                <w:szCs w:val="22"/>
              </w:rPr>
            </w:pPr>
            <w:r w:rsidRPr="00C5124A">
              <w:rPr>
                <w:sz w:val="22"/>
                <w:szCs w:val="22"/>
              </w:rPr>
              <w:t>čl. 12 odst. 3</w:t>
            </w:r>
          </w:p>
        </w:tc>
        <w:tc>
          <w:tcPr>
            <w:tcW w:w="1304" w:type="pct"/>
            <w:tcBorders>
              <w:top w:val="single" w:sz="4" w:space="0" w:color="auto"/>
              <w:left w:val="single" w:sz="4" w:space="0" w:color="auto"/>
              <w:bottom w:val="single" w:sz="4" w:space="0" w:color="auto"/>
              <w:right w:val="single" w:sz="4" w:space="0" w:color="auto"/>
            </w:tcBorders>
          </w:tcPr>
          <w:p w14:paraId="24F9DEBB" w14:textId="0D534452" w:rsidR="00E85304" w:rsidRPr="00C5124A" w:rsidRDefault="00CA6F76" w:rsidP="007D67E7">
            <w:pPr>
              <w:ind w:left="63"/>
              <w:rPr>
                <w:sz w:val="22"/>
                <w:szCs w:val="22"/>
              </w:rPr>
            </w:pPr>
            <w:r w:rsidRPr="00C5124A">
              <w:rPr>
                <w:color w:val="333333"/>
                <w:sz w:val="22"/>
                <w:szCs w:val="22"/>
                <w:shd w:val="clear" w:color="auto" w:fill="FFFFFF"/>
              </w:rPr>
              <w:t>3.   Členské státy stanoví jednotné vnitrostátní digitální kontaktní místo, které sestává ze společného uživatelského rozhraní zajišťujícího bezproblémový přístup k digitalizovaným jednotným informačním místům.</w:t>
            </w:r>
          </w:p>
        </w:tc>
      </w:tr>
      <w:tr w:rsidR="009B4EE2" w:rsidRPr="00C5124A" w14:paraId="3742758E" w14:textId="77777777" w:rsidTr="00B563D5">
        <w:tc>
          <w:tcPr>
            <w:tcW w:w="887" w:type="pct"/>
            <w:tcBorders>
              <w:top w:val="single" w:sz="4" w:space="0" w:color="auto"/>
              <w:left w:val="single" w:sz="4" w:space="0" w:color="auto"/>
              <w:bottom w:val="single" w:sz="4" w:space="0" w:color="auto"/>
              <w:right w:val="single" w:sz="4" w:space="0" w:color="auto"/>
            </w:tcBorders>
          </w:tcPr>
          <w:p w14:paraId="3096D1CB" w14:textId="20D8073D" w:rsidR="009B4EE2" w:rsidRPr="00C5124A" w:rsidRDefault="009B4EE2" w:rsidP="008B6729">
            <w:pPr>
              <w:suppressAutoHyphens/>
              <w:spacing w:line="276" w:lineRule="auto"/>
              <w:ind w:left="117"/>
              <w:rPr>
                <w:sz w:val="22"/>
                <w:szCs w:val="22"/>
                <w:lang w:eastAsia="ar-SA"/>
              </w:rPr>
            </w:pPr>
            <w:r w:rsidRPr="00C5124A">
              <w:rPr>
                <w:sz w:val="22"/>
                <w:szCs w:val="22"/>
                <w:lang w:eastAsia="ar-SA"/>
              </w:rPr>
              <w:lastRenderedPageBreak/>
              <w:t xml:space="preserve">§ </w:t>
            </w:r>
            <w:r w:rsidR="007366D2" w:rsidRPr="00C5124A">
              <w:rPr>
                <w:sz w:val="22"/>
                <w:szCs w:val="22"/>
                <w:lang w:eastAsia="ar-SA"/>
              </w:rPr>
              <w:t>2</w:t>
            </w:r>
            <w:r w:rsidRPr="00C5124A">
              <w:rPr>
                <w:sz w:val="22"/>
                <w:szCs w:val="22"/>
                <w:lang w:eastAsia="ar-SA"/>
              </w:rPr>
              <w:t xml:space="preserve"> odst. 2</w:t>
            </w:r>
          </w:p>
        </w:tc>
        <w:tc>
          <w:tcPr>
            <w:tcW w:w="1644" w:type="pct"/>
            <w:tcBorders>
              <w:top w:val="single" w:sz="4" w:space="0" w:color="auto"/>
              <w:left w:val="single" w:sz="4" w:space="0" w:color="auto"/>
              <w:bottom w:val="single" w:sz="4" w:space="0" w:color="auto"/>
              <w:right w:val="single" w:sz="4" w:space="0" w:color="auto"/>
            </w:tcBorders>
          </w:tcPr>
          <w:p w14:paraId="7E34354A" w14:textId="77777777" w:rsidR="00344DBC" w:rsidRPr="00C5124A" w:rsidRDefault="00344DBC" w:rsidP="00344DBC">
            <w:pPr>
              <w:jc w:val="both"/>
            </w:pPr>
            <w:r w:rsidRPr="00C5124A">
              <w:t xml:space="preserve">(2) Jednotnými informačními místy podle nařízení Evropského parlamentu a Rady (EU) 2024/1309 jsou </w:t>
            </w:r>
          </w:p>
          <w:p w14:paraId="33ED444E" w14:textId="77777777" w:rsidR="00344DBC" w:rsidRPr="00C5124A" w:rsidRDefault="00344DBC" w:rsidP="00344DBC">
            <w:pPr>
              <w:jc w:val="both"/>
            </w:pPr>
            <w:r w:rsidRPr="00C5124A">
              <w:t>a) Úřad podle čl. 3, 5, 10, 12, 13 a 14 nařízení Evropského parlamentu a Rady (EU) 2024/1309,</w:t>
            </w:r>
          </w:p>
          <w:p w14:paraId="306237E2" w14:textId="77777777" w:rsidR="00344DBC" w:rsidRPr="00C5124A" w:rsidRDefault="00344DBC" w:rsidP="00344DBC">
            <w:pPr>
              <w:jc w:val="both"/>
            </w:pPr>
            <w:r w:rsidRPr="00C5124A">
              <w:t>b) Ministerstvo pro místní rozvoj podle čl. 7, 9 a 12 nařízení Evropského parlamentu a Rady (EU) 2024/1309 a</w:t>
            </w:r>
          </w:p>
          <w:p w14:paraId="24FB1331" w14:textId="4306A0E2" w:rsidR="009B4EE2" w:rsidRPr="00C5124A" w:rsidRDefault="00344DBC" w:rsidP="00344DBC">
            <w:pPr>
              <w:jc w:val="both"/>
              <w:rPr>
                <w:sz w:val="22"/>
                <w:szCs w:val="22"/>
              </w:rPr>
            </w:pPr>
            <w:r w:rsidRPr="00C5124A">
              <w:t>c) Český úřad zeměměřický a katastrální podle čl. 4, 6 a 12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4F1C0C5A" w14:textId="2A7A9A34" w:rsidR="009B4EE2" w:rsidRPr="00C5124A" w:rsidRDefault="009B4EE2" w:rsidP="008B6729">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212B277" w14:textId="0EB773DE" w:rsidR="009B4EE2" w:rsidRPr="00C5124A" w:rsidRDefault="009B4EE2" w:rsidP="008B6729">
            <w:pPr>
              <w:ind w:left="53"/>
              <w:rPr>
                <w:sz w:val="22"/>
                <w:szCs w:val="22"/>
              </w:rPr>
            </w:pPr>
            <w:r w:rsidRPr="00C5124A">
              <w:rPr>
                <w:sz w:val="22"/>
                <w:szCs w:val="22"/>
              </w:rPr>
              <w:t>č</w:t>
            </w:r>
            <w:r w:rsidR="005A0726" w:rsidRPr="00C5124A">
              <w:rPr>
                <w:sz w:val="22"/>
                <w:szCs w:val="22"/>
              </w:rPr>
              <w:t>l</w:t>
            </w:r>
            <w:r w:rsidRPr="00C5124A">
              <w:rPr>
                <w:sz w:val="22"/>
                <w:szCs w:val="22"/>
              </w:rPr>
              <w:t xml:space="preserve">. </w:t>
            </w:r>
            <w:r w:rsidR="00E1078A" w:rsidRPr="00C5124A">
              <w:rPr>
                <w:sz w:val="22"/>
                <w:szCs w:val="22"/>
              </w:rPr>
              <w:t>12</w:t>
            </w:r>
            <w:r w:rsidRPr="00C5124A">
              <w:rPr>
                <w:sz w:val="22"/>
                <w:szCs w:val="22"/>
              </w:rPr>
              <w:t xml:space="preserve"> odst. </w:t>
            </w:r>
            <w:r w:rsidR="00E1078A" w:rsidRPr="00C5124A">
              <w:rPr>
                <w:sz w:val="22"/>
                <w:szCs w:val="22"/>
              </w:rPr>
              <w:t>1</w:t>
            </w:r>
          </w:p>
        </w:tc>
        <w:tc>
          <w:tcPr>
            <w:tcW w:w="1304" w:type="pct"/>
            <w:tcBorders>
              <w:top w:val="single" w:sz="4" w:space="0" w:color="auto"/>
              <w:left w:val="single" w:sz="4" w:space="0" w:color="auto"/>
              <w:bottom w:val="single" w:sz="4" w:space="0" w:color="auto"/>
              <w:right w:val="single" w:sz="4" w:space="0" w:color="auto"/>
            </w:tcBorders>
          </w:tcPr>
          <w:p w14:paraId="09D20A28" w14:textId="74CE1294" w:rsidR="00E1078A" w:rsidRPr="00C5124A" w:rsidRDefault="00E1078A" w:rsidP="008B6729">
            <w:pPr>
              <w:ind w:left="63"/>
              <w:rPr>
                <w:color w:val="333333"/>
                <w:sz w:val="22"/>
                <w:szCs w:val="22"/>
                <w:shd w:val="clear" w:color="auto" w:fill="FFFFFF"/>
              </w:rPr>
            </w:pPr>
            <w:r w:rsidRPr="00C5124A">
              <w:rPr>
                <w:color w:val="333333"/>
                <w:sz w:val="22"/>
                <w:szCs w:val="22"/>
                <w:shd w:val="clear" w:color="auto" w:fill="FFFFFF"/>
              </w:rPr>
              <w:t>1.   Jednotná informační místa zpřístupní vhodné digitální nástroje, například ve formě internetových portálů, databází, digitálních platforem nebo digitálních aplikací, aby umožnila on-line výkon všech práv a dodržování všech povinností stanovených v tomto nařízení.</w:t>
            </w:r>
          </w:p>
          <w:p w14:paraId="735090C0" w14:textId="77777777" w:rsidR="00E1078A" w:rsidRPr="00C5124A" w:rsidRDefault="00E1078A" w:rsidP="008B6729">
            <w:pPr>
              <w:ind w:left="63"/>
              <w:rPr>
                <w:color w:val="333333"/>
                <w:sz w:val="22"/>
                <w:szCs w:val="22"/>
                <w:shd w:val="clear" w:color="auto" w:fill="FFFFFF"/>
              </w:rPr>
            </w:pPr>
          </w:p>
          <w:p w14:paraId="22552393" w14:textId="4F17775A" w:rsidR="009B4EE2" w:rsidRPr="00C5124A" w:rsidRDefault="00E1078A" w:rsidP="008B6729">
            <w:pPr>
              <w:ind w:left="63"/>
              <w:rPr>
                <w:color w:val="333333"/>
                <w:sz w:val="22"/>
                <w:szCs w:val="22"/>
                <w:shd w:val="clear" w:color="auto" w:fill="FFFFFF"/>
              </w:rPr>
            </w:pPr>
            <w:r w:rsidRPr="00C5124A">
              <w:rPr>
                <w:color w:val="333333"/>
                <w:sz w:val="22"/>
                <w:szCs w:val="22"/>
                <w:shd w:val="clear" w:color="auto" w:fill="FFFFFF"/>
              </w:rPr>
              <w:t xml:space="preserve">odst. </w:t>
            </w:r>
            <w:proofErr w:type="gramStart"/>
            <w:r w:rsidRPr="00C5124A">
              <w:rPr>
                <w:color w:val="333333"/>
                <w:sz w:val="22"/>
                <w:szCs w:val="22"/>
                <w:shd w:val="clear" w:color="auto" w:fill="FFFFFF"/>
              </w:rPr>
              <w:t xml:space="preserve">2 - </w:t>
            </w:r>
            <w:r w:rsidR="009B4EE2" w:rsidRPr="00C5124A">
              <w:rPr>
                <w:color w:val="333333"/>
                <w:sz w:val="22"/>
                <w:szCs w:val="22"/>
                <w:shd w:val="clear" w:color="auto" w:fill="FFFFFF"/>
              </w:rPr>
              <w:t>8</w:t>
            </w:r>
            <w:proofErr w:type="gramEnd"/>
            <w:r w:rsidR="009B4EE2" w:rsidRPr="00C5124A">
              <w:rPr>
                <w:color w:val="333333"/>
                <w:sz w:val="22"/>
                <w:szCs w:val="22"/>
                <w:shd w:val="clear" w:color="auto" w:fill="FFFFFF"/>
              </w:rPr>
              <w:t>.   Členské státy mohou zřídit nebo určit orgán pro koordinaci žádostí o přístup k fyzické infrastruktuře vlastněné nebo ovládané subjekty veřejného sektoru, poskytování právního a technického poradenství prostřednictvím vyjednávání podmínek přístupu a usnadňování poskytování informací prostřednictvím jednotného informačního místa uvedeného v článku 12.</w:t>
            </w:r>
          </w:p>
        </w:tc>
      </w:tr>
      <w:tr w:rsidR="00E1078A" w:rsidRPr="00C5124A" w14:paraId="519C87F4" w14:textId="77777777" w:rsidTr="00B563D5">
        <w:tc>
          <w:tcPr>
            <w:tcW w:w="887" w:type="pct"/>
            <w:tcBorders>
              <w:top w:val="single" w:sz="4" w:space="0" w:color="auto"/>
              <w:left w:val="single" w:sz="4" w:space="0" w:color="auto"/>
              <w:bottom w:val="single" w:sz="4" w:space="0" w:color="auto"/>
              <w:right w:val="single" w:sz="4" w:space="0" w:color="auto"/>
            </w:tcBorders>
          </w:tcPr>
          <w:p w14:paraId="45D040F4" w14:textId="2FE67777" w:rsidR="00E1078A" w:rsidRPr="00C5124A" w:rsidRDefault="00E1078A" w:rsidP="008B6729">
            <w:pPr>
              <w:suppressAutoHyphens/>
              <w:spacing w:line="276" w:lineRule="auto"/>
              <w:ind w:left="117"/>
              <w:rPr>
                <w:sz w:val="22"/>
                <w:szCs w:val="22"/>
                <w:lang w:eastAsia="ar-SA"/>
              </w:rPr>
            </w:pPr>
            <w:r w:rsidRPr="00C5124A">
              <w:rPr>
                <w:sz w:val="22"/>
                <w:szCs w:val="22"/>
                <w:lang w:eastAsia="ar-SA"/>
              </w:rPr>
              <w:t xml:space="preserve">§ </w:t>
            </w:r>
            <w:r w:rsidR="007366D2" w:rsidRPr="00C5124A">
              <w:rPr>
                <w:sz w:val="22"/>
                <w:szCs w:val="22"/>
                <w:lang w:eastAsia="ar-SA"/>
              </w:rPr>
              <w:t>2</w:t>
            </w:r>
            <w:r w:rsidRPr="00C5124A">
              <w:rPr>
                <w:sz w:val="22"/>
                <w:szCs w:val="22"/>
                <w:lang w:eastAsia="ar-SA"/>
              </w:rPr>
              <w:t xml:space="preserve"> odst. 2</w:t>
            </w:r>
          </w:p>
        </w:tc>
        <w:tc>
          <w:tcPr>
            <w:tcW w:w="1644" w:type="pct"/>
            <w:tcBorders>
              <w:top w:val="single" w:sz="4" w:space="0" w:color="auto"/>
              <w:left w:val="single" w:sz="4" w:space="0" w:color="auto"/>
              <w:bottom w:val="single" w:sz="4" w:space="0" w:color="auto"/>
              <w:right w:val="single" w:sz="4" w:space="0" w:color="auto"/>
            </w:tcBorders>
          </w:tcPr>
          <w:p w14:paraId="31ECA8E8" w14:textId="77777777" w:rsidR="00146B9C" w:rsidRPr="00C5124A" w:rsidRDefault="00146B9C" w:rsidP="00146B9C">
            <w:pPr>
              <w:jc w:val="both"/>
            </w:pPr>
            <w:r w:rsidRPr="00C5124A">
              <w:t xml:space="preserve">(2) Jednotnými informačními místy podle nařízení Evropského parlamentu a Rady (EU) 2024/1309 jsou </w:t>
            </w:r>
          </w:p>
          <w:p w14:paraId="5F188B25" w14:textId="77777777" w:rsidR="00146B9C" w:rsidRPr="00C5124A" w:rsidRDefault="00146B9C" w:rsidP="00146B9C">
            <w:pPr>
              <w:jc w:val="both"/>
            </w:pPr>
            <w:r w:rsidRPr="00C5124A">
              <w:t>a) Úřad podle čl. 3, 5, 10, 12, 13 a 14 nařízení Evropského parlamentu a Rady (EU) 2024/1309,</w:t>
            </w:r>
          </w:p>
          <w:p w14:paraId="4B9EF37E" w14:textId="77777777" w:rsidR="00146B9C" w:rsidRPr="00C5124A" w:rsidRDefault="00146B9C" w:rsidP="00146B9C">
            <w:pPr>
              <w:jc w:val="both"/>
            </w:pPr>
            <w:r w:rsidRPr="00C5124A">
              <w:t>b) Ministerstvo pro místní rozvoj podle čl. 7, 9 a 12 nařízení Evropského parlamentu a Rady (EU) 2024/1309 a</w:t>
            </w:r>
          </w:p>
          <w:p w14:paraId="6158A323" w14:textId="2BEFF594" w:rsidR="00E1078A" w:rsidRPr="00C5124A" w:rsidRDefault="00146B9C" w:rsidP="00146B9C">
            <w:pPr>
              <w:jc w:val="both"/>
              <w:rPr>
                <w:sz w:val="22"/>
                <w:szCs w:val="22"/>
              </w:rPr>
            </w:pPr>
            <w:r w:rsidRPr="00C5124A">
              <w:t>c) Český úřad zeměměřický a katastrální podle čl. 4, 6 a 12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20774F08" w14:textId="1BE6AD9C" w:rsidR="00E1078A" w:rsidRPr="00C5124A" w:rsidRDefault="00E1078A" w:rsidP="008B6729">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C1FAD2A" w14:textId="10FFB5BB" w:rsidR="00E1078A" w:rsidRPr="00C5124A" w:rsidRDefault="00E1078A" w:rsidP="008B6729">
            <w:pPr>
              <w:ind w:left="53"/>
              <w:rPr>
                <w:sz w:val="22"/>
                <w:szCs w:val="22"/>
              </w:rPr>
            </w:pPr>
            <w:r w:rsidRPr="00C5124A">
              <w:rPr>
                <w:sz w:val="22"/>
                <w:szCs w:val="22"/>
              </w:rPr>
              <w:t>čl. 14 odst. 5</w:t>
            </w:r>
          </w:p>
        </w:tc>
        <w:tc>
          <w:tcPr>
            <w:tcW w:w="1304" w:type="pct"/>
            <w:tcBorders>
              <w:top w:val="single" w:sz="4" w:space="0" w:color="auto"/>
              <w:left w:val="single" w:sz="4" w:space="0" w:color="auto"/>
              <w:bottom w:val="single" w:sz="4" w:space="0" w:color="auto"/>
              <w:right w:val="single" w:sz="4" w:space="0" w:color="auto"/>
            </w:tcBorders>
          </w:tcPr>
          <w:p w14:paraId="0642F423" w14:textId="3CEB7EE8" w:rsidR="00E1078A" w:rsidRPr="00C5124A" w:rsidRDefault="00E1078A" w:rsidP="008B6729">
            <w:pPr>
              <w:ind w:left="63"/>
              <w:rPr>
                <w:color w:val="333333"/>
                <w:sz w:val="22"/>
                <w:szCs w:val="22"/>
                <w:shd w:val="clear" w:color="auto" w:fill="FFFFFF"/>
              </w:rPr>
            </w:pPr>
            <w:r w:rsidRPr="00C5124A">
              <w:rPr>
                <w:color w:val="333333"/>
                <w:sz w:val="22"/>
                <w:szCs w:val="22"/>
                <w:shd w:val="clear" w:color="auto" w:fill="FFFFFF"/>
              </w:rPr>
              <w:t>5.   Funkce jednotného informačního místa uvedeného v článcích 3 až 10, 12 a 13 vykonává podle potřeby jeden nebo více příslušných orgánů určených členskými státy na celostátní, regionální nebo místní úrovni. S cílem pokrýt náklady na plnění těchto funkcí lze účtovat poplatky za užívání jednotných informačních míst.</w:t>
            </w:r>
          </w:p>
        </w:tc>
      </w:tr>
      <w:tr w:rsidR="00BD1EE9" w:rsidRPr="00C5124A" w14:paraId="4A0387F4" w14:textId="77777777" w:rsidTr="00B563D5">
        <w:tc>
          <w:tcPr>
            <w:tcW w:w="887" w:type="pct"/>
            <w:tcBorders>
              <w:top w:val="single" w:sz="4" w:space="0" w:color="auto"/>
              <w:left w:val="single" w:sz="4" w:space="0" w:color="auto"/>
              <w:bottom w:val="single" w:sz="4" w:space="0" w:color="auto"/>
              <w:right w:val="single" w:sz="4" w:space="0" w:color="auto"/>
            </w:tcBorders>
          </w:tcPr>
          <w:p w14:paraId="4C34687C" w14:textId="5DBC241B" w:rsidR="00BD1EE9" w:rsidRPr="00C5124A" w:rsidRDefault="00BD1EE9" w:rsidP="00BD1EE9">
            <w:pPr>
              <w:suppressAutoHyphens/>
              <w:spacing w:line="276" w:lineRule="auto"/>
              <w:ind w:left="117"/>
              <w:rPr>
                <w:sz w:val="22"/>
                <w:szCs w:val="22"/>
                <w:lang w:eastAsia="ar-SA"/>
              </w:rPr>
            </w:pPr>
            <w:r w:rsidRPr="00C5124A">
              <w:rPr>
                <w:sz w:val="22"/>
                <w:szCs w:val="22"/>
                <w:lang w:eastAsia="ar-SA"/>
              </w:rPr>
              <w:t xml:space="preserve">§ 2 odst. </w:t>
            </w:r>
            <w:r w:rsidR="00232B1E" w:rsidRPr="00C5124A">
              <w:rPr>
                <w:sz w:val="22"/>
                <w:szCs w:val="22"/>
                <w:lang w:eastAsia="ar-SA"/>
              </w:rPr>
              <w:t>3</w:t>
            </w:r>
          </w:p>
        </w:tc>
        <w:tc>
          <w:tcPr>
            <w:tcW w:w="1644" w:type="pct"/>
            <w:tcBorders>
              <w:top w:val="single" w:sz="4" w:space="0" w:color="auto"/>
              <w:left w:val="single" w:sz="4" w:space="0" w:color="auto"/>
              <w:bottom w:val="single" w:sz="4" w:space="0" w:color="auto"/>
              <w:right w:val="single" w:sz="4" w:space="0" w:color="auto"/>
            </w:tcBorders>
          </w:tcPr>
          <w:p w14:paraId="119942A7" w14:textId="28A53827" w:rsidR="00BD1EE9" w:rsidRPr="00C5124A" w:rsidRDefault="00286E89" w:rsidP="00870411">
            <w:pPr>
              <w:jc w:val="both"/>
              <w:rPr>
                <w:sz w:val="22"/>
                <w:szCs w:val="22"/>
              </w:rPr>
            </w:pPr>
            <w:r w:rsidRPr="00C5124A">
              <w:t xml:space="preserve">(3) Úřad ve spolupráci s Ministerstvem vnitra, Ministerstvem pro místní rozvoj, Českým </w:t>
            </w:r>
            <w:r w:rsidRPr="00C5124A">
              <w:lastRenderedPageBreak/>
              <w:t>úřadem zeměměřickým a katastrálním, krajskými úřady a Magistrátem hlavního města Prahy a Digitální a informační agenturou koordinuje využití digitálních nástrojů a informačních systémů, například digitálních technických map, základní báze geografických dat, digitální mapy veřejné správy, portálu stavebníka, informačního systému stavebního řízení a informačního systému datových schránek, vztahujících se k zavádění sítí s velmi vysokou kapacitou podle nařízení Evropského parlamentu a Rady (EU) 2024/1309. Ministerstvo vnitra, Ministerstvo pro místní rozvoj, Český úřad zeměměřický a katastrální, kraje a Digitální a informační agentura poskytují Úřadu nezbytnou součinnost při koordinaci digitálních nástrojů a informačních systémů.</w:t>
            </w:r>
          </w:p>
        </w:tc>
        <w:tc>
          <w:tcPr>
            <w:tcW w:w="589" w:type="pct"/>
            <w:tcBorders>
              <w:top w:val="single" w:sz="4" w:space="0" w:color="auto"/>
              <w:left w:val="single" w:sz="4" w:space="0" w:color="auto"/>
              <w:bottom w:val="single" w:sz="4" w:space="0" w:color="auto"/>
              <w:right w:val="single" w:sz="4" w:space="0" w:color="auto"/>
            </w:tcBorders>
          </w:tcPr>
          <w:p w14:paraId="3F9EBFD5" w14:textId="65FC89F8" w:rsidR="00BD1EE9" w:rsidRPr="00C5124A" w:rsidRDefault="00BD1EE9" w:rsidP="00BD1EE9">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48322CF0" w14:textId="2445D932" w:rsidR="00BD1EE9" w:rsidRPr="00C5124A" w:rsidRDefault="00BD1EE9" w:rsidP="00BD1EE9">
            <w:pPr>
              <w:ind w:left="53"/>
              <w:rPr>
                <w:sz w:val="22"/>
                <w:szCs w:val="22"/>
              </w:rPr>
            </w:pPr>
            <w:r w:rsidRPr="00C5124A">
              <w:rPr>
                <w:sz w:val="22"/>
                <w:szCs w:val="22"/>
              </w:rPr>
              <w:t>čl. 12 odst. 2</w:t>
            </w:r>
          </w:p>
        </w:tc>
        <w:tc>
          <w:tcPr>
            <w:tcW w:w="1304" w:type="pct"/>
            <w:tcBorders>
              <w:top w:val="single" w:sz="4" w:space="0" w:color="auto"/>
              <w:left w:val="single" w:sz="4" w:space="0" w:color="auto"/>
              <w:bottom w:val="single" w:sz="4" w:space="0" w:color="auto"/>
              <w:right w:val="single" w:sz="4" w:space="0" w:color="auto"/>
            </w:tcBorders>
          </w:tcPr>
          <w:p w14:paraId="47F2D5DE" w14:textId="26AA0E6F" w:rsidR="00BD1EE9" w:rsidRPr="00C5124A" w:rsidRDefault="00BD1EE9" w:rsidP="00BD1EE9">
            <w:pPr>
              <w:ind w:left="63"/>
              <w:rPr>
                <w:color w:val="333333"/>
                <w:sz w:val="22"/>
                <w:szCs w:val="22"/>
                <w:shd w:val="clear" w:color="auto" w:fill="FFFFFF"/>
              </w:rPr>
            </w:pPr>
            <w:r w:rsidRPr="00C5124A">
              <w:rPr>
                <w:color w:val="333333"/>
                <w:sz w:val="22"/>
                <w:szCs w:val="22"/>
                <w:shd w:val="clear" w:color="auto" w:fill="FFFFFF"/>
              </w:rPr>
              <w:t xml:space="preserve">2.   Členské státy mohou podle potřeby vzájemně propojit nebo plně či částečně </w:t>
            </w:r>
            <w:r w:rsidRPr="00C5124A">
              <w:rPr>
                <w:color w:val="333333"/>
                <w:sz w:val="22"/>
                <w:szCs w:val="22"/>
                <w:shd w:val="clear" w:color="auto" w:fill="FFFFFF"/>
              </w:rPr>
              <w:lastRenderedPageBreak/>
              <w:t>integrovat více existujících nebo nově vytvořených digitálních nástrojů podporujících jednotná informační místa uvedená v odstavci 1, aby se zabránilo zdvojování digitálních nástrojů.</w:t>
            </w:r>
          </w:p>
        </w:tc>
      </w:tr>
      <w:tr w:rsidR="00BD1EE9" w:rsidRPr="00C5124A" w14:paraId="4BD25C49" w14:textId="77777777" w:rsidTr="00B563D5">
        <w:tc>
          <w:tcPr>
            <w:tcW w:w="887" w:type="pct"/>
            <w:tcBorders>
              <w:top w:val="single" w:sz="4" w:space="0" w:color="auto"/>
              <w:left w:val="single" w:sz="4" w:space="0" w:color="auto"/>
              <w:bottom w:val="single" w:sz="4" w:space="0" w:color="auto"/>
              <w:right w:val="single" w:sz="4" w:space="0" w:color="auto"/>
            </w:tcBorders>
          </w:tcPr>
          <w:p w14:paraId="692B1D3E" w14:textId="0CE0F305" w:rsidR="00BD1EE9" w:rsidRPr="00C5124A" w:rsidRDefault="00BD1EE9" w:rsidP="00BD1EE9">
            <w:pPr>
              <w:suppressAutoHyphens/>
              <w:spacing w:line="276" w:lineRule="auto"/>
              <w:ind w:left="117"/>
              <w:rPr>
                <w:sz w:val="22"/>
                <w:szCs w:val="22"/>
                <w:lang w:eastAsia="ar-SA"/>
              </w:rPr>
            </w:pPr>
            <w:r w:rsidRPr="00C5124A">
              <w:rPr>
                <w:sz w:val="22"/>
                <w:szCs w:val="22"/>
                <w:lang w:eastAsia="ar-SA"/>
              </w:rPr>
              <w:lastRenderedPageBreak/>
              <w:t>§ 2 odst. 3</w:t>
            </w:r>
          </w:p>
        </w:tc>
        <w:tc>
          <w:tcPr>
            <w:tcW w:w="1644" w:type="pct"/>
            <w:tcBorders>
              <w:top w:val="single" w:sz="4" w:space="0" w:color="auto"/>
              <w:left w:val="single" w:sz="4" w:space="0" w:color="auto"/>
              <w:bottom w:val="single" w:sz="4" w:space="0" w:color="auto"/>
              <w:right w:val="single" w:sz="4" w:space="0" w:color="auto"/>
            </w:tcBorders>
          </w:tcPr>
          <w:p w14:paraId="360DC5DD" w14:textId="01D58A63" w:rsidR="00BD1EE9" w:rsidRPr="00C5124A" w:rsidRDefault="00286E89" w:rsidP="00286E89">
            <w:pPr>
              <w:jc w:val="both"/>
              <w:rPr>
                <w:sz w:val="22"/>
                <w:szCs w:val="22"/>
              </w:rPr>
            </w:pPr>
            <w:r w:rsidRPr="00C5124A">
              <w:t xml:space="preserve">(3) Úřad ve spolupráci s Ministerstvem vnitra, Ministerstvem pro místní rozvoj, Českým úřadem zeměměřickým a katastrálním, krajskými úřady a Magistrátem hlavního města Prahy a Digitální a informační agenturou koordinuje využití digitálních nástrojů a informačních systémů, například digitálních technických map, základní báze geografických dat, digitální mapy veřejné správy, portálu stavebníka, informačního systému stavebního řízení a informačního systému datových schránek, vztahujících se k zavádění sítí s velmi vysokou kapacitou podle nařízení Evropského parlamentu a Rady (EU) 2024/1309. </w:t>
            </w:r>
            <w:r w:rsidRPr="00C5124A">
              <w:lastRenderedPageBreak/>
              <w:t>Ministerstvo vnitra, Ministerstvo pro místní rozvoj, Český úřad zeměměřický a katastrální, kraje a Digitální a informační agentura poskytují Úřadu nezbytnou součinnost při koordinaci digitálních nástrojů a informačních systémů.</w:t>
            </w:r>
          </w:p>
        </w:tc>
        <w:tc>
          <w:tcPr>
            <w:tcW w:w="589" w:type="pct"/>
            <w:tcBorders>
              <w:top w:val="single" w:sz="4" w:space="0" w:color="auto"/>
              <w:left w:val="single" w:sz="4" w:space="0" w:color="auto"/>
              <w:bottom w:val="single" w:sz="4" w:space="0" w:color="auto"/>
              <w:right w:val="single" w:sz="4" w:space="0" w:color="auto"/>
            </w:tcBorders>
          </w:tcPr>
          <w:p w14:paraId="496C902B" w14:textId="6E2FB112" w:rsidR="00BD1EE9" w:rsidRPr="00C5124A" w:rsidRDefault="00BD1EE9" w:rsidP="00BD1EE9">
            <w:pPr>
              <w:ind w:left="45"/>
              <w:rPr>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64E39623" w14:textId="756CFAED" w:rsidR="00BD1EE9" w:rsidRPr="00C5124A" w:rsidRDefault="00BD1EE9" w:rsidP="00BD1EE9">
            <w:pPr>
              <w:ind w:left="53"/>
              <w:rPr>
                <w:sz w:val="22"/>
                <w:szCs w:val="22"/>
              </w:rPr>
            </w:pPr>
            <w:r w:rsidRPr="00C5124A">
              <w:rPr>
                <w:sz w:val="22"/>
                <w:szCs w:val="22"/>
              </w:rPr>
              <w:t>čl. 3 odst. 8</w:t>
            </w:r>
          </w:p>
        </w:tc>
        <w:tc>
          <w:tcPr>
            <w:tcW w:w="1304" w:type="pct"/>
            <w:tcBorders>
              <w:top w:val="single" w:sz="4" w:space="0" w:color="auto"/>
              <w:left w:val="single" w:sz="4" w:space="0" w:color="auto"/>
              <w:bottom w:val="single" w:sz="4" w:space="0" w:color="auto"/>
              <w:right w:val="single" w:sz="4" w:space="0" w:color="auto"/>
            </w:tcBorders>
          </w:tcPr>
          <w:p w14:paraId="0A03B8BA" w14:textId="70E34BF5" w:rsidR="00BD1EE9" w:rsidRPr="00C5124A" w:rsidRDefault="00BD1EE9" w:rsidP="00BD1EE9">
            <w:pPr>
              <w:ind w:left="63"/>
              <w:rPr>
                <w:color w:val="333333"/>
                <w:sz w:val="22"/>
                <w:szCs w:val="22"/>
                <w:shd w:val="clear" w:color="auto" w:fill="FFFFFF"/>
              </w:rPr>
            </w:pPr>
            <w:r w:rsidRPr="00C5124A">
              <w:rPr>
                <w:color w:val="333333"/>
                <w:sz w:val="22"/>
                <w:szCs w:val="22"/>
                <w:shd w:val="clear" w:color="auto" w:fill="FFFFFF"/>
              </w:rPr>
              <w:t>8.   Členské státy mohou zřídit nebo určit orgán pro koordinaci žádostí o přístup k fyzické infrastruktuře vlastněné nebo ovládané subjekty veřejného sektoru, poskytování právního a technického poradenství prostřednictvím vyjednávání podmínek přístupu a usnadňování poskytování informací prostřednictvím jednotného informačního místa uvedeného v článku 12.</w:t>
            </w:r>
          </w:p>
        </w:tc>
      </w:tr>
      <w:tr w:rsidR="00BD1EE9" w:rsidRPr="00C5124A" w14:paraId="462244D7" w14:textId="77777777" w:rsidTr="00B563D5">
        <w:tc>
          <w:tcPr>
            <w:tcW w:w="887" w:type="pct"/>
            <w:tcBorders>
              <w:top w:val="single" w:sz="4" w:space="0" w:color="auto"/>
              <w:left w:val="single" w:sz="4" w:space="0" w:color="auto"/>
              <w:bottom w:val="single" w:sz="4" w:space="0" w:color="auto"/>
              <w:right w:val="single" w:sz="4" w:space="0" w:color="auto"/>
            </w:tcBorders>
          </w:tcPr>
          <w:p w14:paraId="2F93A3DA" w14:textId="68E7D9E0" w:rsidR="00BD1EE9" w:rsidRPr="00C5124A" w:rsidRDefault="00BD1EE9" w:rsidP="00BD1EE9">
            <w:pPr>
              <w:suppressAutoHyphens/>
              <w:spacing w:line="276" w:lineRule="auto"/>
              <w:ind w:left="117"/>
              <w:rPr>
                <w:sz w:val="22"/>
                <w:szCs w:val="22"/>
                <w:lang w:eastAsia="ar-SA"/>
              </w:rPr>
            </w:pPr>
            <w:r w:rsidRPr="00C5124A">
              <w:rPr>
                <w:sz w:val="22"/>
                <w:szCs w:val="22"/>
                <w:lang w:eastAsia="ar-SA"/>
              </w:rPr>
              <w:t>§ 2 odst. 3</w:t>
            </w:r>
          </w:p>
        </w:tc>
        <w:tc>
          <w:tcPr>
            <w:tcW w:w="1644" w:type="pct"/>
            <w:tcBorders>
              <w:top w:val="single" w:sz="4" w:space="0" w:color="auto"/>
              <w:left w:val="single" w:sz="4" w:space="0" w:color="auto"/>
              <w:bottom w:val="single" w:sz="4" w:space="0" w:color="auto"/>
              <w:right w:val="single" w:sz="4" w:space="0" w:color="auto"/>
            </w:tcBorders>
          </w:tcPr>
          <w:p w14:paraId="4E01A0DF" w14:textId="2FDE2B3B" w:rsidR="00BD1EE9" w:rsidRPr="00C5124A" w:rsidRDefault="00286E89" w:rsidP="00286E89">
            <w:pPr>
              <w:jc w:val="both"/>
              <w:rPr>
                <w:sz w:val="22"/>
                <w:szCs w:val="22"/>
              </w:rPr>
            </w:pPr>
            <w:r w:rsidRPr="00C5124A">
              <w:t>(3) Úřad ve spolupráci s Ministerstvem vnitra, Ministerstvem pro místní rozvoj, Českým úřadem zeměměřickým a katastrálním, krajskými úřady a Magistrátem hlavního města Prahy a Digitální a informační agenturou koordinuje využití digitálních nástrojů a informačních systémů, například digitálních technických map, základní báze geografických dat, digitální mapy veřejné správy, portálu stavebníka, informačního systému stavebního řízení a informačního systému datových schránek, vztahujících se k zavádění sítí s velmi vysokou kapacitou podle nařízení Evropského parlamentu a Rady (EU) 2024/1309. Ministerstvo vnitra, Ministerstvo pro místní rozvoj, Český úřad zeměměřický a katastrální, kraje a Digitální a informační agentura poskytují Úřadu nezbytnou součinnost při koordinaci digitálních nástrojů a informačních systémů.</w:t>
            </w:r>
          </w:p>
        </w:tc>
        <w:tc>
          <w:tcPr>
            <w:tcW w:w="589" w:type="pct"/>
            <w:tcBorders>
              <w:top w:val="single" w:sz="4" w:space="0" w:color="auto"/>
              <w:left w:val="single" w:sz="4" w:space="0" w:color="auto"/>
              <w:bottom w:val="single" w:sz="4" w:space="0" w:color="auto"/>
              <w:right w:val="single" w:sz="4" w:space="0" w:color="auto"/>
            </w:tcBorders>
          </w:tcPr>
          <w:p w14:paraId="2F8575D3" w14:textId="4B4E9D22" w:rsidR="00BD1EE9" w:rsidRPr="00C5124A" w:rsidRDefault="00BD1EE9" w:rsidP="00BD1EE9">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E05E38A" w14:textId="739EFFCF" w:rsidR="00BD1EE9" w:rsidRPr="00C5124A" w:rsidRDefault="00BD1EE9" w:rsidP="00BD1EE9">
            <w:pPr>
              <w:ind w:left="53"/>
              <w:rPr>
                <w:sz w:val="22"/>
                <w:szCs w:val="22"/>
              </w:rPr>
            </w:pPr>
            <w:r w:rsidRPr="00C5124A">
              <w:rPr>
                <w:sz w:val="22"/>
                <w:szCs w:val="22"/>
              </w:rPr>
              <w:t>čl. 12 odst. 2</w:t>
            </w:r>
          </w:p>
        </w:tc>
        <w:tc>
          <w:tcPr>
            <w:tcW w:w="1304" w:type="pct"/>
            <w:tcBorders>
              <w:top w:val="single" w:sz="4" w:space="0" w:color="auto"/>
              <w:left w:val="single" w:sz="4" w:space="0" w:color="auto"/>
              <w:bottom w:val="single" w:sz="4" w:space="0" w:color="auto"/>
              <w:right w:val="single" w:sz="4" w:space="0" w:color="auto"/>
            </w:tcBorders>
          </w:tcPr>
          <w:p w14:paraId="32F6EE57" w14:textId="6BE637A1" w:rsidR="00BD1EE9" w:rsidRPr="00C5124A" w:rsidRDefault="00BD1EE9" w:rsidP="00BD1EE9">
            <w:pPr>
              <w:ind w:left="63"/>
              <w:rPr>
                <w:color w:val="333333"/>
                <w:sz w:val="22"/>
                <w:szCs w:val="22"/>
                <w:shd w:val="clear" w:color="auto" w:fill="FFFFFF"/>
              </w:rPr>
            </w:pPr>
            <w:r w:rsidRPr="00C5124A">
              <w:rPr>
                <w:color w:val="333333"/>
                <w:sz w:val="22"/>
                <w:szCs w:val="22"/>
                <w:shd w:val="clear" w:color="auto" w:fill="FFFFFF"/>
              </w:rPr>
              <w:t>2.   Členské státy mohou podle potřeby vzájemně propojit nebo plně či částečně integrovat více existujících nebo nově vytvořených digitálních nástrojů podporujících jednotná informační místa uvedená v odstavci 1, aby se zabránilo zdvojování digitálních nástrojů.</w:t>
            </w:r>
          </w:p>
        </w:tc>
      </w:tr>
      <w:tr w:rsidR="00BD1EE9" w:rsidRPr="00C5124A" w14:paraId="67BE5B63" w14:textId="77777777" w:rsidTr="00B563D5">
        <w:tc>
          <w:tcPr>
            <w:tcW w:w="887" w:type="pct"/>
            <w:tcBorders>
              <w:top w:val="single" w:sz="4" w:space="0" w:color="auto"/>
              <w:left w:val="single" w:sz="4" w:space="0" w:color="auto"/>
              <w:bottom w:val="single" w:sz="4" w:space="0" w:color="auto"/>
              <w:right w:val="single" w:sz="4" w:space="0" w:color="auto"/>
            </w:tcBorders>
          </w:tcPr>
          <w:p w14:paraId="2F93BE30" w14:textId="212A0387" w:rsidR="00BD1EE9" w:rsidRPr="00C5124A" w:rsidRDefault="00BD1EE9" w:rsidP="00BD1EE9">
            <w:pPr>
              <w:suppressAutoHyphens/>
              <w:spacing w:line="276" w:lineRule="auto"/>
              <w:ind w:left="117"/>
              <w:rPr>
                <w:sz w:val="22"/>
                <w:szCs w:val="22"/>
                <w:lang w:eastAsia="ar-SA"/>
              </w:rPr>
            </w:pPr>
            <w:r w:rsidRPr="00C5124A">
              <w:rPr>
                <w:sz w:val="22"/>
                <w:szCs w:val="22"/>
                <w:lang w:eastAsia="ar-SA"/>
              </w:rPr>
              <w:t xml:space="preserve">§ 2 odst. </w:t>
            </w:r>
            <w:r w:rsidR="00C5124A">
              <w:rPr>
                <w:sz w:val="22"/>
                <w:szCs w:val="22"/>
                <w:lang w:eastAsia="ar-SA"/>
              </w:rPr>
              <w:t>5</w:t>
            </w:r>
          </w:p>
        </w:tc>
        <w:tc>
          <w:tcPr>
            <w:tcW w:w="1644" w:type="pct"/>
            <w:tcBorders>
              <w:top w:val="single" w:sz="4" w:space="0" w:color="auto"/>
              <w:left w:val="single" w:sz="4" w:space="0" w:color="auto"/>
              <w:bottom w:val="single" w:sz="4" w:space="0" w:color="auto"/>
              <w:right w:val="single" w:sz="4" w:space="0" w:color="auto"/>
            </w:tcBorders>
          </w:tcPr>
          <w:p w14:paraId="1BD71A10" w14:textId="77777777" w:rsidR="00C5124A" w:rsidRPr="00C5124A" w:rsidRDefault="00C5124A" w:rsidP="00C5124A">
            <w:pPr>
              <w:jc w:val="both"/>
              <w:rPr>
                <w:bCs/>
              </w:rPr>
            </w:pPr>
            <w:r w:rsidRPr="00C5124A">
              <w:rPr>
                <w:bCs/>
              </w:rPr>
              <w:t>(5) Úřad zveřejňuje způsobem umožňujícím dálkový přístup</w:t>
            </w:r>
          </w:p>
          <w:p w14:paraId="260F9B7A" w14:textId="77777777" w:rsidR="00C5124A" w:rsidRPr="00C5124A" w:rsidRDefault="00C5124A" w:rsidP="00C5124A">
            <w:pPr>
              <w:jc w:val="both"/>
              <w:rPr>
                <w:bCs/>
              </w:rPr>
            </w:pPr>
            <w:r w:rsidRPr="00C5124A">
              <w:rPr>
                <w:bCs/>
              </w:rPr>
              <w:t xml:space="preserve">a) údaje týkající se podmínek a postupů podle stavebního zákona a další údaje nezbytné pro účely zavádění sítí s velmi vysokou kapacitou, </w:t>
            </w:r>
          </w:p>
          <w:p w14:paraId="3FCC4B9F" w14:textId="77777777" w:rsidR="00C5124A" w:rsidRPr="00C5124A" w:rsidRDefault="00C5124A" w:rsidP="00C5124A">
            <w:pPr>
              <w:jc w:val="both"/>
            </w:pPr>
            <w:r w:rsidRPr="00C5124A">
              <w:lastRenderedPageBreak/>
              <w:t>b) pravomocná rozhodnutí Úřadu podle čl. 13 odst. 4 nařízení Evropského parlamentu a Rady (EU) 2024/1309,</w:t>
            </w:r>
          </w:p>
          <w:p w14:paraId="1B7DE45C" w14:textId="77777777" w:rsidR="00C5124A" w:rsidRPr="00C5124A" w:rsidRDefault="00C5124A" w:rsidP="00C5124A">
            <w:pPr>
              <w:jc w:val="both"/>
            </w:pPr>
            <w:r w:rsidRPr="00C5124A">
              <w:t>c) seznam kategorií fyzické infrastruktury a kritéria použitá k jejich identifikaci podle § 3 odst. 2,</w:t>
            </w:r>
          </w:p>
          <w:p w14:paraId="47AE6FD8" w14:textId="77777777" w:rsidR="00C5124A" w:rsidRPr="00C5124A" w:rsidRDefault="00C5124A" w:rsidP="00C5124A">
            <w:pPr>
              <w:jc w:val="both"/>
            </w:pPr>
            <w:r w:rsidRPr="00C5124A">
              <w:t>d) informace o stavebních pracích omezeného rozsahu podle § 6 odst. 2 a § 7 odst. 8,</w:t>
            </w:r>
          </w:p>
          <w:p w14:paraId="0A0583D2" w14:textId="77777777" w:rsidR="00C5124A" w:rsidRPr="00C5124A" w:rsidRDefault="00C5124A" w:rsidP="00C5124A">
            <w:pPr>
              <w:jc w:val="both"/>
            </w:pPr>
            <w:r w:rsidRPr="00C5124A">
              <w:t>e) informace o stavebních pracích podle § 10 odst. 1,</w:t>
            </w:r>
          </w:p>
          <w:p w14:paraId="109EB44F" w14:textId="77777777" w:rsidR="00C5124A" w:rsidRPr="00C5124A" w:rsidRDefault="00C5124A" w:rsidP="00C5124A">
            <w:pPr>
              <w:jc w:val="both"/>
            </w:pPr>
            <w:r w:rsidRPr="00C5124A">
              <w:t>f) informace podle čl. 14 odst. 8 nařízení Evropského parlamentu a Rady (EU) 2024/1309 a</w:t>
            </w:r>
          </w:p>
          <w:p w14:paraId="51F401FE" w14:textId="3377E3D6" w:rsidR="00BD1EE9" w:rsidRPr="00C5124A" w:rsidRDefault="00C5124A" w:rsidP="00C5124A">
            <w:pPr>
              <w:jc w:val="both"/>
              <w:rPr>
                <w:sz w:val="22"/>
                <w:szCs w:val="22"/>
              </w:rPr>
            </w:pPr>
            <w:r w:rsidRPr="00C5124A">
              <w:t>g) další informace vhodné pro podporu zavádění sítí s velmi vysokou kapacitou podle smyslu a účelu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18FD3CDA" w14:textId="516A3562" w:rsidR="00BD1EE9" w:rsidRPr="00C5124A" w:rsidRDefault="00BD1EE9" w:rsidP="00BD1EE9">
            <w:pPr>
              <w:ind w:left="45"/>
              <w:rPr>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461426ED" w14:textId="35C55206" w:rsidR="00BD1EE9" w:rsidRPr="00C5124A" w:rsidRDefault="00BD1EE9" w:rsidP="00BD1EE9">
            <w:pPr>
              <w:ind w:left="53"/>
              <w:rPr>
                <w:sz w:val="22"/>
                <w:szCs w:val="22"/>
              </w:rPr>
            </w:pPr>
            <w:r w:rsidRPr="00C5124A">
              <w:rPr>
                <w:sz w:val="22"/>
                <w:szCs w:val="22"/>
              </w:rPr>
              <w:t>čl. 9 odst. 1</w:t>
            </w:r>
          </w:p>
        </w:tc>
        <w:tc>
          <w:tcPr>
            <w:tcW w:w="1304" w:type="pct"/>
            <w:tcBorders>
              <w:top w:val="single" w:sz="4" w:space="0" w:color="auto"/>
              <w:left w:val="single" w:sz="4" w:space="0" w:color="auto"/>
              <w:bottom w:val="single" w:sz="4" w:space="0" w:color="auto"/>
              <w:right w:val="single" w:sz="4" w:space="0" w:color="auto"/>
            </w:tcBorders>
          </w:tcPr>
          <w:p w14:paraId="4508C1B9" w14:textId="77777777" w:rsidR="00BD1EE9" w:rsidRPr="00C5124A" w:rsidRDefault="00BD1EE9" w:rsidP="00BD1EE9">
            <w:pPr>
              <w:pStyle w:val="oj-normal"/>
              <w:shd w:val="clear" w:color="auto" w:fill="FFFFFF"/>
              <w:spacing w:before="0" w:beforeAutospacing="0" w:after="0" w:afterAutospacing="0"/>
              <w:jc w:val="both"/>
              <w:rPr>
                <w:color w:val="333333"/>
                <w:sz w:val="22"/>
                <w:szCs w:val="22"/>
              </w:rPr>
            </w:pPr>
            <w:r w:rsidRPr="00C5124A">
              <w:rPr>
                <w:color w:val="333333"/>
                <w:sz w:val="22"/>
                <w:szCs w:val="22"/>
              </w:rPr>
              <w:t>1.   Na stavební práce sestávající z těchto prací se nevztahuje postup udělování povolení ve smyslu článku 7, pokud toto povolení není vyžadováno podle právních předpisů Unie:</w:t>
            </w: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BD1EE9" w:rsidRPr="00C5124A" w14:paraId="0F2E2F2C" w14:textId="77777777" w:rsidTr="0096310E">
              <w:tc>
                <w:tcPr>
                  <w:tcW w:w="210" w:type="dxa"/>
                  <w:shd w:val="clear" w:color="auto" w:fill="FFFFFF"/>
                  <w:hideMark/>
                </w:tcPr>
                <w:p w14:paraId="7BFCB0DE" w14:textId="77777777"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lastRenderedPageBreak/>
                    <w:t>a</w:t>
                  </w:r>
                </w:p>
              </w:tc>
              <w:tc>
                <w:tcPr>
                  <w:tcW w:w="8862" w:type="dxa"/>
                  <w:shd w:val="clear" w:color="auto" w:fill="FFFFFF"/>
                  <w:hideMark/>
                </w:tcPr>
                <w:p w14:paraId="281A2C9C" w14:textId="77777777"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t>) opravy a údržbářské práce, jejichž rozsah je omezen, pokud jde o hodnotu, velikost, dopad nebo trvání;</w:t>
                  </w:r>
                </w:p>
              </w:tc>
            </w:tr>
          </w:tbl>
          <w:p w14:paraId="79D45DEF" w14:textId="77777777" w:rsidR="00BD1EE9" w:rsidRPr="00C5124A" w:rsidRDefault="00BD1EE9" w:rsidP="00BD1EE9">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5"/>
              <w:gridCol w:w="3495"/>
            </w:tblGrid>
            <w:tr w:rsidR="00BD1EE9" w:rsidRPr="00C5124A" w14:paraId="6D4DF25B" w14:textId="77777777" w:rsidTr="0096310E">
              <w:tc>
                <w:tcPr>
                  <w:tcW w:w="225" w:type="dxa"/>
                  <w:shd w:val="clear" w:color="auto" w:fill="FFFFFF"/>
                  <w:hideMark/>
                </w:tcPr>
                <w:p w14:paraId="63248771" w14:textId="77777777"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0B6CF05E" w14:textId="77777777"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t>) omezené technické modernizace stávajících prací nebo zařízení s omezeným dopadem nebo;</w:t>
                  </w:r>
                </w:p>
              </w:tc>
            </w:tr>
          </w:tbl>
          <w:p w14:paraId="62576D57" w14:textId="77777777" w:rsidR="00BD1EE9" w:rsidRPr="00C5124A" w:rsidRDefault="00BD1EE9" w:rsidP="00BD1EE9">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BD1EE9" w:rsidRPr="00C5124A" w14:paraId="2BC1496C" w14:textId="77777777" w:rsidTr="0096310E">
              <w:tc>
                <w:tcPr>
                  <w:tcW w:w="210" w:type="dxa"/>
                  <w:shd w:val="clear" w:color="auto" w:fill="FFFFFF"/>
                  <w:hideMark/>
                </w:tcPr>
                <w:p w14:paraId="4F0A8C2E" w14:textId="77777777"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36B53ABB" w14:textId="16693F64" w:rsidR="00BD1EE9" w:rsidRPr="00C5124A" w:rsidRDefault="00BD1EE9" w:rsidP="00BD1EE9">
                  <w:pPr>
                    <w:pStyle w:val="oj-normal"/>
                    <w:spacing w:before="0" w:beforeAutospacing="0" w:after="0" w:afterAutospacing="0"/>
                    <w:jc w:val="both"/>
                    <w:rPr>
                      <w:color w:val="333333"/>
                      <w:sz w:val="22"/>
                      <w:szCs w:val="22"/>
                    </w:rPr>
                  </w:pPr>
                  <w:r w:rsidRPr="00C5124A">
                    <w:rPr>
                      <w:color w:val="333333"/>
                      <w:sz w:val="22"/>
                      <w:szCs w:val="22"/>
                    </w:rPr>
                    <w:t>) drobné stavební práce, jejichž rozsah je omezen, pokud jde o hodnotu, velikost, dopad nebo trvání, vyžadované pro budování sítí VHCN.</w:t>
                  </w:r>
                </w:p>
                <w:p w14:paraId="5EB19726" w14:textId="77777777" w:rsidR="00BD1EE9" w:rsidRPr="00C5124A" w:rsidRDefault="00BD1EE9" w:rsidP="00BD1EE9">
                  <w:pPr>
                    <w:pStyle w:val="oj-normal"/>
                    <w:spacing w:before="0" w:beforeAutospacing="0" w:after="0" w:afterAutospacing="0"/>
                    <w:jc w:val="both"/>
                    <w:rPr>
                      <w:color w:val="333333"/>
                      <w:sz w:val="22"/>
                      <w:szCs w:val="22"/>
                    </w:rPr>
                  </w:pPr>
                </w:p>
                <w:p w14:paraId="62B097ED" w14:textId="05459989" w:rsidR="00BD1EE9" w:rsidRPr="00C5124A" w:rsidRDefault="00BD1EE9" w:rsidP="00BD1EE9">
                  <w:pPr>
                    <w:pStyle w:val="oj-normal"/>
                    <w:spacing w:before="0" w:beforeAutospacing="0" w:after="0" w:afterAutospacing="0"/>
                    <w:jc w:val="both"/>
                    <w:rPr>
                      <w:color w:val="333333"/>
                      <w:sz w:val="22"/>
                      <w:szCs w:val="22"/>
                    </w:rPr>
                  </w:pPr>
                </w:p>
              </w:tc>
            </w:tr>
          </w:tbl>
          <w:p w14:paraId="0E2620A0" w14:textId="037D9CB2" w:rsidR="00BD1EE9" w:rsidRPr="00C5124A" w:rsidRDefault="00BD1EE9" w:rsidP="00BD1EE9">
            <w:pPr>
              <w:ind w:left="63"/>
              <w:rPr>
                <w:sz w:val="22"/>
                <w:szCs w:val="22"/>
              </w:rPr>
            </w:pPr>
          </w:p>
        </w:tc>
      </w:tr>
      <w:tr w:rsidR="00BD1EE9" w:rsidRPr="00C5124A" w14:paraId="6C61D8B4" w14:textId="77777777" w:rsidTr="00B563D5">
        <w:tc>
          <w:tcPr>
            <w:tcW w:w="887" w:type="pct"/>
            <w:tcBorders>
              <w:top w:val="single" w:sz="4" w:space="0" w:color="auto"/>
              <w:left w:val="single" w:sz="4" w:space="0" w:color="auto"/>
              <w:bottom w:val="single" w:sz="4" w:space="0" w:color="auto"/>
              <w:right w:val="single" w:sz="4" w:space="0" w:color="auto"/>
            </w:tcBorders>
          </w:tcPr>
          <w:p w14:paraId="0CC4C6D3" w14:textId="2789EF5E" w:rsidR="00BD1EE9" w:rsidRPr="00C5124A" w:rsidRDefault="00BD1EE9" w:rsidP="00BD1EE9">
            <w:pPr>
              <w:suppressAutoHyphens/>
              <w:spacing w:line="276" w:lineRule="auto"/>
              <w:ind w:left="117"/>
              <w:rPr>
                <w:sz w:val="22"/>
                <w:szCs w:val="22"/>
                <w:lang w:eastAsia="ar-SA"/>
              </w:rPr>
            </w:pPr>
            <w:r w:rsidRPr="00C5124A">
              <w:rPr>
                <w:sz w:val="22"/>
                <w:szCs w:val="22"/>
                <w:lang w:eastAsia="ar-SA"/>
              </w:rPr>
              <w:lastRenderedPageBreak/>
              <w:t xml:space="preserve">§ 2 odst. </w:t>
            </w:r>
            <w:r w:rsidR="00C5124A">
              <w:rPr>
                <w:sz w:val="22"/>
                <w:szCs w:val="22"/>
                <w:lang w:eastAsia="ar-SA"/>
              </w:rPr>
              <w:t>5</w:t>
            </w:r>
          </w:p>
        </w:tc>
        <w:tc>
          <w:tcPr>
            <w:tcW w:w="1644" w:type="pct"/>
            <w:tcBorders>
              <w:top w:val="single" w:sz="4" w:space="0" w:color="auto"/>
              <w:left w:val="single" w:sz="4" w:space="0" w:color="auto"/>
              <w:bottom w:val="single" w:sz="4" w:space="0" w:color="auto"/>
              <w:right w:val="single" w:sz="4" w:space="0" w:color="auto"/>
            </w:tcBorders>
          </w:tcPr>
          <w:p w14:paraId="33F58F6F" w14:textId="77777777" w:rsidR="00C5124A" w:rsidRPr="00C5124A" w:rsidRDefault="00C5124A" w:rsidP="00C5124A">
            <w:pPr>
              <w:jc w:val="both"/>
              <w:rPr>
                <w:bCs/>
              </w:rPr>
            </w:pPr>
            <w:r w:rsidRPr="00C5124A">
              <w:rPr>
                <w:bCs/>
              </w:rPr>
              <w:t>(5) Úřad zveřejňuje způsobem umožňujícím dálkový přístup</w:t>
            </w:r>
          </w:p>
          <w:p w14:paraId="6E8C58FB" w14:textId="77777777" w:rsidR="00C5124A" w:rsidRPr="00C5124A" w:rsidRDefault="00C5124A" w:rsidP="00C5124A">
            <w:pPr>
              <w:jc w:val="both"/>
              <w:rPr>
                <w:bCs/>
              </w:rPr>
            </w:pPr>
            <w:r w:rsidRPr="00C5124A">
              <w:rPr>
                <w:bCs/>
              </w:rPr>
              <w:t xml:space="preserve">a) údaje týkající se podmínek a postupů podle stavebního zákona a další údaje nezbytné pro účely zavádění sítí s velmi vysokou kapacitou, </w:t>
            </w:r>
          </w:p>
          <w:p w14:paraId="193E9636" w14:textId="77777777" w:rsidR="00C5124A" w:rsidRPr="00C5124A" w:rsidRDefault="00C5124A" w:rsidP="00C5124A">
            <w:pPr>
              <w:jc w:val="both"/>
            </w:pPr>
            <w:r w:rsidRPr="00C5124A">
              <w:t>b) pravomocná rozhodnutí Úřadu podle čl. 13 odst. 4 nařízení Evropského parlamentu a Rady (EU) 2024/1309,</w:t>
            </w:r>
          </w:p>
          <w:p w14:paraId="1115675E" w14:textId="77777777" w:rsidR="00C5124A" w:rsidRPr="00C5124A" w:rsidRDefault="00C5124A" w:rsidP="00C5124A">
            <w:pPr>
              <w:jc w:val="both"/>
            </w:pPr>
            <w:r w:rsidRPr="00C5124A">
              <w:t>c) seznam kategorií fyzické infrastruktury a kritéria použitá k jejich identifikaci podle § 3 odst. 2,</w:t>
            </w:r>
          </w:p>
          <w:p w14:paraId="7D2B3B24" w14:textId="77777777" w:rsidR="00C5124A" w:rsidRPr="00C5124A" w:rsidRDefault="00C5124A" w:rsidP="00C5124A">
            <w:pPr>
              <w:jc w:val="both"/>
            </w:pPr>
            <w:r w:rsidRPr="00C5124A">
              <w:t>d) informace o stavebních pracích omezeného rozsahu podle § 6 odst. 2 a § 7 odst. 8,</w:t>
            </w:r>
          </w:p>
          <w:p w14:paraId="7E88C48B" w14:textId="77777777" w:rsidR="00C5124A" w:rsidRPr="00C5124A" w:rsidRDefault="00C5124A" w:rsidP="00C5124A">
            <w:pPr>
              <w:jc w:val="both"/>
            </w:pPr>
            <w:r w:rsidRPr="00C5124A">
              <w:t>e) informace o stavebních pracích podle § 10 odst. 1,</w:t>
            </w:r>
          </w:p>
          <w:p w14:paraId="5FE8FB0F" w14:textId="77777777" w:rsidR="00C5124A" w:rsidRPr="00C5124A" w:rsidRDefault="00C5124A" w:rsidP="00C5124A">
            <w:pPr>
              <w:jc w:val="both"/>
            </w:pPr>
            <w:r w:rsidRPr="00C5124A">
              <w:lastRenderedPageBreak/>
              <w:t>f) informace podle čl. 14 odst. 8 nařízení Evropského parlamentu a Rady (EU) 2024/1309 a</w:t>
            </w:r>
          </w:p>
          <w:p w14:paraId="740C48AB" w14:textId="07F46451" w:rsidR="00BD1EE9" w:rsidRPr="00C5124A" w:rsidRDefault="00C5124A" w:rsidP="00C5124A">
            <w:pPr>
              <w:jc w:val="both"/>
              <w:rPr>
                <w:sz w:val="22"/>
                <w:szCs w:val="22"/>
              </w:rPr>
            </w:pPr>
            <w:r w:rsidRPr="00C5124A">
              <w:t>g) další informace vhodné pro podporu zavádění sítí s velmi vysokou kapacitou podle smyslu a účelu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164CB4EB" w14:textId="129FE6EE" w:rsidR="00BD1EE9" w:rsidRPr="00C5124A" w:rsidRDefault="00BD1EE9" w:rsidP="00BD1EE9">
            <w:pPr>
              <w:ind w:left="45"/>
              <w:rPr>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17C56B53" w14:textId="701E8630" w:rsidR="00BD1EE9" w:rsidRPr="00C5124A" w:rsidRDefault="00BD1EE9" w:rsidP="00BD1EE9">
            <w:pPr>
              <w:ind w:left="53"/>
              <w:rPr>
                <w:sz w:val="22"/>
                <w:szCs w:val="22"/>
              </w:rPr>
            </w:pPr>
            <w:r w:rsidRPr="00C5124A">
              <w:rPr>
                <w:sz w:val="22"/>
                <w:szCs w:val="22"/>
              </w:rPr>
              <w:t>čl. 9 odst. 2</w:t>
            </w:r>
          </w:p>
        </w:tc>
        <w:tc>
          <w:tcPr>
            <w:tcW w:w="1304" w:type="pct"/>
            <w:tcBorders>
              <w:top w:val="single" w:sz="4" w:space="0" w:color="auto"/>
              <w:left w:val="single" w:sz="4" w:space="0" w:color="auto"/>
              <w:bottom w:val="single" w:sz="4" w:space="0" w:color="auto"/>
              <w:right w:val="single" w:sz="4" w:space="0" w:color="auto"/>
            </w:tcBorders>
          </w:tcPr>
          <w:p w14:paraId="0BB2FB5D" w14:textId="5C463EC8" w:rsidR="00BD1EE9" w:rsidRPr="00C5124A" w:rsidRDefault="00BD1EE9" w:rsidP="00BD1EE9">
            <w:pPr>
              <w:ind w:left="63"/>
              <w:rPr>
                <w:sz w:val="22"/>
                <w:szCs w:val="22"/>
              </w:rPr>
            </w:pPr>
            <w:r w:rsidRPr="00C5124A">
              <w:rPr>
                <w:color w:val="333333"/>
                <w:sz w:val="22"/>
                <w:szCs w:val="22"/>
                <w:shd w:val="clear" w:color="auto" w:fill="FFFFFF"/>
              </w:rPr>
              <w:t>2.   Na základě řádně opodstatněných a přiměřených důvodů členské státy identifikují druhy stavebních prací, na něž se vztahuje odstavec 1. Informace o těchto druzích stavebních prací se zveřejní prostřednictvím jednotného informačního místa.</w:t>
            </w:r>
          </w:p>
        </w:tc>
      </w:tr>
      <w:tr w:rsidR="00BD1EE9" w:rsidRPr="00C5124A" w14:paraId="1E199716" w14:textId="77777777" w:rsidTr="00B563D5">
        <w:tc>
          <w:tcPr>
            <w:tcW w:w="887" w:type="pct"/>
            <w:tcBorders>
              <w:top w:val="single" w:sz="4" w:space="0" w:color="auto"/>
              <w:left w:val="single" w:sz="4" w:space="0" w:color="auto"/>
              <w:bottom w:val="single" w:sz="4" w:space="0" w:color="auto"/>
              <w:right w:val="single" w:sz="4" w:space="0" w:color="auto"/>
            </w:tcBorders>
          </w:tcPr>
          <w:p w14:paraId="00C35AE5" w14:textId="6DC870B4" w:rsidR="00BD1EE9" w:rsidRPr="00C5124A" w:rsidRDefault="00BD1EE9" w:rsidP="00BD1EE9">
            <w:pPr>
              <w:suppressAutoHyphens/>
              <w:spacing w:line="276" w:lineRule="auto"/>
              <w:ind w:left="117"/>
              <w:rPr>
                <w:sz w:val="22"/>
                <w:szCs w:val="22"/>
                <w:lang w:eastAsia="ar-SA"/>
              </w:rPr>
            </w:pPr>
            <w:r w:rsidRPr="00C5124A">
              <w:rPr>
                <w:sz w:val="22"/>
                <w:szCs w:val="22"/>
                <w:lang w:eastAsia="ar-SA"/>
              </w:rPr>
              <w:t xml:space="preserve">§ 2 odst. </w:t>
            </w:r>
            <w:r w:rsidR="001E5D84" w:rsidRPr="00C5124A">
              <w:rPr>
                <w:sz w:val="22"/>
                <w:szCs w:val="22"/>
                <w:lang w:eastAsia="ar-SA"/>
              </w:rPr>
              <w:t>6</w:t>
            </w:r>
          </w:p>
        </w:tc>
        <w:tc>
          <w:tcPr>
            <w:tcW w:w="1644" w:type="pct"/>
            <w:tcBorders>
              <w:top w:val="single" w:sz="4" w:space="0" w:color="auto"/>
              <w:left w:val="single" w:sz="4" w:space="0" w:color="auto"/>
              <w:bottom w:val="single" w:sz="4" w:space="0" w:color="auto"/>
              <w:right w:val="single" w:sz="4" w:space="0" w:color="auto"/>
            </w:tcBorders>
          </w:tcPr>
          <w:p w14:paraId="6182AD13" w14:textId="5FE93D5B" w:rsidR="001E5D84" w:rsidRPr="00C5124A" w:rsidRDefault="001E5D84" w:rsidP="001E5D84">
            <w:pPr>
              <w:jc w:val="both"/>
              <w:rPr>
                <w:sz w:val="22"/>
                <w:szCs w:val="22"/>
              </w:rPr>
            </w:pPr>
            <w:r w:rsidRPr="00C5124A">
              <w:t>(6) Ministerstvo pro místní rozvoj předkládá zprávu Evropské komisi podle čl. 7 odst. 10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6D36A058" w14:textId="3D49E488" w:rsidR="00BD1EE9" w:rsidRPr="00C5124A" w:rsidRDefault="00BD1EE9" w:rsidP="00BD1EE9">
            <w:pPr>
              <w:ind w:left="45"/>
              <w:rPr>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3B25198" w14:textId="4AEABB49" w:rsidR="00BD1EE9" w:rsidRPr="00C5124A" w:rsidRDefault="00BD1EE9" w:rsidP="00BD1EE9">
            <w:pPr>
              <w:ind w:left="53"/>
              <w:rPr>
                <w:sz w:val="22"/>
                <w:szCs w:val="22"/>
              </w:rPr>
            </w:pPr>
            <w:r w:rsidRPr="00C5124A">
              <w:rPr>
                <w:sz w:val="22"/>
                <w:szCs w:val="22"/>
              </w:rPr>
              <w:t>čl. 7 odst. 10</w:t>
            </w:r>
          </w:p>
        </w:tc>
        <w:tc>
          <w:tcPr>
            <w:tcW w:w="1304" w:type="pct"/>
            <w:tcBorders>
              <w:top w:val="single" w:sz="4" w:space="0" w:color="auto"/>
              <w:left w:val="single" w:sz="4" w:space="0" w:color="auto"/>
              <w:bottom w:val="single" w:sz="4" w:space="0" w:color="auto"/>
              <w:right w:val="single" w:sz="4" w:space="0" w:color="auto"/>
            </w:tcBorders>
          </w:tcPr>
          <w:p w14:paraId="4AF11759" w14:textId="2A8DE8F2" w:rsidR="00BD1EE9" w:rsidRPr="00C5124A" w:rsidRDefault="00BD1EE9" w:rsidP="00BD1EE9">
            <w:pPr>
              <w:ind w:left="63"/>
              <w:rPr>
                <w:sz w:val="22"/>
                <w:szCs w:val="22"/>
              </w:rPr>
            </w:pPr>
            <w:r w:rsidRPr="00C5124A">
              <w:rPr>
                <w:color w:val="333333"/>
                <w:sz w:val="22"/>
                <w:szCs w:val="22"/>
                <w:shd w:val="clear" w:color="auto" w:fill="FFFFFF"/>
              </w:rPr>
              <w:t>10.   Komise monitoruje uplatňování tohoto článku v členských státech. Za tímto účelem členské státy předloží každé tři roky Komisi zprávu o stavu provádění tohoto článku a o tom, zda byly splněny v něm uvedené podmínky.</w:t>
            </w:r>
          </w:p>
        </w:tc>
      </w:tr>
      <w:tr w:rsidR="00BD1EE9" w:rsidRPr="00C5124A" w14:paraId="01ACB458" w14:textId="77777777" w:rsidTr="00B563D5">
        <w:tc>
          <w:tcPr>
            <w:tcW w:w="887" w:type="pct"/>
            <w:tcBorders>
              <w:top w:val="single" w:sz="4" w:space="0" w:color="auto"/>
              <w:left w:val="single" w:sz="4" w:space="0" w:color="auto"/>
              <w:bottom w:val="single" w:sz="4" w:space="0" w:color="auto"/>
              <w:right w:val="single" w:sz="4" w:space="0" w:color="auto"/>
            </w:tcBorders>
          </w:tcPr>
          <w:p w14:paraId="6ECA4CFC" w14:textId="56D48E21" w:rsidR="00BD1EE9" w:rsidRPr="00C5124A" w:rsidRDefault="00BD1EE9" w:rsidP="00BD1EE9">
            <w:pPr>
              <w:suppressAutoHyphens/>
              <w:spacing w:line="276" w:lineRule="auto"/>
              <w:ind w:left="117"/>
              <w:rPr>
                <w:sz w:val="22"/>
                <w:szCs w:val="22"/>
                <w:lang w:eastAsia="ar-SA"/>
              </w:rPr>
            </w:pPr>
            <w:r w:rsidRPr="00C5124A">
              <w:rPr>
                <w:sz w:val="22"/>
                <w:szCs w:val="22"/>
                <w:lang w:eastAsia="ar-SA"/>
              </w:rPr>
              <w:t>§ 3</w:t>
            </w:r>
            <w:r w:rsidR="008A3342" w:rsidRPr="00C5124A">
              <w:rPr>
                <w:sz w:val="22"/>
                <w:szCs w:val="22"/>
                <w:lang w:eastAsia="ar-SA"/>
              </w:rPr>
              <w:t xml:space="preserve"> odst. 1 a 2</w:t>
            </w:r>
          </w:p>
        </w:tc>
        <w:tc>
          <w:tcPr>
            <w:tcW w:w="1644" w:type="pct"/>
            <w:tcBorders>
              <w:top w:val="single" w:sz="4" w:space="0" w:color="auto"/>
              <w:left w:val="single" w:sz="4" w:space="0" w:color="auto"/>
              <w:bottom w:val="single" w:sz="4" w:space="0" w:color="auto"/>
              <w:right w:val="single" w:sz="4" w:space="0" w:color="auto"/>
            </w:tcBorders>
          </w:tcPr>
          <w:p w14:paraId="591A791A" w14:textId="08FCAA08" w:rsidR="0097333A" w:rsidRPr="00C5124A" w:rsidRDefault="0097333A" w:rsidP="0097333A">
            <w:pPr>
              <w:pStyle w:val="Odstavecseseznamem"/>
              <w:numPr>
                <w:ilvl w:val="0"/>
                <w:numId w:val="21"/>
              </w:numPr>
              <w:ind w:left="0" w:firstLine="0"/>
            </w:pPr>
            <w:r w:rsidRPr="00C5124A">
              <w:t xml:space="preserve">Přílohou žádosti o přístup k fyzické infrastruktuře podle čl. 3 odst. 1 nařízení Evropského parlamentu a Rady (EU) 2024/1309 musí být návrh na uzavření smlouvy o přístupu k fyzické infrastruktuře, který vymezí fyzickou infrastrukturu, ke které operátor žádá přístup, podmínky požadovaného přístupu a návrh práv a povinností smluvních stran týkající se trvalého umístění prvku sítě s velmi vysokou kapacitou ve fyzické infrastruktuře. </w:t>
            </w:r>
          </w:p>
          <w:p w14:paraId="149DE8E7" w14:textId="77777777" w:rsidR="0097333A" w:rsidRPr="00C5124A" w:rsidRDefault="0097333A" w:rsidP="0097333A">
            <w:pPr>
              <w:rPr>
                <w:rFonts w:eastAsiaTheme="minorEastAsia"/>
              </w:rPr>
            </w:pPr>
          </w:p>
          <w:p w14:paraId="61F86179" w14:textId="36938FF3" w:rsidR="00BD1EE9" w:rsidRPr="00C5124A" w:rsidRDefault="0097333A" w:rsidP="0097333A">
            <w:pPr>
              <w:jc w:val="both"/>
              <w:rPr>
                <w:sz w:val="22"/>
                <w:szCs w:val="22"/>
              </w:rPr>
            </w:pPr>
            <w:bookmarkStart w:id="3" w:name="_Hlk183528529"/>
            <w:r w:rsidRPr="00C5124A">
              <w:t xml:space="preserve">(2) Seznam </w:t>
            </w:r>
            <w:bookmarkStart w:id="4" w:name="_Hlk191905349"/>
            <w:r w:rsidRPr="00C5124A">
              <w:t>kategorií fyzické infrastruktury a kritéria použitá k jejich identifikaci</w:t>
            </w:r>
            <w:bookmarkEnd w:id="4"/>
            <w:r w:rsidRPr="00C5124A">
              <w:t xml:space="preserve"> podle čl. 3 odst. 10 nařízení Evropského parlamentu a Rady (EU) 2024/1309 </w:t>
            </w:r>
            <w:bookmarkEnd w:id="3"/>
            <w:r w:rsidRPr="00C5124A">
              <w:t>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10C0379A" w14:textId="2437AA9E" w:rsidR="00BD1EE9" w:rsidRPr="00C5124A" w:rsidRDefault="00BD1EE9" w:rsidP="00BD1EE9">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3921BDDA" w14:textId="398B8838" w:rsidR="00BD1EE9" w:rsidRPr="00C5124A" w:rsidRDefault="00BD1EE9" w:rsidP="00BD1EE9">
            <w:pPr>
              <w:ind w:left="53"/>
              <w:rPr>
                <w:sz w:val="22"/>
                <w:szCs w:val="22"/>
              </w:rPr>
            </w:pPr>
            <w:r w:rsidRPr="00C5124A">
              <w:rPr>
                <w:sz w:val="22"/>
                <w:szCs w:val="22"/>
              </w:rPr>
              <w:t>čl. 3 odst. 11</w:t>
            </w:r>
          </w:p>
        </w:tc>
        <w:tc>
          <w:tcPr>
            <w:tcW w:w="1304" w:type="pct"/>
            <w:tcBorders>
              <w:top w:val="single" w:sz="4" w:space="0" w:color="auto"/>
              <w:left w:val="single" w:sz="4" w:space="0" w:color="auto"/>
              <w:bottom w:val="single" w:sz="4" w:space="0" w:color="auto"/>
              <w:right w:val="single" w:sz="4" w:space="0" w:color="auto"/>
            </w:tcBorders>
          </w:tcPr>
          <w:p w14:paraId="5E7D22CB" w14:textId="38F59AF2" w:rsidR="00BD1EE9" w:rsidRPr="00C5124A" w:rsidRDefault="00BD1EE9" w:rsidP="00BD1EE9">
            <w:pPr>
              <w:pStyle w:val="oj-normal"/>
              <w:shd w:val="clear" w:color="auto" w:fill="FFFFFF"/>
              <w:spacing w:before="0" w:beforeAutospacing="0" w:after="0" w:afterAutospacing="0"/>
              <w:jc w:val="both"/>
              <w:rPr>
                <w:color w:val="333333"/>
                <w:sz w:val="22"/>
                <w:szCs w:val="22"/>
                <w:shd w:val="clear" w:color="auto" w:fill="FFFFFF"/>
              </w:rPr>
            </w:pPr>
            <w:r w:rsidRPr="00C5124A">
              <w:rPr>
                <w:color w:val="333333"/>
                <w:sz w:val="22"/>
                <w:szCs w:val="22"/>
                <w:shd w:val="clear" w:color="auto" w:fill="FFFFFF"/>
              </w:rPr>
              <w:t>11.   Operátoři jsou oprávněni nabízet přístup ke své fyzické infrastruktuře pro účely budování jiných sítí než sítí elektronických komunikací nebo přiřazených zařízení.</w:t>
            </w:r>
          </w:p>
        </w:tc>
      </w:tr>
      <w:tr w:rsidR="0097333A" w:rsidRPr="00C5124A" w14:paraId="7BAFB3EF" w14:textId="77777777" w:rsidTr="00B563D5">
        <w:tc>
          <w:tcPr>
            <w:tcW w:w="887" w:type="pct"/>
            <w:tcBorders>
              <w:top w:val="single" w:sz="4" w:space="0" w:color="auto"/>
              <w:left w:val="single" w:sz="4" w:space="0" w:color="auto"/>
              <w:bottom w:val="single" w:sz="4" w:space="0" w:color="auto"/>
              <w:right w:val="single" w:sz="4" w:space="0" w:color="auto"/>
            </w:tcBorders>
          </w:tcPr>
          <w:p w14:paraId="3E82BC0E" w14:textId="78CAE00C" w:rsidR="0097333A" w:rsidRPr="00C5124A" w:rsidRDefault="0097333A" w:rsidP="0097333A">
            <w:pPr>
              <w:suppressAutoHyphens/>
              <w:spacing w:line="276" w:lineRule="auto"/>
              <w:ind w:left="117"/>
              <w:rPr>
                <w:sz w:val="22"/>
                <w:szCs w:val="22"/>
                <w:lang w:eastAsia="ar-SA"/>
              </w:rPr>
            </w:pPr>
            <w:r w:rsidRPr="00C5124A">
              <w:rPr>
                <w:sz w:val="22"/>
                <w:szCs w:val="22"/>
                <w:lang w:eastAsia="ar-SA"/>
              </w:rPr>
              <w:lastRenderedPageBreak/>
              <w:t>§ 3 odst.1 a 2</w:t>
            </w:r>
          </w:p>
        </w:tc>
        <w:tc>
          <w:tcPr>
            <w:tcW w:w="1644" w:type="pct"/>
            <w:tcBorders>
              <w:top w:val="single" w:sz="4" w:space="0" w:color="auto"/>
              <w:left w:val="single" w:sz="4" w:space="0" w:color="auto"/>
              <w:bottom w:val="single" w:sz="4" w:space="0" w:color="auto"/>
              <w:right w:val="single" w:sz="4" w:space="0" w:color="auto"/>
            </w:tcBorders>
          </w:tcPr>
          <w:p w14:paraId="3247E677" w14:textId="579594D1" w:rsidR="0097333A" w:rsidRPr="00C5124A" w:rsidRDefault="0097333A" w:rsidP="0097333A">
            <w:pPr>
              <w:pStyle w:val="Odstavecseseznamem"/>
              <w:numPr>
                <w:ilvl w:val="0"/>
                <w:numId w:val="22"/>
              </w:numPr>
              <w:ind w:left="0" w:firstLine="0"/>
            </w:pPr>
            <w:r w:rsidRPr="00C5124A">
              <w:t xml:space="preserve">Přílohou žádosti o přístup k fyzické infrastruktuře podle čl. 3 odst. 1 nařízení Evropského parlamentu a Rady (EU) 2024/1309 musí být návrh na uzavření smlouvy o přístupu k fyzické infrastruktuře, který vymezí fyzickou infrastrukturu, ke které operátor žádá přístup, podmínky požadovaného přístupu a návrh práv a povinností smluvních stran týkající se trvalého umístění prvku sítě s velmi vysokou kapacitou ve fyzické infrastruktuře. </w:t>
            </w:r>
          </w:p>
          <w:p w14:paraId="0B612818" w14:textId="77777777" w:rsidR="0097333A" w:rsidRPr="00C5124A" w:rsidRDefault="0097333A" w:rsidP="0097333A">
            <w:pPr>
              <w:rPr>
                <w:rFonts w:eastAsiaTheme="minorEastAsia"/>
              </w:rPr>
            </w:pPr>
          </w:p>
          <w:p w14:paraId="38754080" w14:textId="294BD16D" w:rsidR="0097333A" w:rsidRPr="00C5124A" w:rsidRDefault="0097333A" w:rsidP="0097333A">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0538390F" w14:textId="3FBC5E13" w:rsidR="0097333A" w:rsidRPr="00C5124A" w:rsidRDefault="0097333A" w:rsidP="0097333A">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58F19DA9" w14:textId="2CE72A9C" w:rsidR="0097333A" w:rsidRPr="00C5124A" w:rsidRDefault="0097333A" w:rsidP="0097333A">
            <w:pPr>
              <w:ind w:left="53"/>
              <w:rPr>
                <w:sz w:val="22"/>
                <w:szCs w:val="22"/>
              </w:rPr>
            </w:pPr>
            <w:r w:rsidRPr="00C5124A">
              <w:rPr>
                <w:sz w:val="22"/>
                <w:szCs w:val="22"/>
              </w:rPr>
              <w:t>čl. 3 odst. 1</w:t>
            </w:r>
          </w:p>
        </w:tc>
        <w:tc>
          <w:tcPr>
            <w:tcW w:w="1304" w:type="pct"/>
            <w:tcBorders>
              <w:top w:val="single" w:sz="4" w:space="0" w:color="auto"/>
              <w:left w:val="single" w:sz="4" w:space="0" w:color="auto"/>
              <w:bottom w:val="single" w:sz="4" w:space="0" w:color="auto"/>
              <w:right w:val="single" w:sz="4" w:space="0" w:color="auto"/>
            </w:tcBorders>
          </w:tcPr>
          <w:p w14:paraId="483A327D" w14:textId="50E4184A" w:rsidR="0097333A" w:rsidRPr="00C5124A" w:rsidRDefault="0097333A" w:rsidP="0097333A">
            <w:pPr>
              <w:pStyle w:val="oj-normal"/>
              <w:shd w:val="clear" w:color="auto" w:fill="FFFFFF"/>
              <w:spacing w:before="0" w:beforeAutospacing="0" w:after="0" w:afterAutospacing="0"/>
              <w:jc w:val="both"/>
              <w:rPr>
                <w:color w:val="333333"/>
                <w:sz w:val="22"/>
                <w:szCs w:val="22"/>
                <w:shd w:val="clear" w:color="auto" w:fill="FFFFFF"/>
              </w:rPr>
            </w:pPr>
            <w:r w:rsidRPr="00C5124A">
              <w:rPr>
                <w:color w:val="333333"/>
                <w:sz w:val="22"/>
                <w:szCs w:val="22"/>
                <w:shd w:val="clear" w:color="auto" w:fill="FFFFFF"/>
              </w:rPr>
              <w:t>1.   Provozovatelé sítě a subjekty veřejného sektoru, které vlastní nebo ovládají fyzickou infrastrukturu, vyhoví na základě písemné žádosti operátora všem oprávněným žádostem o přístup k této fyzické infrastruktuře za spravedlivých a přiměřených podmínek včetně ceny s cílem budovat prvky sítí VHCN nebo přiřazená zařízení. Subjekty veřejného sektoru, které vlastní nebo ovládají fyzickou infrastrukturu, vyhoví všem takovým přiměřeným žádostem, a to rovněž za nediskriminačních podmínek. V takové písemné žádosti musí být specifikovány prvky fyzické infrastruktury, ke které je požadován přístup, včetně konkrétního časového rámce. Členské státy mohou upřesnit náležitosti týkající se administrativních aspektů žádosti.</w:t>
            </w:r>
          </w:p>
        </w:tc>
      </w:tr>
      <w:tr w:rsidR="0097333A" w:rsidRPr="00C5124A" w14:paraId="339074A8" w14:textId="77777777" w:rsidTr="00B563D5">
        <w:tc>
          <w:tcPr>
            <w:tcW w:w="887" w:type="pct"/>
            <w:tcBorders>
              <w:top w:val="single" w:sz="4" w:space="0" w:color="auto"/>
              <w:left w:val="single" w:sz="4" w:space="0" w:color="auto"/>
              <w:bottom w:val="single" w:sz="4" w:space="0" w:color="auto"/>
              <w:right w:val="single" w:sz="4" w:space="0" w:color="auto"/>
            </w:tcBorders>
          </w:tcPr>
          <w:p w14:paraId="27E2B8CC" w14:textId="5AFD1CD6" w:rsidR="0097333A" w:rsidRPr="00C5124A" w:rsidRDefault="0097333A" w:rsidP="0097333A">
            <w:pPr>
              <w:suppressAutoHyphens/>
              <w:spacing w:line="276" w:lineRule="auto"/>
              <w:ind w:left="117"/>
              <w:rPr>
                <w:sz w:val="22"/>
                <w:szCs w:val="22"/>
                <w:lang w:eastAsia="ar-SA"/>
              </w:rPr>
            </w:pPr>
            <w:r w:rsidRPr="00C5124A">
              <w:rPr>
                <w:sz w:val="22"/>
                <w:szCs w:val="22"/>
                <w:lang w:eastAsia="ar-SA"/>
              </w:rPr>
              <w:t>§ 3 odst. 1 a 2</w:t>
            </w:r>
          </w:p>
        </w:tc>
        <w:tc>
          <w:tcPr>
            <w:tcW w:w="1644" w:type="pct"/>
            <w:tcBorders>
              <w:top w:val="single" w:sz="4" w:space="0" w:color="auto"/>
              <w:left w:val="single" w:sz="4" w:space="0" w:color="auto"/>
              <w:bottom w:val="single" w:sz="4" w:space="0" w:color="auto"/>
              <w:right w:val="single" w:sz="4" w:space="0" w:color="auto"/>
            </w:tcBorders>
          </w:tcPr>
          <w:p w14:paraId="76278995" w14:textId="57B76B93" w:rsidR="0097333A" w:rsidRPr="00C5124A" w:rsidRDefault="0097333A" w:rsidP="0097333A">
            <w:pPr>
              <w:pStyle w:val="Odstavecseseznamem"/>
              <w:numPr>
                <w:ilvl w:val="0"/>
                <w:numId w:val="23"/>
              </w:numPr>
              <w:ind w:left="62" w:hanging="62"/>
            </w:pPr>
            <w:r w:rsidRPr="00C5124A">
              <w:t xml:space="preserve">Přílohou žádosti o přístup k fyzické infrastruktuře podle čl. 3 odst. 1 nařízení Evropského parlamentu a Rady (EU) 2024/1309 musí být návrh na uzavření smlouvy o přístupu k fyzické infrastruktuře, který vymezí fyzickou infrastrukturu, ke které operátor žádá přístup, podmínky požadovaného přístupu a návrh práv a povinností smluvních stran týkající se trvalého umístění prvku sítě s velmi vysokou kapacitou ve fyzické infrastruktuře. </w:t>
            </w:r>
          </w:p>
          <w:p w14:paraId="65D62192" w14:textId="77777777" w:rsidR="0097333A" w:rsidRPr="00C5124A" w:rsidRDefault="0097333A" w:rsidP="0097333A">
            <w:pPr>
              <w:rPr>
                <w:rFonts w:eastAsiaTheme="minorEastAsia"/>
              </w:rPr>
            </w:pPr>
          </w:p>
          <w:p w14:paraId="3FD8430D" w14:textId="62D2D566" w:rsidR="0097333A" w:rsidRPr="00C5124A" w:rsidRDefault="0097333A" w:rsidP="0097333A">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66911480" w14:textId="6D90C9C7" w:rsidR="0097333A" w:rsidRPr="00C5124A" w:rsidRDefault="0097333A" w:rsidP="0097333A">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66CC56FA" w14:textId="3D9E9F07" w:rsidR="0097333A" w:rsidRPr="00C5124A" w:rsidRDefault="0097333A" w:rsidP="0097333A">
            <w:pPr>
              <w:ind w:left="53"/>
              <w:rPr>
                <w:sz w:val="22"/>
                <w:szCs w:val="22"/>
              </w:rPr>
            </w:pPr>
            <w:r w:rsidRPr="00C5124A">
              <w:rPr>
                <w:sz w:val="22"/>
                <w:szCs w:val="22"/>
              </w:rPr>
              <w:t>čl. 3 odst. 4</w:t>
            </w:r>
          </w:p>
        </w:tc>
        <w:tc>
          <w:tcPr>
            <w:tcW w:w="1304" w:type="pct"/>
            <w:tcBorders>
              <w:top w:val="single" w:sz="4" w:space="0" w:color="auto"/>
              <w:left w:val="single" w:sz="4" w:space="0" w:color="auto"/>
              <w:bottom w:val="single" w:sz="4" w:space="0" w:color="auto"/>
              <w:right w:val="single" w:sz="4" w:space="0" w:color="auto"/>
            </w:tcBorders>
          </w:tcPr>
          <w:p w14:paraId="0E018E60" w14:textId="77777777" w:rsidR="0097333A" w:rsidRPr="00C5124A" w:rsidRDefault="0097333A" w:rsidP="0097333A">
            <w:pPr>
              <w:pStyle w:val="oj-normal"/>
              <w:shd w:val="clear" w:color="auto" w:fill="FFFFFF"/>
              <w:spacing w:before="0" w:beforeAutospacing="0" w:after="0" w:afterAutospacing="0"/>
              <w:jc w:val="both"/>
              <w:rPr>
                <w:color w:val="333333"/>
                <w:sz w:val="22"/>
                <w:szCs w:val="22"/>
              </w:rPr>
            </w:pPr>
            <w:r w:rsidRPr="00C5124A">
              <w:rPr>
                <w:color w:val="333333"/>
                <w:sz w:val="22"/>
                <w:szCs w:val="22"/>
              </w:rPr>
              <w:t>4.   Při stanovování spravedlivých a přiměřených podmínek, včetně cen, pro poskytování přístupu a s cílem předejít příliš vysokým cenám provozovatelé sítě a subjekty veřejného sektoru, kteří vlastní nebo ovládají fyzickou infrastrukturu, případně zohlední alespoň:</w:t>
            </w:r>
          </w:p>
          <w:tbl>
            <w:tblPr>
              <w:tblW w:w="5000" w:type="pct"/>
              <w:shd w:val="clear" w:color="auto" w:fill="FFFFFF"/>
              <w:tblCellMar>
                <w:left w:w="0" w:type="dxa"/>
                <w:right w:w="0" w:type="dxa"/>
              </w:tblCellMar>
              <w:tblLook w:val="04A0" w:firstRow="1" w:lastRow="0" w:firstColumn="1" w:lastColumn="0" w:noHBand="0" w:noVBand="1"/>
            </w:tblPr>
            <w:tblGrid>
              <w:gridCol w:w="130"/>
              <w:gridCol w:w="3510"/>
            </w:tblGrid>
            <w:tr w:rsidR="0097333A" w:rsidRPr="00C5124A" w14:paraId="60333922" w14:textId="77777777" w:rsidTr="00072CCD">
              <w:tc>
                <w:tcPr>
                  <w:tcW w:w="210" w:type="dxa"/>
                  <w:shd w:val="clear" w:color="auto" w:fill="FFFFFF"/>
                  <w:hideMark/>
                </w:tcPr>
                <w:p w14:paraId="6CBFB903"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12299484"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stávající smlouvy a obchodní podmínky sjednané mezi operátory žádajícími o přístup a provozovateli sítě nebo subjekty veřejného sektoru poskytujícími přístup k fyzické infrastruktuře;</w:t>
                  </w:r>
                </w:p>
              </w:tc>
            </w:tr>
          </w:tbl>
          <w:p w14:paraId="2823BB7F" w14:textId="77777777" w:rsidR="0097333A" w:rsidRPr="00C5124A" w:rsidRDefault="0097333A" w:rsidP="0097333A">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97333A" w:rsidRPr="00C5124A" w14:paraId="10A9AE83" w14:textId="77777777" w:rsidTr="00072CCD">
              <w:tc>
                <w:tcPr>
                  <w:tcW w:w="225" w:type="dxa"/>
                  <w:shd w:val="clear" w:color="auto" w:fill="FFFFFF"/>
                  <w:hideMark/>
                </w:tcPr>
                <w:p w14:paraId="7DDCD16C"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lastRenderedPageBreak/>
                    <w:t>b</w:t>
                  </w:r>
                </w:p>
              </w:tc>
              <w:tc>
                <w:tcPr>
                  <w:tcW w:w="8847" w:type="dxa"/>
                  <w:shd w:val="clear" w:color="auto" w:fill="FFFFFF"/>
                  <w:hideMark/>
                </w:tcPr>
                <w:p w14:paraId="1B5B17B8"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potřebu zajistit, aby poskytovatel přístupu měl přiměřenou možnost náhrady nákladů, které mu vzniknou při poskytování přístupu k jeho fyzické infrastruktuře, při zohlednění zvláštních vnitrostátních podmínek, obchodních modelů a všech cenových struktur zavedených za účelem poskytnutí přiměřené možnosti náhrady nákladů; v případě sítí elektronických komunikací je třeba také zohlednit veškeré prostředky právní ochrany uložené vnitrostátními regulačními orgány;</w:t>
                  </w:r>
                </w:p>
              </w:tc>
            </w:tr>
          </w:tbl>
          <w:p w14:paraId="589881B3" w14:textId="77777777" w:rsidR="0097333A" w:rsidRPr="00C5124A" w:rsidRDefault="0097333A" w:rsidP="0097333A">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1"/>
              <w:gridCol w:w="3509"/>
            </w:tblGrid>
            <w:tr w:rsidR="0097333A" w:rsidRPr="00C5124A" w14:paraId="0C8D1197" w14:textId="77777777" w:rsidTr="00072CCD">
              <w:tc>
                <w:tcPr>
                  <w:tcW w:w="210" w:type="dxa"/>
                  <w:shd w:val="clear" w:color="auto" w:fill="FFFFFF"/>
                  <w:hideMark/>
                </w:tcPr>
                <w:p w14:paraId="6DB48D03"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429295E4"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veškeré dodatečné náklady na údržbu a přizpůsobení vyplývající z poskytnutí přístupu k příslušné fyzické infrastruktuře.</w:t>
                  </w:r>
                </w:p>
              </w:tc>
            </w:tr>
          </w:tbl>
          <w:p w14:paraId="1AE88574" w14:textId="77777777" w:rsidR="0097333A" w:rsidRPr="00C5124A" w:rsidRDefault="0097333A" w:rsidP="0097333A">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9"/>
              <w:gridCol w:w="3501"/>
            </w:tblGrid>
            <w:tr w:rsidR="0097333A" w:rsidRPr="00C5124A" w14:paraId="4C366569" w14:textId="77777777" w:rsidTr="00072CCD">
              <w:tc>
                <w:tcPr>
                  <w:tcW w:w="225" w:type="dxa"/>
                  <w:shd w:val="clear" w:color="auto" w:fill="FFFFFF"/>
                  <w:hideMark/>
                </w:tcPr>
                <w:p w14:paraId="65548470"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76699998"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dopad požadovaného přístupu na obchodní plán poskytovatele přístupu včetně investic do fyzické infrastruktury, ke které je požadován přístup;</w:t>
                  </w:r>
                </w:p>
              </w:tc>
            </w:tr>
          </w:tbl>
          <w:p w14:paraId="5DDD5D76" w14:textId="77777777" w:rsidR="0097333A" w:rsidRPr="00C5124A" w:rsidRDefault="0097333A" w:rsidP="0097333A">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27"/>
              <w:gridCol w:w="3513"/>
            </w:tblGrid>
            <w:tr w:rsidR="0097333A" w:rsidRPr="00C5124A" w14:paraId="09950D6C" w14:textId="77777777" w:rsidTr="00072CCD">
              <w:tc>
                <w:tcPr>
                  <w:tcW w:w="210" w:type="dxa"/>
                  <w:shd w:val="clear" w:color="auto" w:fill="FFFFFF"/>
                  <w:hideMark/>
                </w:tcPr>
                <w:p w14:paraId="10575C6D"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e</w:t>
                  </w:r>
                </w:p>
              </w:tc>
              <w:tc>
                <w:tcPr>
                  <w:tcW w:w="8862" w:type="dxa"/>
                  <w:shd w:val="clear" w:color="auto" w:fill="FFFFFF"/>
                  <w:hideMark/>
                </w:tcPr>
                <w:p w14:paraId="02816BF0"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v konkrétním případě přístupu k fyzické infrastruktuře operátorů, jakékoli pokyny podle odstavce 13, a zejména:</w:t>
                  </w:r>
                </w:p>
                <w:tbl>
                  <w:tblPr>
                    <w:tblW w:w="5000" w:type="pct"/>
                    <w:tblCellMar>
                      <w:left w:w="0" w:type="dxa"/>
                      <w:right w:w="0" w:type="dxa"/>
                    </w:tblCellMar>
                    <w:tblLook w:val="04A0" w:firstRow="1" w:lastRow="0" w:firstColumn="1" w:lastColumn="0" w:noHBand="0" w:noVBand="1"/>
                  </w:tblPr>
                  <w:tblGrid>
                    <w:gridCol w:w="90"/>
                    <w:gridCol w:w="3423"/>
                  </w:tblGrid>
                  <w:tr w:rsidR="0097333A" w:rsidRPr="00C5124A" w14:paraId="56763B3C" w14:textId="77777777" w:rsidTr="00072CCD">
                    <w:tc>
                      <w:tcPr>
                        <w:tcW w:w="162" w:type="dxa"/>
                        <w:shd w:val="clear" w:color="auto" w:fill="auto"/>
                        <w:hideMark/>
                      </w:tcPr>
                      <w:p w14:paraId="3A167B5A"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i</w:t>
                        </w:r>
                      </w:p>
                    </w:tc>
                    <w:tc>
                      <w:tcPr>
                        <w:tcW w:w="8700" w:type="dxa"/>
                        <w:shd w:val="clear" w:color="auto" w:fill="auto"/>
                        <w:hideMark/>
                      </w:tcPr>
                      <w:p w14:paraId="0B870923"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 ekonomickou životaschopnost těchto investic na základě jejich rizikového profilu;</w:t>
                        </w:r>
                      </w:p>
                    </w:tc>
                  </w:tr>
                </w:tbl>
                <w:p w14:paraId="10CB5D7E" w14:textId="77777777" w:rsidR="0097333A" w:rsidRPr="00C5124A" w:rsidRDefault="0097333A" w:rsidP="0097333A">
                  <w:pPr>
                    <w:jc w:val="both"/>
                    <w:rPr>
                      <w:vanish/>
                      <w:color w:val="333333"/>
                      <w:sz w:val="22"/>
                      <w:szCs w:val="22"/>
                    </w:rPr>
                  </w:pPr>
                </w:p>
                <w:tbl>
                  <w:tblPr>
                    <w:tblW w:w="5000" w:type="pct"/>
                    <w:tblCellMar>
                      <w:left w:w="0" w:type="dxa"/>
                      <w:right w:w="0" w:type="dxa"/>
                    </w:tblCellMar>
                    <w:tblLook w:val="04A0" w:firstRow="1" w:lastRow="0" w:firstColumn="1" w:lastColumn="0" w:noHBand="0" w:noVBand="1"/>
                  </w:tblPr>
                  <w:tblGrid>
                    <w:gridCol w:w="149"/>
                    <w:gridCol w:w="3364"/>
                  </w:tblGrid>
                  <w:tr w:rsidR="0097333A" w:rsidRPr="00C5124A" w14:paraId="439982A1" w14:textId="77777777" w:rsidTr="00072CCD">
                    <w:tc>
                      <w:tcPr>
                        <w:tcW w:w="214" w:type="dxa"/>
                        <w:shd w:val="clear" w:color="auto" w:fill="auto"/>
                        <w:hideMark/>
                      </w:tcPr>
                      <w:p w14:paraId="64CE6571" w14:textId="77777777" w:rsidR="0097333A" w:rsidRPr="00C5124A" w:rsidRDefault="0097333A" w:rsidP="0097333A">
                        <w:pPr>
                          <w:pStyle w:val="oj-normal"/>
                          <w:spacing w:before="0" w:beforeAutospacing="0" w:after="0" w:afterAutospacing="0"/>
                          <w:jc w:val="both"/>
                          <w:rPr>
                            <w:sz w:val="22"/>
                            <w:szCs w:val="22"/>
                          </w:rPr>
                        </w:pPr>
                        <w:proofErr w:type="spellStart"/>
                        <w:r w:rsidRPr="00C5124A">
                          <w:rPr>
                            <w:sz w:val="22"/>
                            <w:szCs w:val="22"/>
                          </w:rPr>
                          <w:t>ii</w:t>
                        </w:r>
                        <w:proofErr w:type="spellEnd"/>
                      </w:p>
                    </w:tc>
                    <w:tc>
                      <w:tcPr>
                        <w:tcW w:w="8648" w:type="dxa"/>
                        <w:shd w:val="clear" w:color="auto" w:fill="auto"/>
                        <w:hideMark/>
                      </w:tcPr>
                      <w:p w14:paraId="5D168281"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 potřebu spravedlivé návratnosti investic a jakýkoli časový harmonogram této návratnosti investic;</w:t>
                        </w:r>
                      </w:p>
                    </w:tc>
                  </w:tr>
                </w:tbl>
                <w:p w14:paraId="73352650" w14:textId="77777777" w:rsidR="0097333A" w:rsidRPr="00C5124A" w:rsidRDefault="0097333A" w:rsidP="0097333A">
                  <w:pPr>
                    <w:jc w:val="both"/>
                    <w:rPr>
                      <w:vanish/>
                      <w:color w:val="333333"/>
                      <w:sz w:val="22"/>
                      <w:szCs w:val="22"/>
                    </w:rPr>
                  </w:pPr>
                </w:p>
                <w:tbl>
                  <w:tblPr>
                    <w:tblW w:w="5000" w:type="pct"/>
                    <w:tblCellMar>
                      <w:left w:w="0" w:type="dxa"/>
                      <w:right w:w="0" w:type="dxa"/>
                    </w:tblCellMar>
                    <w:tblLook w:val="04A0" w:firstRow="1" w:lastRow="0" w:firstColumn="1" w:lastColumn="0" w:noHBand="0" w:noVBand="1"/>
                  </w:tblPr>
                  <w:tblGrid>
                    <w:gridCol w:w="209"/>
                    <w:gridCol w:w="3304"/>
                  </w:tblGrid>
                  <w:tr w:rsidR="0097333A" w:rsidRPr="00C5124A" w14:paraId="4F992B32" w14:textId="77777777" w:rsidTr="00072CCD">
                    <w:tc>
                      <w:tcPr>
                        <w:tcW w:w="280" w:type="dxa"/>
                        <w:shd w:val="clear" w:color="auto" w:fill="auto"/>
                        <w:hideMark/>
                      </w:tcPr>
                      <w:p w14:paraId="590BC45F" w14:textId="77777777" w:rsidR="0097333A" w:rsidRPr="00C5124A" w:rsidRDefault="0097333A" w:rsidP="0097333A">
                        <w:pPr>
                          <w:pStyle w:val="oj-normal"/>
                          <w:spacing w:before="0" w:beforeAutospacing="0" w:after="0" w:afterAutospacing="0"/>
                          <w:jc w:val="both"/>
                          <w:rPr>
                            <w:sz w:val="22"/>
                            <w:szCs w:val="22"/>
                          </w:rPr>
                        </w:pPr>
                        <w:proofErr w:type="spellStart"/>
                        <w:r w:rsidRPr="00C5124A">
                          <w:rPr>
                            <w:sz w:val="22"/>
                            <w:szCs w:val="22"/>
                          </w:rPr>
                          <w:lastRenderedPageBreak/>
                          <w:t>iii</w:t>
                        </w:r>
                        <w:proofErr w:type="spellEnd"/>
                      </w:p>
                    </w:tc>
                    <w:tc>
                      <w:tcPr>
                        <w:tcW w:w="8582" w:type="dxa"/>
                        <w:shd w:val="clear" w:color="auto" w:fill="auto"/>
                        <w:hideMark/>
                      </w:tcPr>
                      <w:p w14:paraId="33794D59"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 veškeré dopady přístupu na hospodářskou soutěž na navazujících trzích a v důsledku toho na ceny a na návratnost investice;</w:t>
                        </w:r>
                      </w:p>
                    </w:tc>
                  </w:tr>
                </w:tbl>
                <w:p w14:paraId="421AEB2A" w14:textId="77777777" w:rsidR="0097333A" w:rsidRPr="00C5124A" w:rsidRDefault="0097333A" w:rsidP="0097333A">
                  <w:pPr>
                    <w:jc w:val="both"/>
                    <w:rPr>
                      <w:vanish/>
                      <w:color w:val="333333"/>
                      <w:sz w:val="22"/>
                      <w:szCs w:val="22"/>
                    </w:rPr>
                  </w:pPr>
                </w:p>
                <w:tbl>
                  <w:tblPr>
                    <w:tblW w:w="5000" w:type="pct"/>
                    <w:tblCellMar>
                      <w:left w:w="0" w:type="dxa"/>
                      <w:right w:w="0" w:type="dxa"/>
                    </w:tblCellMar>
                    <w:tblLook w:val="04A0" w:firstRow="1" w:lastRow="0" w:firstColumn="1" w:lastColumn="0" w:noHBand="0" w:noVBand="1"/>
                  </w:tblPr>
                  <w:tblGrid>
                    <w:gridCol w:w="342"/>
                    <w:gridCol w:w="3171"/>
                  </w:tblGrid>
                  <w:tr w:rsidR="0097333A" w:rsidRPr="00C5124A" w14:paraId="4A665695" w14:textId="77777777" w:rsidTr="00072CCD">
                    <w:tc>
                      <w:tcPr>
                        <w:tcW w:w="555" w:type="dxa"/>
                        <w:shd w:val="clear" w:color="auto" w:fill="auto"/>
                        <w:hideMark/>
                      </w:tcPr>
                      <w:p w14:paraId="1DBC8779" w14:textId="77777777" w:rsidR="0097333A" w:rsidRPr="00C5124A" w:rsidRDefault="0097333A" w:rsidP="0097333A">
                        <w:pPr>
                          <w:pStyle w:val="oj-normal"/>
                          <w:spacing w:before="0" w:beforeAutospacing="0" w:after="0" w:afterAutospacing="0"/>
                          <w:jc w:val="both"/>
                          <w:rPr>
                            <w:sz w:val="22"/>
                            <w:szCs w:val="22"/>
                          </w:rPr>
                        </w:pPr>
                        <w:proofErr w:type="spellStart"/>
                        <w:r w:rsidRPr="00C5124A">
                          <w:rPr>
                            <w:sz w:val="22"/>
                            <w:szCs w:val="22"/>
                          </w:rPr>
                          <w:t>iv</w:t>
                        </w:r>
                        <w:proofErr w:type="spellEnd"/>
                        <w:r w:rsidRPr="00C5124A">
                          <w:rPr>
                            <w:sz w:val="22"/>
                            <w:szCs w:val="22"/>
                          </w:rPr>
                          <w:t>)</w:t>
                        </w:r>
                      </w:p>
                    </w:tc>
                    <w:tc>
                      <w:tcPr>
                        <w:tcW w:w="8307" w:type="dxa"/>
                        <w:shd w:val="clear" w:color="auto" w:fill="auto"/>
                        <w:hideMark/>
                      </w:tcPr>
                      <w:p w14:paraId="64A5DEEF"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odpisy aktiv sítě v době žádosti o přístup;</w:t>
                        </w:r>
                      </w:p>
                    </w:tc>
                  </w:tr>
                </w:tbl>
                <w:p w14:paraId="53147136" w14:textId="77777777" w:rsidR="0097333A" w:rsidRPr="00C5124A" w:rsidRDefault="0097333A" w:rsidP="0097333A">
                  <w:pPr>
                    <w:jc w:val="both"/>
                    <w:rPr>
                      <w:vanish/>
                      <w:color w:val="333333"/>
                      <w:sz w:val="22"/>
                      <w:szCs w:val="22"/>
                    </w:rPr>
                  </w:pPr>
                </w:p>
                <w:tbl>
                  <w:tblPr>
                    <w:tblW w:w="5000" w:type="pct"/>
                    <w:tblCellMar>
                      <w:left w:w="0" w:type="dxa"/>
                      <w:right w:w="0" w:type="dxa"/>
                    </w:tblCellMar>
                    <w:tblLook w:val="04A0" w:firstRow="1" w:lastRow="0" w:firstColumn="1" w:lastColumn="0" w:noHBand="0" w:noVBand="1"/>
                  </w:tblPr>
                  <w:tblGrid>
                    <w:gridCol w:w="136"/>
                    <w:gridCol w:w="3377"/>
                  </w:tblGrid>
                  <w:tr w:rsidR="0097333A" w:rsidRPr="00C5124A" w14:paraId="6E3305A3" w14:textId="77777777" w:rsidTr="00072CCD">
                    <w:tc>
                      <w:tcPr>
                        <w:tcW w:w="200" w:type="dxa"/>
                        <w:shd w:val="clear" w:color="auto" w:fill="auto"/>
                        <w:hideMark/>
                      </w:tcPr>
                      <w:p w14:paraId="524811B6"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v</w:t>
                        </w:r>
                      </w:p>
                    </w:tc>
                    <w:tc>
                      <w:tcPr>
                        <w:tcW w:w="8662" w:type="dxa"/>
                        <w:shd w:val="clear" w:color="auto" w:fill="auto"/>
                        <w:hideMark/>
                      </w:tcPr>
                      <w:p w14:paraId="31DC5EF1"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obchodní důvody podporující investice v době, kdy byla uskutečněna, zejména do fyzické infrastruktury užívané k zajištění konektivity, a</w:t>
                        </w:r>
                      </w:p>
                    </w:tc>
                  </w:tr>
                </w:tbl>
                <w:p w14:paraId="366C1FFF" w14:textId="77777777" w:rsidR="0097333A" w:rsidRPr="00C5124A" w:rsidRDefault="0097333A" w:rsidP="0097333A">
                  <w:pPr>
                    <w:jc w:val="both"/>
                    <w:rPr>
                      <w:vanish/>
                      <w:color w:val="333333"/>
                      <w:sz w:val="22"/>
                      <w:szCs w:val="22"/>
                    </w:rPr>
                  </w:pPr>
                </w:p>
                <w:tbl>
                  <w:tblPr>
                    <w:tblW w:w="5000" w:type="pct"/>
                    <w:tblCellMar>
                      <w:left w:w="0" w:type="dxa"/>
                      <w:right w:w="0" w:type="dxa"/>
                    </w:tblCellMar>
                    <w:tblLook w:val="04A0" w:firstRow="1" w:lastRow="0" w:firstColumn="1" w:lastColumn="0" w:noHBand="0" w:noVBand="1"/>
                  </w:tblPr>
                  <w:tblGrid>
                    <w:gridCol w:w="251"/>
                    <w:gridCol w:w="3262"/>
                  </w:tblGrid>
                  <w:tr w:rsidR="0097333A" w:rsidRPr="00C5124A" w14:paraId="207E4342" w14:textId="77777777" w:rsidTr="00072CCD">
                    <w:tc>
                      <w:tcPr>
                        <w:tcW w:w="267" w:type="dxa"/>
                        <w:shd w:val="clear" w:color="auto" w:fill="auto"/>
                        <w:hideMark/>
                      </w:tcPr>
                      <w:p w14:paraId="6D14551F" w14:textId="77777777" w:rsidR="0097333A" w:rsidRPr="00C5124A" w:rsidRDefault="0097333A" w:rsidP="0097333A">
                        <w:pPr>
                          <w:pStyle w:val="oj-normal"/>
                          <w:spacing w:before="0" w:beforeAutospacing="0" w:after="0" w:afterAutospacing="0"/>
                          <w:jc w:val="both"/>
                          <w:rPr>
                            <w:sz w:val="22"/>
                            <w:szCs w:val="22"/>
                          </w:rPr>
                        </w:pPr>
                        <w:proofErr w:type="spellStart"/>
                        <w:r w:rsidRPr="00C5124A">
                          <w:rPr>
                            <w:sz w:val="22"/>
                            <w:szCs w:val="22"/>
                          </w:rPr>
                          <w:t>vi</w:t>
                        </w:r>
                        <w:proofErr w:type="spellEnd"/>
                        <w:r w:rsidRPr="00C5124A">
                          <w:rPr>
                            <w:sz w:val="22"/>
                            <w:szCs w:val="22"/>
                          </w:rPr>
                          <w:t>)</w:t>
                        </w:r>
                      </w:p>
                    </w:tc>
                    <w:tc>
                      <w:tcPr>
                        <w:tcW w:w="8595" w:type="dxa"/>
                        <w:shd w:val="clear" w:color="auto" w:fill="auto"/>
                        <w:hideMark/>
                      </w:tcPr>
                      <w:p w14:paraId="40127E26" w14:textId="77777777" w:rsidR="0097333A" w:rsidRPr="00C5124A" w:rsidRDefault="0097333A" w:rsidP="0097333A">
                        <w:pPr>
                          <w:pStyle w:val="oj-normal"/>
                          <w:spacing w:before="0" w:beforeAutospacing="0" w:after="0" w:afterAutospacing="0"/>
                          <w:jc w:val="both"/>
                          <w:rPr>
                            <w:sz w:val="22"/>
                            <w:szCs w:val="22"/>
                          </w:rPr>
                        </w:pPr>
                        <w:r w:rsidRPr="00C5124A">
                          <w:rPr>
                            <w:sz w:val="22"/>
                            <w:szCs w:val="22"/>
                          </w:rPr>
                          <w:t>) možnosti souběžného společného investování do budování fyzické infrastruktury, jež je předběžně nabídnuta žadateli o přístup, zejména podle článku 76 směrnice (EU) 2018/1972, případně do souběžného budování zároveň s ní.</w:t>
                        </w:r>
                      </w:p>
                    </w:tc>
                  </w:tr>
                </w:tbl>
                <w:p w14:paraId="26E71172" w14:textId="77777777" w:rsidR="0097333A" w:rsidRPr="00C5124A" w:rsidRDefault="0097333A" w:rsidP="0097333A">
                  <w:pPr>
                    <w:jc w:val="both"/>
                    <w:rPr>
                      <w:color w:val="333333"/>
                      <w:sz w:val="22"/>
                      <w:szCs w:val="22"/>
                    </w:rPr>
                  </w:pPr>
                </w:p>
              </w:tc>
            </w:tr>
          </w:tbl>
          <w:p w14:paraId="363094E4" w14:textId="77777777" w:rsidR="0097333A" w:rsidRPr="00C5124A" w:rsidRDefault="0097333A" w:rsidP="0097333A">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05"/>
              <w:gridCol w:w="3535"/>
            </w:tblGrid>
            <w:tr w:rsidR="0097333A" w:rsidRPr="00C5124A" w14:paraId="11A7F3B5" w14:textId="77777777" w:rsidTr="00072CCD">
              <w:tc>
                <w:tcPr>
                  <w:tcW w:w="180" w:type="dxa"/>
                  <w:shd w:val="clear" w:color="auto" w:fill="FFFFFF"/>
                  <w:hideMark/>
                </w:tcPr>
                <w:p w14:paraId="00CCD290"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f</w:t>
                  </w:r>
                </w:p>
              </w:tc>
              <w:tc>
                <w:tcPr>
                  <w:tcW w:w="8892" w:type="dxa"/>
                  <w:shd w:val="clear" w:color="auto" w:fill="FFFFFF"/>
                  <w:hideMark/>
                </w:tcPr>
                <w:p w14:paraId="4CB688B9" w14:textId="77777777" w:rsidR="0097333A" w:rsidRPr="00C5124A" w:rsidRDefault="0097333A" w:rsidP="0097333A">
                  <w:pPr>
                    <w:pStyle w:val="oj-normal"/>
                    <w:spacing w:before="0" w:beforeAutospacing="0" w:after="0" w:afterAutospacing="0"/>
                    <w:jc w:val="both"/>
                    <w:rPr>
                      <w:color w:val="333333"/>
                      <w:sz w:val="22"/>
                      <w:szCs w:val="22"/>
                    </w:rPr>
                  </w:pPr>
                  <w:r w:rsidRPr="00C5124A">
                    <w:rPr>
                      <w:color w:val="333333"/>
                      <w:sz w:val="22"/>
                      <w:szCs w:val="22"/>
                    </w:rPr>
                    <w:t>) při zvažování potřeby operátorů zajistit spravedlivou návratnost investic, která odráží příslušné tržní podmínky, jejich různé obchodní modely, zejména v případě podniků, které primárně poskytují přiřazená zařízení a nabízejí fyzický přístup k více než jednomu podniku zajišťujícímu nebo oprávněnému zajišťovat veřejné sítě elektronických komunikací.</w:t>
                  </w:r>
                </w:p>
              </w:tc>
            </w:tr>
          </w:tbl>
          <w:p w14:paraId="4831A4EA" w14:textId="77777777" w:rsidR="0097333A" w:rsidRPr="00C5124A" w:rsidRDefault="0097333A" w:rsidP="0097333A">
            <w:pPr>
              <w:pStyle w:val="oj-normal"/>
              <w:shd w:val="clear" w:color="auto" w:fill="FFFFFF"/>
              <w:spacing w:before="0" w:beforeAutospacing="0" w:after="0" w:afterAutospacing="0"/>
              <w:jc w:val="both"/>
              <w:rPr>
                <w:color w:val="333333"/>
                <w:sz w:val="22"/>
                <w:szCs w:val="22"/>
                <w:shd w:val="clear" w:color="auto" w:fill="FFFFFF"/>
              </w:rPr>
            </w:pPr>
          </w:p>
        </w:tc>
      </w:tr>
      <w:tr w:rsidR="003A5A4B" w:rsidRPr="00C5124A" w14:paraId="6E3DA740" w14:textId="77777777" w:rsidTr="00B563D5">
        <w:tc>
          <w:tcPr>
            <w:tcW w:w="887" w:type="pct"/>
            <w:tcBorders>
              <w:top w:val="single" w:sz="4" w:space="0" w:color="auto"/>
              <w:left w:val="single" w:sz="4" w:space="0" w:color="auto"/>
              <w:bottom w:val="single" w:sz="4" w:space="0" w:color="auto"/>
              <w:right w:val="single" w:sz="4" w:space="0" w:color="auto"/>
            </w:tcBorders>
          </w:tcPr>
          <w:p w14:paraId="2E4E841F" w14:textId="21E875D7" w:rsidR="003A5A4B" w:rsidRPr="00C5124A" w:rsidRDefault="003A5A4B" w:rsidP="003A5A4B">
            <w:pPr>
              <w:suppressAutoHyphens/>
              <w:spacing w:line="276" w:lineRule="auto"/>
              <w:ind w:left="117"/>
              <w:rPr>
                <w:sz w:val="22"/>
                <w:szCs w:val="22"/>
                <w:lang w:eastAsia="ar-SA"/>
              </w:rPr>
            </w:pPr>
            <w:r w:rsidRPr="00C5124A">
              <w:rPr>
                <w:sz w:val="22"/>
                <w:szCs w:val="22"/>
                <w:lang w:eastAsia="ar-SA"/>
              </w:rPr>
              <w:lastRenderedPageBreak/>
              <w:t xml:space="preserve">§ 3 odst. 1 a 2 </w:t>
            </w:r>
          </w:p>
        </w:tc>
        <w:tc>
          <w:tcPr>
            <w:tcW w:w="1644" w:type="pct"/>
            <w:tcBorders>
              <w:top w:val="single" w:sz="4" w:space="0" w:color="auto"/>
              <w:left w:val="single" w:sz="4" w:space="0" w:color="auto"/>
              <w:bottom w:val="single" w:sz="4" w:space="0" w:color="auto"/>
              <w:right w:val="single" w:sz="4" w:space="0" w:color="auto"/>
            </w:tcBorders>
          </w:tcPr>
          <w:p w14:paraId="61951232" w14:textId="245BB222" w:rsidR="003A5A4B" w:rsidRPr="00C5124A" w:rsidRDefault="003A5A4B" w:rsidP="003A5A4B">
            <w:pPr>
              <w:pStyle w:val="Odstavecseseznamem"/>
              <w:numPr>
                <w:ilvl w:val="0"/>
                <w:numId w:val="24"/>
              </w:numPr>
              <w:ind w:left="62" w:hanging="62"/>
            </w:pPr>
            <w:r w:rsidRPr="00C5124A">
              <w:t xml:space="preserve">Přílohou žádosti o přístup k fyzické infrastruktuře podle čl. 3 odst. 1 nařízení Evropského parlamentu a Rady (EU) 2024/1309 musí být návrh na uzavření smlouvy o přístupu k fyzické infrastruktuře, který </w:t>
            </w:r>
            <w:r w:rsidRPr="00C5124A">
              <w:lastRenderedPageBreak/>
              <w:t xml:space="preserve">vymezí fyzickou infrastrukturu, ke které operátor žádá přístup, podmínky požadovaného přístupu a návrh práv a povinností smluvních stran týkající se trvalého umístění prvku sítě s velmi vysokou kapacitou ve fyzické infrastruktuře. </w:t>
            </w:r>
          </w:p>
          <w:p w14:paraId="2EE7E9DF" w14:textId="77777777" w:rsidR="003A5A4B" w:rsidRPr="00C5124A" w:rsidRDefault="003A5A4B" w:rsidP="003A5A4B">
            <w:pPr>
              <w:rPr>
                <w:rFonts w:eastAsiaTheme="minorEastAsia"/>
              </w:rPr>
            </w:pPr>
          </w:p>
          <w:p w14:paraId="152F592E" w14:textId="1203E476" w:rsidR="003A5A4B" w:rsidRPr="00C5124A" w:rsidRDefault="003A5A4B" w:rsidP="003A5A4B">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547CEADD" w14:textId="48BC62A1"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574B001E" w14:textId="285678A2" w:rsidR="003A5A4B" w:rsidRPr="00C5124A" w:rsidRDefault="003A5A4B" w:rsidP="003A5A4B">
            <w:pPr>
              <w:ind w:left="53"/>
              <w:rPr>
                <w:sz w:val="22"/>
                <w:szCs w:val="22"/>
              </w:rPr>
            </w:pPr>
            <w:r w:rsidRPr="00C5124A">
              <w:rPr>
                <w:sz w:val="22"/>
                <w:szCs w:val="22"/>
              </w:rPr>
              <w:t>čl. 3 odst. 5</w:t>
            </w:r>
          </w:p>
        </w:tc>
        <w:tc>
          <w:tcPr>
            <w:tcW w:w="1304" w:type="pct"/>
            <w:tcBorders>
              <w:top w:val="single" w:sz="4" w:space="0" w:color="auto"/>
              <w:left w:val="single" w:sz="4" w:space="0" w:color="auto"/>
              <w:bottom w:val="single" w:sz="4" w:space="0" w:color="auto"/>
              <w:right w:val="single" w:sz="4" w:space="0" w:color="auto"/>
            </w:tcBorders>
          </w:tcPr>
          <w:p w14:paraId="3DA9417F"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5.   Provozovatelé sítě a subjekty veřejného sektoru, kteří vlastní nebo ovládají fyzickou infrastrukturu, mohou odmítnout přístup ke konkrétní fyzické infrastruktuře na základě jedné nebo více následujících podmínek:</w:t>
            </w:r>
          </w:p>
          <w:tbl>
            <w:tblPr>
              <w:tblW w:w="5000" w:type="pct"/>
              <w:shd w:val="clear" w:color="auto" w:fill="FFFFFF"/>
              <w:tblCellMar>
                <w:left w:w="0" w:type="dxa"/>
                <w:right w:w="0" w:type="dxa"/>
              </w:tblCellMar>
              <w:tblLook w:val="04A0" w:firstRow="1" w:lastRow="0" w:firstColumn="1" w:lastColumn="0" w:noHBand="0" w:noVBand="1"/>
            </w:tblPr>
            <w:tblGrid>
              <w:gridCol w:w="131"/>
              <w:gridCol w:w="3509"/>
            </w:tblGrid>
            <w:tr w:rsidR="003A5A4B" w:rsidRPr="00C5124A" w14:paraId="121EC914" w14:textId="77777777" w:rsidTr="00072CCD">
              <w:tc>
                <w:tcPr>
                  <w:tcW w:w="210" w:type="dxa"/>
                  <w:shd w:val="clear" w:color="auto" w:fill="FFFFFF"/>
                  <w:hideMark/>
                </w:tcPr>
                <w:p w14:paraId="21426D3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lastRenderedPageBreak/>
                    <w:t>a</w:t>
                  </w:r>
                </w:p>
              </w:tc>
              <w:tc>
                <w:tcPr>
                  <w:tcW w:w="8862" w:type="dxa"/>
                  <w:shd w:val="clear" w:color="auto" w:fill="FFFFFF"/>
                  <w:hideMark/>
                </w:tcPr>
                <w:p w14:paraId="0C64CD25" w14:textId="77777777" w:rsidR="003A5A4B" w:rsidRPr="00C5124A" w:rsidRDefault="003A5A4B" w:rsidP="003A5A4B">
                  <w:pPr>
                    <w:pStyle w:val="oj-normal"/>
                    <w:spacing w:before="0" w:beforeAutospacing="0" w:after="0" w:afterAutospacing="0"/>
                    <w:jc w:val="both"/>
                    <w:rPr>
                      <w:color w:val="333333"/>
                      <w:sz w:val="22"/>
                      <w:szCs w:val="22"/>
                    </w:rPr>
                  </w:pPr>
                  <w:proofErr w:type="gramStart"/>
                  <w:r w:rsidRPr="00C5124A">
                    <w:rPr>
                      <w:color w:val="333333"/>
                      <w:sz w:val="22"/>
                      <w:szCs w:val="22"/>
                    </w:rPr>
                    <w:t>)fyzická</w:t>
                  </w:r>
                  <w:proofErr w:type="gramEnd"/>
                  <w:r w:rsidRPr="00C5124A">
                    <w:rPr>
                      <w:color w:val="333333"/>
                      <w:sz w:val="22"/>
                      <w:szCs w:val="22"/>
                    </w:rPr>
                    <w:t xml:space="preserve"> infrastruktura, k níž bylo požádáno o přístup, není technicky vhodná pro uložení jakéhokoli prvku sítě VHCN podle odstavce 1;</w:t>
                  </w:r>
                </w:p>
              </w:tc>
            </w:tr>
          </w:tbl>
          <w:p w14:paraId="4214C66D"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3028AA0E" w14:textId="77777777" w:rsidTr="00072CCD">
              <w:tc>
                <w:tcPr>
                  <w:tcW w:w="225" w:type="dxa"/>
                  <w:shd w:val="clear" w:color="auto" w:fill="FFFFFF"/>
                  <w:hideMark/>
                </w:tcPr>
                <w:p w14:paraId="320D2C5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3E6B29A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nedostatečný prostor k uložení prvků sítí VHCN nebo přiřazených zařízení podle odstavce 1, a to i po zohlednění budoucích potřeb poskytovatele přístupu ohledně prostoru, které jsou dostatečně prokázány, jako například odkazem na veřejně dostupné investiční plány nebo jednotně uplatňovaný procentní podíl kapacity vyhrazené pro budoucí potřeby z celkové kapacity fyzické infrastruktury;</w:t>
                  </w:r>
                </w:p>
              </w:tc>
            </w:tr>
          </w:tbl>
          <w:p w14:paraId="2310A724"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2"/>
              <w:gridCol w:w="3508"/>
            </w:tblGrid>
            <w:tr w:rsidR="003A5A4B" w:rsidRPr="00C5124A" w14:paraId="6F5746EB" w14:textId="77777777" w:rsidTr="00072CCD">
              <w:tc>
                <w:tcPr>
                  <w:tcW w:w="210" w:type="dxa"/>
                  <w:shd w:val="clear" w:color="auto" w:fill="FFFFFF"/>
                  <w:hideMark/>
                </w:tcPr>
                <w:p w14:paraId="50E8D191"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0EBC781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opodstatněné důvody týkající se bezpečnosti, národní bezpečnosti nebo veřejného zdraví;</w:t>
                  </w:r>
                </w:p>
              </w:tc>
            </w:tr>
          </w:tbl>
          <w:p w14:paraId="0248934C"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48A65EE4" w14:textId="77777777" w:rsidTr="00072CCD">
              <w:tc>
                <w:tcPr>
                  <w:tcW w:w="225" w:type="dxa"/>
                  <w:shd w:val="clear" w:color="auto" w:fill="FFFFFF"/>
                  <w:hideMark/>
                </w:tcPr>
                <w:p w14:paraId="354769B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0FAF06D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řádně opodstatněné důvody týkající se integrity a bezpečnosti kterékoli sítě, zejména kritické infrastruktury jednotlivých států;</w:t>
                  </w:r>
                </w:p>
              </w:tc>
            </w:tr>
          </w:tbl>
          <w:p w14:paraId="3193232D"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0"/>
              <w:gridCol w:w="3510"/>
            </w:tblGrid>
            <w:tr w:rsidR="003A5A4B" w:rsidRPr="00C5124A" w14:paraId="2C8454BD" w14:textId="77777777" w:rsidTr="00072CCD">
              <w:tc>
                <w:tcPr>
                  <w:tcW w:w="210" w:type="dxa"/>
                  <w:shd w:val="clear" w:color="auto" w:fill="FFFFFF"/>
                  <w:hideMark/>
                </w:tcPr>
                <w:p w14:paraId="74B940B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862" w:type="dxa"/>
                  <w:shd w:val="clear" w:color="auto" w:fill="FFFFFF"/>
                  <w:hideMark/>
                </w:tcPr>
                <w:p w14:paraId="01F4EF1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řádně opodstatněné riziko závažné interference plánovaných služeb elektronických komunikací s poskytováním jiných služeb prostřednictvím stejné fyzické infrastruktury;</w:t>
                  </w:r>
                </w:p>
              </w:tc>
            </w:tr>
          </w:tbl>
          <w:p w14:paraId="6BB3B046"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03"/>
              <w:gridCol w:w="3537"/>
            </w:tblGrid>
            <w:tr w:rsidR="003A5A4B" w:rsidRPr="00C5124A" w14:paraId="00A579AC" w14:textId="77777777" w:rsidTr="00072CCD">
              <w:tc>
                <w:tcPr>
                  <w:tcW w:w="180" w:type="dxa"/>
                  <w:shd w:val="clear" w:color="auto" w:fill="FFFFFF"/>
                  <w:hideMark/>
                </w:tcPr>
                <w:p w14:paraId="677E679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f</w:t>
                  </w:r>
                </w:p>
              </w:tc>
              <w:tc>
                <w:tcPr>
                  <w:tcW w:w="8892" w:type="dxa"/>
                  <w:shd w:val="clear" w:color="auto" w:fill="FFFFFF"/>
                  <w:hideMark/>
                </w:tcPr>
                <w:p w14:paraId="7757DC2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xml:space="preserve">) dostupnost použitelných alternativních prostředků pro pasivní velkoobchodní fyzický přístup k sítím elektronických komunikací, vhodných k poskytování sítí VHCN a nabízených za spravedlivých a přiměřených podmínek, které jsou poskytovány </w:t>
                  </w:r>
                  <w:r w:rsidRPr="00C5124A">
                    <w:rPr>
                      <w:color w:val="333333"/>
                      <w:sz w:val="22"/>
                      <w:szCs w:val="22"/>
                    </w:rPr>
                    <w:lastRenderedPageBreak/>
                    <w:t>stejným provozovatelem sítě nebo ve specifických případech venkovských nebo odlehlých oblastí, kde je síť provozována výhradně ve velkoobchodním měřítku a je vlastněna nebo ovládána subjekty veřejného sektoru, jsou poskytovány provozovatelem takové sítě.</w:t>
                  </w:r>
                </w:p>
              </w:tc>
            </w:tr>
          </w:tbl>
          <w:p w14:paraId="735064F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tc>
      </w:tr>
      <w:tr w:rsidR="003A5A4B" w:rsidRPr="00C5124A" w14:paraId="1816C811" w14:textId="77777777" w:rsidTr="00B563D5">
        <w:tc>
          <w:tcPr>
            <w:tcW w:w="887" w:type="pct"/>
            <w:tcBorders>
              <w:top w:val="single" w:sz="4" w:space="0" w:color="auto"/>
              <w:left w:val="single" w:sz="4" w:space="0" w:color="auto"/>
              <w:bottom w:val="single" w:sz="4" w:space="0" w:color="auto"/>
              <w:right w:val="single" w:sz="4" w:space="0" w:color="auto"/>
            </w:tcBorders>
          </w:tcPr>
          <w:p w14:paraId="2248B076" w14:textId="4868ED13" w:rsidR="003A5A4B" w:rsidRPr="00C5124A" w:rsidRDefault="003A5A4B" w:rsidP="003A5A4B">
            <w:pPr>
              <w:suppressAutoHyphens/>
              <w:spacing w:line="276" w:lineRule="auto"/>
              <w:ind w:left="117"/>
              <w:rPr>
                <w:sz w:val="22"/>
                <w:szCs w:val="22"/>
                <w:lang w:eastAsia="ar-SA"/>
              </w:rPr>
            </w:pPr>
            <w:r w:rsidRPr="00C5124A">
              <w:rPr>
                <w:sz w:val="22"/>
                <w:szCs w:val="22"/>
                <w:lang w:eastAsia="ar-SA"/>
              </w:rPr>
              <w:lastRenderedPageBreak/>
              <w:t>§ 3 odst. 1 a 2</w:t>
            </w:r>
          </w:p>
        </w:tc>
        <w:tc>
          <w:tcPr>
            <w:tcW w:w="1644" w:type="pct"/>
            <w:tcBorders>
              <w:top w:val="single" w:sz="4" w:space="0" w:color="auto"/>
              <w:left w:val="single" w:sz="4" w:space="0" w:color="auto"/>
              <w:bottom w:val="single" w:sz="4" w:space="0" w:color="auto"/>
              <w:right w:val="single" w:sz="4" w:space="0" w:color="auto"/>
            </w:tcBorders>
          </w:tcPr>
          <w:p w14:paraId="76C2BF81" w14:textId="77777777" w:rsidR="003A5A4B" w:rsidRPr="00C5124A" w:rsidRDefault="003A5A4B" w:rsidP="003A5A4B">
            <w:pPr>
              <w:pStyle w:val="Odstavecseseznamem"/>
              <w:numPr>
                <w:ilvl w:val="0"/>
                <w:numId w:val="25"/>
              </w:numPr>
              <w:ind w:left="0" w:firstLine="0"/>
            </w:pPr>
            <w:r w:rsidRPr="00C5124A">
              <w:t xml:space="preserve">Přílohou žádosti o přístup k fyzické infrastruktuře podle čl. 3 odst. 1 nařízení Evropského parlamentu a Rady (EU) 2024/1309 musí být návrh na uzavření smlouvy o přístupu k fyzické infrastruktuře, který vymezí fyzickou infrastrukturu, ke které operátor žádá přístup, podmínky požadovaného přístupu a návrh práv a povinností smluvních stran týkající se trvalého umístění prvku sítě s velmi vysokou kapacitou ve fyzické infrastruktuře. </w:t>
            </w:r>
          </w:p>
          <w:p w14:paraId="2839A2DD" w14:textId="77777777" w:rsidR="003A5A4B" w:rsidRPr="00C5124A" w:rsidRDefault="003A5A4B" w:rsidP="003A5A4B">
            <w:pPr>
              <w:rPr>
                <w:rFonts w:eastAsiaTheme="minorEastAsia"/>
              </w:rPr>
            </w:pPr>
          </w:p>
          <w:p w14:paraId="7D65379D" w14:textId="4629BA72" w:rsidR="003A5A4B" w:rsidRPr="00C5124A" w:rsidRDefault="003A5A4B" w:rsidP="003A5A4B">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p w14:paraId="59A66E37" w14:textId="6DFD860E" w:rsidR="003A5A4B" w:rsidRPr="00C5124A" w:rsidRDefault="003A5A4B" w:rsidP="003A5A4B">
            <w:pPr>
              <w:ind w:firstLine="708"/>
              <w:jc w:val="both"/>
              <w:rPr>
                <w:sz w:val="22"/>
                <w:szCs w:val="22"/>
              </w:rPr>
            </w:pPr>
          </w:p>
        </w:tc>
        <w:tc>
          <w:tcPr>
            <w:tcW w:w="589" w:type="pct"/>
            <w:tcBorders>
              <w:top w:val="single" w:sz="4" w:space="0" w:color="auto"/>
              <w:left w:val="single" w:sz="4" w:space="0" w:color="auto"/>
              <w:bottom w:val="single" w:sz="4" w:space="0" w:color="auto"/>
              <w:right w:val="single" w:sz="4" w:space="0" w:color="auto"/>
            </w:tcBorders>
          </w:tcPr>
          <w:p w14:paraId="60DF2708" w14:textId="7E209419"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BE94767" w14:textId="10F1FFDB" w:rsidR="003A5A4B" w:rsidRPr="00C5124A" w:rsidRDefault="003A5A4B" w:rsidP="003A5A4B">
            <w:pPr>
              <w:ind w:left="53"/>
              <w:rPr>
                <w:sz w:val="22"/>
                <w:szCs w:val="22"/>
              </w:rPr>
            </w:pPr>
            <w:r w:rsidRPr="00C5124A">
              <w:rPr>
                <w:sz w:val="22"/>
                <w:szCs w:val="22"/>
              </w:rPr>
              <w:t>čl. 3 odst. 6</w:t>
            </w:r>
          </w:p>
        </w:tc>
        <w:tc>
          <w:tcPr>
            <w:tcW w:w="1304" w:type="pct"/>
            <w:tcBorders>
              <w:top w:val="single" w:sz="4" w:space="0" w:color="auto"/>
              <w:left w:val="single" w:sz="4" w:space="0" w:color="auto"/>
              <w:bottom w:val="single" w:sz="4" w:space="0" w:color="auto"/>
              <w:right w:val="single" w:sz="4" w:space="0" w:color="auto"/>
            </w:tcBorders>
          </w:tcPr>
          <w:p w14:paraId="68749CD4"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6.   Členské státy mohou stanovit, že provozovatelé sítě a subjekty veřejného sektoru vlastnící nebo ovládající fyzickou infrastrukturu mohou odmítnout přístup k určité fyzické infrastruktuře, pokud zde existují přijatelné alternativní prostředky pro nediskriminační otevřený velkoobchodní aktivní přístup k sítím VHCN poskytované týmž provozovatelem sítě nebo týmž veřejným subjektem za předpokladu, že jsou splněny obě tyto podmínky:</w:t>
            </w:r>
          </w:p>
          <w:tbl>
            <w:tblPr>
              <w:tblW w:w="5000" w:type="pct"/>
              <w:shd w:val="clear" w:color="auto" w:fill="FFFFFF"/>
              <w:tblCellMar>
                <w:left w:w="0" w:type="dxa"/>
                <w:right w:w="0" w:type="dxa"/>
              </w:tblCellMar>
              <w:tblLook w:val="04A0" w:firstRow="1" w:lastRow="0" w:firstColumn="1" w:lastColumn="0" w:noHBand="0" w:noVBand="1"/>
            </w:tblPr>
            <w:tblGrid>
              <w:gridCol w:w="129"/>
              <w:gridCol w:w="3511"/>
            </w:tblGrid>
            <w:tr w:rsidR="003A5A4B" w:rsidRPr="00C5124A" w14:paraId="09E56834" w14:textId="77777777" w:rsidTr="00072CCD">
              <w:tc>
                <w:tcPr>
                  <w:tcW w:w="210" w:type="dxa"/>
                  <w:shd w:val="clear" w:color="auto" w:fill="FFFFFF"/>
                  <w:hideMark/>
                </w:tcPr>
                <w:p w14:paraId="5CB1517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198E79D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tyto alternativní prostředky pro velkoobchodní přístup jsou nabízeny za spravedlivých a přiměřených podmínek, a to i pokud jde o cenu;</w:t>
                  </w:r>
                </w:p>
              </w:tc>
            </w:tr>
          </w:tbl>
          <w:p w14:paraId="40DB5BB9"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6"/>
              <w:gridCol w:w="3494"/>
            </w:tblGrid>
            <w:tr w:rsidR="003A5A4B" w:rsidRPr="00C5124A" w14:paraId="7CDE5539" w14:textId="77777777" w:rsidTr="00072CCD">
              <w:tc>
                <w:tcPr>
                  <w:tcW w:w="225" w:type="dxa"/>
                  <w:shd w:val="clear" w:color="auto" w:fill="FFFFFF"/>
                  <w:hideMark/>
                </w:tcPr>
                <w:p w14:paraId="3A5A90F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3F78158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projekt budování žádajícího operátora se zaměřuje na stejnou oblast pokrytí a neexistuje žádná jiná optická síť spojující prostory koncových uživatelů obsluhující tuto oblast pokrytí.</w:t>
                  </w:r>
                </w:p>
              </w:tc>
            </w:tr>
          </w:tbl>
          <w:p w14:paraId="7878579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Tento odstavec se použije pouze v těch členských státech, v nichž je taková možnost odmítnutí nebo rovnocenná možnost uplatňována od 11. května 2024 v souladu s vnitrostátními právními </w:t>
            </w:r>
            <w:r w:rsidRPr="00C5124A">
              <w:rPr>
                <w:color w:val="333333"/>
                <w:sz w:val="22"/>
                <w:szCs w:val="22"/>
              </w:rPr>
              <w:lastRenderedPageBreak/>
              <w:t>předpisy, které jsou v souladu s právními předpisy Unie.</w:t>
            </w:r>
          </w:p>
          <w:p w14:paraId="6F653107"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tc>
      </w:tr>
      <w:tr w:rsidR="003A5A4B" w:rsidRPr="00C5124A" w14:paraId="771A51BD" w14:textId="77777777" w:rsidTr="00B563D5">
        <w:tc>
          <w:tcPr>
            <w:tcW w:w="887" w:type="pct"/>
            <w:tcBorders>
              <w:top w:val="single" w:sz="4" w:space="0" w:color="auto"/>
              <w:left w:val="single" w:sz="4" w:space="0" w:color="auto"/>
              <w:bottom w:val="single" w:sz="4" w:space="0" w:color="auto"/>
              <w:right w:val="single" w:sz="4" w:space="0" w:color="auto"/>
            </w:tcBorders>
          </w:tcPr>
          <w:p w14:paraId="7C191FBB" w14:textId="1CFDA4B7" w:rsidR="003A5A4B" w:rsidRPr="00C5124A" w:rsidRDefault="003A5A4B" w:rsidP="003A5A4B">
            <w:pPr>
              <w:suppressAutoHyphens/>
              <w:spacing w:line="276" w:lineRule="auto"/>
              <w:ind w:left="117"/>
              <w:rPr>
                <w:sz w:val="22"/>
                <w:szCs w:val="22"/>
                <w:lang w:eastAsia="ar-SA"/>
              </w:rPr>
            </w:pPr>
            <w:r w:rsidRPr="00C5124A">
              <w:rPr>
                <w:sz w:val="22"/>
                <w:szCs w:val="22"/>
                <w:lang w:eastAsia="ar-SA"/>
              </w:rPr>
              <w:lastRenderedPageBreak/>
              <w:t>§ 3 odst. 1 a 2</w:t>
            </w:r>
          </w:p>
        </w:tc>
        <w:tc>
          <w:tcPr>
            <w:tcW w:w="1644" w:type="pct"/>
            <w:tcBorders>
              <w:top w:val="single" w:sz="4" w:space="0" w:color="auto"/>
              <w:left w:val="single" w:sz="4" w:space="0" w:color="auto"/>
              <w:bottom w:val="single" w:sz="4" w:space="0" w:color="auto"/>
              <w:right w:val="single" w:sz="4" w:space="0" w:color="auto"/>
            </w:tcBorders>
          </w:tcPr>
          <w:p w14:paraId="2986638E" w14:textId="77777777" w:rsidR="003A5A4B" w:rsidRPr="00C5124A" w:rsidRDefault="003A5A4B" w:rsidP="003A5A4B">
            <w:pPr>
              <w:pStyle w:val="Odstavecseseznamem"/>
              <w:numPr>
                <w:ilvl w:val="0"/>
                <w:numId w:val="26"/>
              </w:numPr>
              <w:ind w:left="62" w:hanging="62"/>
            </w:pPr>
            <w:r w:rsidRPr="00C5124A">
              <w:t xml:space="preserve">Přílohou žádosti o přístup k fyzické infrastruktuře podle čl. 3 odst. 1 nařízení Evropského parlamentu a Rady (EU) 2024/1309 musí být návrh na uzavření smlouvy o přístupu k fyzické infrastruktuře, který vymezí fyzickou infrastrukturu, ke které operátor žádá přístup, podmínky požadovaného přístupu a návrh práv a povinností smluvních stran týkající se trvalého umístění prvku sítě s velmi vysokou kapacitou ve fyzické infrastruktuře. </w:t>
            </w:r>
          </w:p>
          <w:p w14:paraId="23A60E16" w14:textId="77777777" w:rsidR="003A5A4B" w:rsidRPr="00C5124A" w:rsidRDefault="003A5A4B" w:rsidP="003A5A4B">
            <w:pPr>
              <w:rPr>
                <w:rFonts w:eastAsiaTheme="minorEastAsia"/>
              </w:rPr>
            </w:pPr>
          </w:p>
          <w:p w14:paraId="53FD91DF" w14:textId="3477311E" w:rsidR="003A5A4B" w:rsidRPr="00C5124A" w:rsidRDefault="003A5A4B" w:rsidP="003A5A4B">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p w14:paraId="6AE350ED" w14:textId="7C5BD853" w:rsidR="003A5A4B" w:rsidRPr="00C5124A" w:rsidRDefault="003A5A4B" w:rsidP="003A5A4B">
            <w:pPr>
              <w:ind w:firstLine="708"/>
              <w:jc w:val="both"/>
              <w:rPr>
                <w:sz w:val="22"/>
                <w:szCs w:val="22"/>
              </w:rPr>
            </w:pPr>
          </w:p>
        </w:tc>
        <w:tc>
          <w:tcPr>
            <w:tcW w:w="589" w:type="pct"/>
            <w:tcBorders>
              <w:top w:val="single" w:sz="4" w:space="0" w:color="auto"/>
              <w:left w:val="single" w:sz="4" w:space="0" w:color="auto"/>
              <w:bottom w:val="single" w:sz="4" w:space="0" w:color="auto"/>
              <w:right w:val="single" w:sz="4" w:space="0" w:color="auto"/>
            </w:tcBorders>
          </w:tcPr>
          <w:p w14:paraId="2DA48803" w14:textId="42DE8C93"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C02B4EE" w14:textId="55C19D59" w:rsidR="003A5A4B" w:rsidRPr="00C5124A" w:rsidRDefault="003A5A4B" w:rsidP="003A5A4B">
            <w:pPr>
              <w:ind w:left="53"/>
              <w:rPr>
                <w:sz w:val="22"/>
                <w:szCs w:val="22"/>
              </w:rPr>
            </w:pPr>
            <w:r w:rsidRPr="00C5124A">
              <w:rPr>
                <w:sz w:val="22"/>
                <w:szCs w:val="22"/>
              </w:rPr>
              <w:t>čl. 3 odst. 7</w:t>
            </w:r>
          </w:p>
        </w:tc>
        <w:tc>
          <w:tcPr>
            <w:tcW w:w="1304" w:type="pct"/>
            <w:tcBorders>
              <w:top w:val="single" w:sz="4" w:space="0" w:color="auto"/>
              <w:left w:val="single" w:sz="4" w:space="0" w:color="auto"/>
              <w:bottom w:val="single" w:sz="4" w:space="0" w:color="auto"/>
              <w:right w:val="single" w:sz="4" w:space="0" w:color="auto"/>
            </w:tcBorders>
          </w:tcPr>
          <w:p w14:paraId="2EE3E022" w14:textId="7FBE3F16"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7. V případě, že je poskytnutí přístupu odmítnuto podle odstavců 5 a 6, sdělí provozovatel sítě nebo subjekt veřejného sektoru, který vlastní nebo ovládá fyzickou infrastrukturu, žadateli o přístup písemně konkrétní a podrobné důvody tohoto odmítnutí nejpozději do jednoho měsíce ode dne obdržení úplné žádosti o přístup, s výjimkou vnitrostátní kritické infrastruktury vymezené vnitrostátními právními předpisy, v jejímž případě se při odmítnutí žadateli o přístup nemusí sdělovat konkrétní a podrobné důvody.</w:t>
            </w:r>
          </w:p>
        </w:tc>
      </w:tr>
      <w:tr w:rsidR="003A5A4B" w:rsidRPr="00C5124A" w14:paraId="613CCF1F" w14:textId="77777777" w:rsidTr="00B563D5">
        <w:tc>
          <w:tcPr>
            <w:tcW w:w="887" w:type="pct"/>
            <w:tcBorders>
              <w:top w:val="single" w:sz="4" w:space="0" w:color="auto"/>
              <w:left w:val="single" w:sz="4" w:space="0" w:color="auto"/>
              <w:bottom w:val="single" w:sz="4" w:space="0" w:color="auto"/>
              <w:right w:val="single" w:sz="4" w:space="0" w:color="auto"/>
            </w:tcBorders>
          </w:tcPr>
          <w:p w14:paraId="555758DF" w14:textId="14D6A675" w:rsidR="003A5A4B" w:rsidRPr="00C5124A" w:rsidRDefault="003A5A4B" w:rsidP="003A5A4B">
            <w:pPr>
              <w:suppressAutoHyphens/>
              <w:spacing w:line="276" w:lineRule="auto"/>
              <w:ind w:left="117"/>
              <w:rPr>
                <w:bCs/>
                <w:sz w:val="22"/>
                <w:szCs w:val="22"/>
              </w:rPr>
            </w:pPr>
            <w:r w:rsidRPr="00C5124A">
              <w:rPr>
                <w:bCs/>
                <w:sz w:val="22"/>
                <w:szCs w:val="22"/>
              </w:rPr>
              <w:t>§ 3 odst. 2</w:t>
            </w:r>
          </w:p>
        </w:tc>
        <w:tc>
          <w:tcPr>
            <w:tcW w:w="1644" w:type="pct"/>
            <w:tcBorders>
              <w:top w:val="single" w:sz="4" w:space="0" w:color="auto"/>
              <w:left w:val="single" w:sz="4" w:space="0" w:color="auto"/>
              <w:bottom w:val="single" w:sz="4" w:space="0" w:color="auto"/>
              <w:right w:val="single" w:sz="4" w:space="0" w:color="auto"/>
            </w:tcBorders>
          </w:tcPr>
          <w:p w14:paraId="12F935A9" w14:textId="419CC3BB" w:rsidR="003A5A4B" w:rsidRPr="00C5124A" w:rsidRDefault="003A5A4B" w:rsidP="003A5A4B">
            <w:pPr>
              <w:jc w:val="both"/>
              <w:rPr>
                <w:sz w:val="22"/>
                <w:szCs w:val="22"/>
              </w:rPr>
            </w:pPr>
            <w:r w:rsidRPr="00C5124A">
              <w:t>(2) Seznam kategorií fyzické infrastruktury a kritéria použitá k jejich identifikaci podle čl. 3 odst. 10 nařízení Evropského parlamentu a Rady (EU) 2024/1309 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7D8C5547" w14:textId="632D298F"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BB0908A" w14:textId="38F0B5F9" w:rsidR="003A5A4B" w:rsidRPr="00C5124A" w:rsidRDefault="003A5A4B" w:rsidP="003A5A4B">
            <w:pPr>
              <w:ind w:left="53"/>
              <w:rPr>
                <w:bCs/>
                <w:sz w:val="22"/>
                <w:szCs w:val="22"/>
              </w:rPr>
            </w:pPr>
            <w:r w:rsidRPr="00C5124A">
              <w:rPr>
                <w:bCs/>
                <w:sz w:val="22"/>
                <w:szCs w:val="22"/>
              </w:rPr>
              <w:t>čl. 3 odst. 3</w:t>
            </w:r>
          </w:p>
        </w:tc>
        <w:tc>
          <w:tcPr>
            <w:tcW w:w="1304" w:type="pct"/>
            <w:tcBorders>
              <w:top w:val="single" w:sz="4" w:space="0" w:color="auto"/>
              <w:left w:val="single" w:sz="4" w:space="0" w:color="auto"/>
              <w:bottom w:val="single" w:sz="4" w:space="0" w:color="auto"/>
              <w:right w:val="single" w:sz="4" w:space="0" w:color="auto"/>
            </w:tcBorders>
          </w:tcPr>
          <w:p w14:paraId="73C13E7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3.   Členské státy mohou stanovit, že vlastníci soukromých komerčních budov, které nejsou vlastněny neb ovládány provozovatelem sítě, musí na písemnou žádost operátora vyhovět oprávněným žádostem o přístup do těchto budov, včetně jejich střech, za účelem instalace prvků sítí VHCN nebo přiřazených zařízení za spravedlivých a přiměřených </w:t>
            </w:r>
            <w:r w:rsidRPr="00C5124A">
              <w:rPr>
                <w:color w:val="333333"/>
                <w:sz w:val="22"/>
                <w:szCs w:val="22"/>
              </w:rPr>
              <w:lastRenderedPageBreak/>
              <w:t>podmínek a za cenu odrážející tržní podmínky. Před tím, než žadatel o přístup takovou žádost podá, musí být splněny všechny tyto podmínky:</w:t>
            </w:r>
          </w:p>
          <w:tbl>
            <w:tblPr>
              <w:tblW w:w="5000" w:type="pct"/>
              <w:shd w:val="clear" w:color="auto" w:fill="FFFFFF"/>
              <w:tblCellMar>
                <w:left w:w="0" w:type="dxa"/>
                <w:right w:w="0" w:type="dxa"/>
              </w:tblCellMar>
              <w:tblLook w:val="04A0" w:firstRow="1" w:lastRow="0" w:firstColumn="1" w:lastColumn="0" w:noHBand="0" w:noVBand="1"/>
            </w:tblPr>
            <w:tblGrid>
              <w:gridCol w:w="134"/>
              <w:gridCol w:w="3506"/>
            </w:tblGrid>
            <w:tr w:rsidR="003A5A4B" w:rsidRPr="00C5124A" w14:paraId="01B4C773" w14:textId="77777777" w:rsidTr="009D78A6">
              <w:tc>
                <w:tcPr>
                  <w:tcW w:w="210" w:type="dxa"/>
                  <w:shd w:val="clear" w:color="auto" w:fill="FFFFFF"/>
                  <w:hideMark/>
                </w:tcPr>
                <w:p w14:paraId="578732ED"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78B98F2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budova se nachází ve venkovské nebo odlehlé oblasti, jak jsou vymezeny členskými státy;</w:t>
                  </w:r>
                </w:p>
              </w:tc>
            </w:tr>
          </w:tbl>
          <w:p w14:paraId="0F542DF8"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2"/>
              <w:gridCol w:w="3498"/>
            </w:tblGrid>
            <w:tr w:rsidR="003A5A4B" w:rsidRPr="00C5124A" w14:paraId="66773DE9" w14:textId="77777777" w:rsidTr="009D78A6">
              <w:tc>
                <w:tcPr>
                  <w:tcW w:w="225" w:type="dxa"/>
                  <w:shd w:val="clear" w:color="auto" w:fill="FFFFFF"/>
                  <w:hideMark/>
                </w:tcPr>
                <w:p w14:paraId="2B74368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245B87D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oblasti, pro niž se žádost o přístup podává, není k dispozici žádná, pevná ani mobilní, síť VHCN stejného typu, jaký má žadatel o přístup v úmyslu zavést, a podle informací shromážděných prostřednictvím jednotného informačního místa ke dni podání žádosti neexistuje plán na vybudování takové sítě;</w:t>
                  </w:r>
                </w:p>
              </w:tc>
            </w:tr>
          </w:tbl>
          <w:p w14:paraId="078F08B0"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1"/>
              <w:gridCol w:w="3509"/>
            </w:tblGrid>
            <w:tr w:rsidR="003A5A4B" w:rsidRPr="00C5124A" w14:paraId="5FEA78A0" w14:textId="77777777" w:rsidTr="009D78A6">
              <w:tc>
                <w:tcPr>
                  <w:tcW w:w="210" w:type="dxa"/>
                  <w:shd w:val="clear" w:color="auto" w:fill="FFFFFF"/>
                  <w:hideMark/>
                </w:tcPr>
                <w:p w14:paraId="154CF0C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43BDB58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oblasti, pro niž se žádost o přístup podává, a kterou vlastní nebo ovládají provozovatelé sítě nebo subjekty veřejného sektoru, neexistuje žádná fyzická infrastruktura, která je technicky vhodná pro umístění prvků sítí VHCN.</w:t>
                  </w:r>
                </w:p>
              </w:tc>
            </w:tr>
          </w:tbl>
          <w:p w14:paraId="0FA5A878" w14:textId="63FABBDF"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stanovit seznam kategorií komerčních budov, v jejichž případě lze z důvodů veřejné bezpečnosti, obrany, bezpečnosti a ochrany zdraví uplatnit výjimku z povinnosti vyhovět žádosti o přístup. Tento seznam a kritéria použitá k identifikaci těchto kategorií se zveřejní prostřednictvím jednotného informačního místa.</w:t>
            </w:r>
          </w:p>
        </w:tc>
      </w:tr>
      <w:tr w:rsidR="003A5A4B" w:rsidRPr="00C5124A" w14:paraId="13C381E2" w14:textId="77777777" w:rsidTr="00B563D5">
        <w:tc>
          <w:tcPr>
            <w:tcW w:w="887" w:type="pct"/>
            <w:tcBorders>
              <w:top w:val="single" w:sz="4" w:space="0" w:color="auto"/>
              <w:left w:val="single" w:sz="4" w:space="0" w:color="auto"/>
              <w:bottom w:val="single" w:sz="4" w:space="0" w:color="auto"/>
              <w:right w:val="single" w:sz="4" w:space="0" w:color="auto"/>
            </w:tcBorders>
          </w:tcPr>
          <w:p w14:paraId="79BF1B5D" w14:textId="24842BA3" w:rsidR="003A5A4B" w:rsidRPr="00C5124A" w:rsidRDefault="003A5A4B" w:rsidP="003A5A4B">
            <w:pPr>
              <w:suppressAutoHyphens/>
              <w:spacing w:line="276" w:lineRule="auto"/>
              <w:ind w:left="117"/>
              <w:rPr>
                <w:bCs/>
                <w:sz w:val="22"/>
                <w:szCs w:val="22"/>
              </w:rPr>
            </w:pPr>
            <w:r w:rsidRPr="00C5124A">
              <w:rPr>
                <w:bCs/>
                <w:sz w:val="22"/>
                <w:szCs w:val="22"/>
              </w:rPr>
              <w:lastRenderedPageBreak/>
              <w:t>§ 3 odst. 2</w:t>
            </w:r>
          </w:p>
        </w:tc>
        <w:tc>
          <w:tcPr>
            <w:tcW w:w="1644" w:type="pct"/>
            <w:tcBorders>
              <w:top w:val="single" w:sz="4" w:space="0" w:color="auto"/>
              <w:left w:val="single" w:sz="4" w:space="0" w:color="auto"/>
              <w:bottom w:val="single" w:sz="4" w:space="0" w:color="auto"/>
              <w:right w:val="single" w:sz="4" w:space="0" w:color="auto"/>
            </w:tcBorders>
          </w:tcPr>
          <w:p w14:paraId="3389B313" w14:textId="480F9141" w:rsidR="003A5A4B" w:rsidRPr="00C5124A" w:rsidRDefault="003A5A4B" w:rsidP="003A5A4B">
            <w:pPr>
              <w:jc w:val="both"/>
              <w:rPr>
                <w:sz w:val="22"/>
                <w:szCs w:val="22"/>
              </w:rPr>
            </w:pPr>
            <w:r w:rsidRPr="00C5124A">
              <w:t xml:space="preserve">(2) Seznam kategorií fyzické infrastruktury a kritéria použitá k jejich identifikaci podle čl. 3 odst. 10 nařízení Evropského parlamentu a Rady </w:t>
            </w:r>
            <w:r w:rsidRPr="00C5124A">
              <w:lastRenderedPageBreak/>
              <w:t>(EU) 2024/1309 zpřístupní Úřad po jejich identifikaci Ministerstvem vnitra, Ministerstvem obrany a Ministerstvem zdravotnictví.</w:t>
            </w:r>
          </w:p>
        </w:tc>
        <w:tc>
          <w:tcPr>
            <w:tcW w:w="589" w:type="pct"/>
            <w:tcBorders>
              <w:top w:val="single" w:sz="4" w:space="0" w:color="auto"/>
              <w:left w:val="single" w:sz="4" w:space="0" w:color="auto"/>
              <w:bottom w:val="single" w:sz="4" w:space="0" w:color="auto"/>
              <w:right w:val="single" w:sz="4" w:space="0" w:color="auto"/>
            </w:tcBorders>
          </w:tcPr>
          <w:p w14:paraId="44A7C1AF" w14:textId="50ECF90E"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72BE31FC" w14:textId="0DAD5135" w:rsidR="003A5A4B" w:rsidRPr="00C5124A" w:rsidRDefault="003A5A4B" w:rsidP="003A5A4B">
            <w:pPr>
              <w:ind w:left="53"/>
              <w:rPr>
                <w:bCs/>
                <w:sz w:val="22"/>
                <w:szCs w:val="22"/>
              </w:rPr>
            </w:pPr>
            <w:r w:rsidRPr="00C5124A">
              <w:rPr>
                <w:bCs/>
                <w:sz w:val="22"/>
                <w:szCs w:val="22"/>
              </w:rPr>
              <w:t>čl. 3 odst. 10</w:t>
            </w:r>
          </w:p>
        </w:tc>
        <w:tc>
          <w:tcPr>
            <w:tcW w:w="1304" w:type="pct"/>
            <w:tcBorders>
              <w:top w:val="single" w:sz="4" w:space="0" w:color="auto"/>
              <w:left w:val="single" w:sz="4" w:space="0" w:color="auto"/>
              <w:bottom w:val="single" w:sz="4" w:space="0" w:color="auto"/>
              <w:right w:val="single" w:sz="4" w:space="0" w:color="auto"/>
            </w:tcBorders>
          </w:tcPr>
          <w:p w14:paraId="05908178" w14:textId="4E5A71CC"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 xml:space="preserve">10.   Subjekty veřejného sektoru, které vlastní nebo ovládají fyzickou infrastrukturu nebo určité kategorie </w:t>
            </w:r>
            <w:r w:rsidRPr="00C5124A">
              <w:rPr>
                <w:color w:val="333333"/>
                <w:sz w:val="22"/>
                <w:szCs w:val="22"/>
                <w:shd w:val="clear" w:color="auto" w:fill="FFFFFF"/>
              </w:rPr>
              <w:lastRenderedPageBreak/>
              <w:t>fyzické infrastruktury, nemusí na tuto fyzickou infrastrukturu nebo kategorie fyzické infrastruktury uplatňovat odstavce 1, 4 a 5 z důvodů architektonické, historické, náboženské nebo enviromentální hodnoty nebo z důvodů veřejného pořádku, bezpečnosti, obrany a ochrany zdraví. Členské státy nebo případně regionální nebo místní orgány identifikují tuto fyzickou infrastrukturu nebo kategorie fyzické infrastruktury na svém území na základě řádně opodstatněných a přiměřených důvodů. Seznam kategorií fyzické infrastruktury a kritéria použitá k jejich identifikaci se zpřístupní prostřednictvím jednotného informačního místa.</w:t>
            </w:r>
          </w:p>
        </w:tc>
      </w:tr>
      <w:tr w:rsidR="003A5A4B" w:rsidRPr="00C5124A" w14:paraId="08D49A9D" w14:textId="77777777" w:rsidTr="00B563D5">
        <w:tc>
          <w:tcPr>
            <w:tcW w:w="887" w:type="pct"/>
            <w:tcBorders>
              <w:top w:val="single" w:sz="4" w:space="0" w:color="auto"/>
              <w:left w:val="single" w:sz="4" w:space="0" w:color="auto"/>
              <w:bottom w:val="single" w:sz="4" w:space="0" w:color="auto"/>
              <w:right w:val="single" w:sz="4" w:space="0" w:color="auto"/>
            </w:tcBorders>
          </w:tcPr>
          <w:p w14:paraId="6B9CCEC4" w14:textId="02E26D15" w:rsidR="003A5A4B" w:rsidRPr="00C5124A" w:rsidRDefault="003A5A4B" w:rsidP="003A5A4B">
            <w:pPr>
              <w:suppressAutoHyphens/>
              <w:spacing w:line="276" w:lineRule="auto"/>
              <w:ind w:left="117"/>
              <w:rPr>
                <w:bCs/>
                <w:sz w:val="22"/>
                <w:szCs w:val="22"/>
              </w:rPr>
            </w:pPr>
            <w:r w:rsidRPr="00C5124A">
              <w:rPr>
                <w:bCs/>
                <w:sz w:val="22"/>
                <w:szCs w:val="22"/>
              </w:rPr>
              <w:lastRenderedPageBreak/>
              <w:t>§ 4 odst. 1</w:t>
            </w:r>
          </w:p>
        </w:tc>
        <w:tc>
          <w:tcPr>
            <w:tcW w:w="1644" w:type="pct"/>
            <w:tcBorders>
              <w:top w:val="single" w:sz="4" w:space="0" w:color="auto"/>
              <w:left w:val="single" w:sz="4" w:space="0" w:color="auto"/>
              <w:bottom w:val="single" w:sz="4" w:space="0" w:color="auto"/>
              <w:right w:val="single" w:sz="4" w:space="0" w:color="auto"/>
            </w:tcBorders>
          </w:tcPr>
          <w:p w14:paraId="6D526FA5" w14:textId="77777777" w:rsidR="003A5A4B" w:rsidRPr="000C22DF" w:rsidRDefault="003A5A4B" w:rsidP="009567F3">
            <w:pPr>
              <w:spacing w:line="257" w:lineRule="auto"/>
              <w:jc w:val="both"/>
            </w:pPr>
            <w:r w:rsidRPr="000C22DF">
              <w:t xml:space="preserve">(1) Minimální informace o existující fyzické infrastruktuře </w:t>
            </w:r>
            <w:bookmarkStart w:id="5" w:name="_Hlk193961381"/>
            <w:r w:rsidRPr="000C22DF">
              <w:t xml:space="preserve">podle </w:t>
            </w:r>
            <w:r w:rsidRPr="000C22DF">
              <w:rPr>
                <w:rFonts w:eastAsia="Calibri"/>
              </w:rPr>
              <w:t>čl. 4 odst. 1 nařízení Evropského parlamentu a Rady (EU) 2024/1309</w:t>
            </w:r>
            <w:bookmarkEnd w:id="5"/>
            <w:r w:rsidRPr="000C22DF">
              <w:rPr>
                <w:rFonts w:eastAsia="Calibri"/>
              </w:rPr>
              <w:t xml:space="preserve"> </w:t>
            </w:r>
          </w:p>
          <w:p w14:paraId="0E92020F" w14:textId="197E9EB1" w:rsidR="003A5A4B" w:rsidRPr="000C22DF" w:rsidRDefault="003A5A4B" w:rsidP="003A5A4B">
            <w:pPr>
              <w:spacing w:line="257" w:lineRule="auto"/>
              <w:jc w:val="both"/>
            </w:pPr>
            <w:r w:rsidRPr="000C22DF">
              <w:t>a) o prvcích, které mají být obsahem digitální technické mapy krajů</w:t>
            </w:r>
            <w:r w:rsidRPr="000C22DF">
              <w:rPr>
                <w:vertAlign w:val="superscript"/>
              </w:rPr>
              <w:t>2</w:t>
            </w:r>
            <w:r w:rsidRPr="000C22DF">
              <w:rPr>
                <w:rStyle w:val="Znakapoznpodarou"/>
              </w:rPr>
              <w:t>)</w:t>
            </w:r>
            <w:r w:rsidRPr="000C22DF">
              <w:t>, se zpřístupní v digitální technické mapě kraje prostřednictvím digitální mapy veřejné správy</w:t>
            </w:r>
            <w:r w:rsidRPr="000C22DF">
              <w:rPr>
                <w:vertAlign w:val="superscript"/>
              </w:rPr>
              <w:t>3</w:t>
            </w:r>
            <w:r w:rsidRPr="000C22DF">
              <w:rPr>
                <w:rStyle w:val="Znakapoznpodarou"/>
              </w:rPr>
              <w:t>)</w:t>
            </w:r>
            <w:r w:rsidRPr="000C22DF">
              <w:t xml:space="preserve">, </w:t>
            </w:r>
          </w:p>
          <w:p w14:paraId="4054F811" w14:textId="1A23EF37" w:rsidR="003A5A4B" w:rsidRPr="000C22DF" w:rsidRDefault="003A5A4B" w:rsidP="003A5A4B">
            <w:pPr>
              <w:spacing w:line="257" w:lineRule="auto"/>
              <w:jc w:val="both"/>
            </w:pPr>
            <w:r w:rsidRPr="000C22DF">
              <w:t>b) o budovách se zpřístupní v základní bázi geografických dat České republiky</w:t>
            </w:r>
            <w:r w:rsidRPr="000C22DF">
              <w:rPr>
                <w:vertAlign w:val="superscript"/>
              </w:rPr>
              <w:t>4</w:t>
            </w:r>
            <w:r w:rsidRPr="000C22DF">
              <w:rPr>
                <w:rStyle w:val="Znakapoznpodarou"/>
              </w:rPr>
              <w:t>)</w:t>
            </w:r>
            <w:r w:rsidRPr="000C22DF">
              <w:t>.</w:t>
            </w:r>
          </w:p>
          <w:p w14:paraId="7C61EA99" w14:textId="77777777" w:rsidR="003A5A4B" w:rsidRPr="00C5124A" w:rsidRDefault="003A5A4B" w:rsidP="003A5A4B">
            <w:pPr>
              <w:spacing w:line="257" w:lineRule="auto"/>
              <w:jc w:val="both"/>
              <w:rPr>
                <w:u w:val="single"/>
              </w:rPr>
            </w:pPr>
          </w:p>
          <w:p w14:paraId="19DFB9CA" w14:textId="6F7EF135" w:rsidR="003A5A4B" w:rsidRPr="00C5124A" w:rsidRDefault="003A5A4B" w:rsidP="003A5A4B">
            <w:pPr>
              <w:pStyle w:val="Textpoznpodarou"/>
            </w:pPr>
            <w:r w:rsidRPr="00C5124A">
              <w:rPr>
                <w:vertAlign w:val="superscript"/>
              </w:rPr>
              <w:t xml:space="preserve">2) </w:t>
            </w:r>
            <w:r w:rsidRPr="00C5124A">
              <w:t>§ 4b zákona č. 200/1994 Sb., o zeměměřictví, ve znění pozdějších předpisů.</w:t>
            </w:r>
          </w:p>
          <w:p w14:paraId="36E72B3D" w14:textId="77777777" w:rsidR="003A5A4B" w:rsidRPr="00C5124A" w:rsidRDefault="003A5A4B" w:rsidP="003A5A4B">
            <w:pPr>
              <w:pStyle w:val="Textpoznpodarou"/>
            </w:pPr>
            <w:r w:rsidRPr="00C5124A">
              <w:rPr>
                <w:rStyle w:val="Znakapoznpodarou"/>
              </w:rPr>
              <w:t>3)</w:t>
            </w:r>
            <w:r w:rsidRPr="00C5124A">
              <w:t xml:space="preserve"> § 4d zákona č. 200/1994 Sb., o zeměměřictví, ve znění pozdějších předpisů.</w:t>
            </w:r>
          </w:p>
          <w:p w14:paraId="79B52A03" w14:textId="5D72871E" w:rsidR="003A5A4B" w:rsidRPr="00C5124A" w:rsidRDefault="003A5A4B" w:rsidP="003A5A4B">
            <w:pPr>
              <w:spacing w:line="257" w:lineRule="auto"/>
              <w:jc w:val="both"/>
              <w:rPr>
                <w:sz w:val="22"/>
                <w:szCs w:val="22"/>
              </w:rPr>
            </w:pPr>
            <w:r w:rsidRPr="00C5124A">
              <w:rPr>
                <w:rStyle w:val="Znakapoznpodarou"/>
              </w:rPr>
              <w:t>4)</w:t>
            </w:r>
            <w:r w:rsidRPr="00C5124A">
              <w:t xml:space="preserve"> </w:t>
            </w:r>
            <w:r w:rsidRPr="00C5124A">
              <w:rPr>
                <w:sz w:val="20"/>
                <w:szCs w:val="20"/>
              </w:rPr>
              <w:t>§ 4a zákona č. 200/1994 Sb., o zeměměřictví, ve znění pozdějších předpisů.</w:t>
            </w:r>
          </w:p>
        </w:tc>
        <w:tc>
          <w:tcPr>
            <w:tcW w:w="589" w:type="pct"/>
            <w:tcBorders>
              <w:top w:val="single" w:sz="4" w:space="0" w:color="auto"/>
              <w:left w:val="single" w:sz="4" w:space="0" w:color="auto"/>
              <w:bottom w:val="single" w:sz="4" w:space="0" w:color="auto"/>
              <w:right w:val="single" w:sz="4" w:space="0" w:color="auto"/>
            </w:tcBorders>
          </w:tcPr>
          <w:p w14:paraId="3619BC30" w14:textId="00EC625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4554419" w14:textId="09B605F2" w:rsidR="003A5A4B" w:rsidRPr="00C5124A" w:rsidRDefault="003A5A4B" w:rsidP="003A5A4B">
            <w:pPr>
              <w:ind w:left="53"/>
              <w:rPr>
                <w:bCs/>
                <w:sz w:val="22"/>
                <w:szCs w:val="22"/>
              </w:rPr>
            </w:pPr>
            <w:r w:rsidRPr="00C5124A">
              <w:rPr>
                <w:bCs/>
                <w:sz w:val="22"/>
                <w:szCs w:val="22"/>
              </w:rPr>
              <w:t>čl. 4 odst. 1</w:t>
            </w:r>
          </w:p>
        </w:tc>
        <w:tc>
          <w:tcPr>
            <w:tcW w:w="1304" w:type="pct"/>
            <w:tcBorders>
              <w:top w:val="single" w:sz="4" w:space="0" w:color="auto"/>
              <w:left w:val="single" w:sz="4" w:space="0" w:color="auto"/>
              <w:bottom w:val="single" w:sz="4" w:space="0" w:color="auto"/>
              <w:right w:val="single" w:sz="4" w:space="0" w:color="auto"/>
            </w:tcBorders>
          </w:tcPr>
          <w:p w14:paraId="66910C28"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Pro účely podání žádosti o přístup k fyzické infrastruktuře v souladu s článkem 3 má každý operátor na základě žádosti právo získat přístup prostřednictvím jednotného informačního místa k následujícím minimálním informacím o existující fyzické infrastruktuře v elektronické podobě:</w:t>
            </w:r>
          </w:p>
          <w:tbl>
            <w:tblPr>
              <w:tblW w:w="5000" w:type="pct"/>
              <w:shd w:val="clear" w:color="auto" w:fill="FFFFFF"/>
              <w:tblCellMar>
                <w:left w:w="0" w:type="dxa"/>
                <w:right w:w="0" w:type="dxa"/>
              </w:tblCellMar>
              <w:tblLook w:val="04A0" w:firstRow="1" w:lastRow="0" w:firstColumn="1" w:lastColumn="0" w:noHBand="0" w:noVBand="1"/>
            </w:tblPr>
            <w:tblGrid>
              <w:gridCol w:w="251"/>
              <w:gridCol w:w="3389"/>
            </w:tblGrid>
            <w:tr w:rsidR="003A5A4B" w:rsidRPr="00C5124A" w14:paraId="481CECB0" w14:textId="77777777" w:rsidTr="00350AD8">
              <w:tc>
                <w:tcPr>
                  <w:tcW w:w="480" w:type="dxa"/>
                  <w:shd w:val="clear" w:color="auto" w:fill="FFFFFF"/>
                  <w:hideMark/>
                </w:tcPr>
                <w:p w14:paraId="658C3DC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592" w:type="dxa"/>
                  <w:shd w:val="clear" w:color="auto" w:fill="FFFFFF"/>
                  <w:hideMark/>
                </w:tcPr>
                <w:p w14:paraId="502C21E3"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trasa;</w:t>
                  </w:r>
                </w:p>
              </w:tc>
            </w:tr>
          </w:tbl>
          <w:p w14:paraId="18B0F302"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5"/>
              <w:gridCol w:w="3375"/>
            </w:tblGrid>
            <w:tr w:rsidR="003A5A4B" w:rsidRPr="00C5124A" w14:paraId="7EA2E8FB" w14:textId="77777777" w:rsidTr="00350AD8">
              <w:tc>
                <w:tcPr>
                  <w:tcW w:w="465" w:type="dxa"/>
                  <w:shd w:val="clear" w:color="auto" w:fill="FFFFFF"/>
                  <w:hideMark/>
                </w:tcPr>
                <w:p w14:paraId="576749C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607" w:type="dxa"/>
                  <w:shd w:val="clear" w:color="auto" w:fill="FFFFFF"/>
                  <w:hideMark/>
                </w:tcPr>
                <w:p w14:paraId="3085232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druh a současné využití infrastruktury;</w:t>
                  </w:r>
                </w:p>
              </w:tc>
            </w:tr>
          </w:tbl>
          <w:p w14:paraId="4AD0E682"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4215955B" w14:textId="77777777" w:rsidTr="00350AD8">
              <w:tc>
                <w:tcPr>
                  <w:tcW w:w="970" w:type="dxa"/>
                  <w:shd w:val="clear" w:color="auto" w:fill="FFFFFF"/>
                  <w:hideMark/>
                </w:tcPr>
                <w:p w14:paraId="4B27F6D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102" w:type="dxa"/>
                  <w:shd w:val="clear" w:color="auto" w:fill="FFFFFF"/>
                  <w:hideMark/>
                </w:tcPr>
                <w:p w14:paraId="5735B2B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510FA876"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Tyto minimální informace jsou zpřístupněny za přiměřených, nediskriminačních a transparentních podmínek a v každém případě nejpozději do 10 pracovních dnů od podání žádosti o informace. V řádně odůvodněných </w:t>
            </w:r>
            <w:r w:rsidRPr="00C5124A">
              <w:rPr>
                <w:color w:val="333333"/>
                <w:sz w:val="22"/>
                <w:szCs w:val="22"/>
              </w:rPr>
              <w:lastRenderedPageBreak/>
              <w:t>případech může být tato lhůta prodloužena o pět pracovních dnů. Operátoři žádající o přístup jsou o každém prodloužení lhůty informováni prostřednictvím jednotného informačního místa.</w:t>
            </w:r>
          </w:p>
          <w:p w14:paraId="60BE9FF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Každý operátor, který žádá o přístup k informacím podle tohoto článku, specifikuje zeměpisnou oblast, v níž plánuje budování prvků sítí VHCN nebo přiřazených zařízení.</w:t>
            </w:r>
          </w:p>
          <w:p w14:paraId="26223193" w14:textId="0C0CA70C" w:rsidR="003A5A4B" w:rsidRPr="00C5124A" w:rsidRDefault="003A5A4B" w:rsidP="003A5A4B">
            <w:pPr>
              <w:ind w:left="63"/>
              <w:rPr>
                <w:color w:val="333333"/>
                <w:sz w:val="22"/>
                <w:szCs w:val="22"/>
                <w:shd w:val="clear" w:color="auto" w:fill="FFFFFF"/>
              </w:rPr>
            </w:pPr>
            <w:r w:rsidRPr="00C5124A">
              <w:rPr>
                <w:color w:val="333333"/>
                <w:sz w:val="22"/>
                <w:szCs w:val="22"/>
              </w:rPr>
              <w:t>Přístup k minimálním informacím může být omezen nebo zamítnut pouze tehdy, je-li to nezbytné k zajištění bezpečnosti některých budov vlastněných nebo ovládaných subjekty veřejného sektoru, bezpečnosti a integrity sítí, národní bezpečnosti, zabezpečení vnitrostátní kritické infrastruktury, veřejného zdraví nebo bezpečnosti, nebo z důvodů důvěrnosti nebo provozního či obchodního tajemství.</w:t>
            </w:r>
          </w:p>
        </w:tc>
      </w:tr>
      <w:tr w:rsidR="003A5A4B" w:rsidRPr="00C5124A" w14:paraId="152479A0" w14:textId="77777777" w:rsidTr="00B563D5">
        <w:tc>
          <w:tcPr>
            <w:tcW w:w="887" w:type="pct"/>
            <w:tcBorders>
              <w:top w:val="single" w:sz="4" w:space="0" w:color="auto"/>
              <w:left w:val="single" w:sz="4" w:space="0" w:color="auto"/>
              <w:bottom w:val="single" w:sz="4" w:space="0" w:color="auto"/>
              <w:right w:val="single" w:sz="4" w:space="0" w:color="auto"/>
            </w:tcBorders>
          </w:tcPr>
          <w:p w14:paraId="39A8BA07" w14:textId="617BF594" w:rsidR="003A5A4B" w:rsidRPr="00C5124A" w:rsidRDefault="003A5A4B" w:rsidP="003A5A4B">
            <w:pPr>
              <w:suppressAutoHyphens/>
              <w:spacing w:line="276" w:lineRule="auto"/>
              <w:ind w:left="117"/>
              <w:rPr>
                <w:bCs/>
                <w:sz w:val="22"/>
                <w:szCs w:val="22"/>
              </w:rPr>
            </w:pPr>
            <w:r w:rsidRPr="00C5124A">
              <w:rPr>
                <w:bCs/>
                <w:sz w:val="22"/>
                <w:szCs w:val="22"/>
              </w:rPr>
              <w:lastRenderedPageBreak/>
              <w:t>§ 4 odst. 2</w:t>
            </w:r>
          </w:p>
        </w:tc>
        <w:tc>
          <w:tcPr>
            <w:tcW w:w="1644" w:type="pct"/>
            <w:tcBorders>
              <w:top w:val="single" w:sz="4" w:space="0" w:color="auto"/>
              <w:left w:val="single" w:sz="4" w:space="0" w:color="auto"/>
              <w:bottom w:val="single" w:sz="4" w:space="0" w:color="auto"/>
              <w:right w:val="single" w:sz="4" w:space="0" w:color="auto"/>
            </w:tcBorders>
          </w:tcPr>
          <w:p w14:paraId="18F566B4" w14:textId="533A55A3" w:rsidR="003A5A4B" w:rsidRPr="00C5124A" w:rsidRDefault="00B563D5" w:rsidP="003A5A4B">
            <w:pPr>
              <w:spacing w:line="257" w:lineRule="auto"/>
              <w:jc w:val="both"/>
              <w:rPr>
                <w:rFonts w:eastAsia="Calibri"/>
                <w:sz w:val="22"/>
                <w:szCs w:val="22"/>
              </w:rPr>
            </w:pPr>
            <w:r w:rsidRPr="00C5124A">
              <w:t xml:space="preserve">(2) Provozovatel sítě a subjekt veřejného sektoru vlastnící nebo ovládající fyzickou infrastrukturu zpřístupňuje minimální informace a jejich veškeré aktualizace podle čl. 4 odst. 3 nařízení Evropského parlamentu a Rady (EU) 2024/1309 jejich zápisem do informačních systémů podle odstavce 1 postupy podle zákona o zeměměřictví, a to </w:t>
            </w:r>
            <w:r w:rsidRPr="00C5124A">
              <w:rPr>
                <w:rFonts w:eastAsia="Calibri"/>
              </w:rPr>
              <w:t xml:space="preserve">bez zbytečného odkladu, </w:t>
            </w:r>
            <w:r w:rsidRPr="00C5124A">
              <w:t xml:space="preserve">nejpozději však do 5 pracovních dnů </w:t>
            </w:r>
            <w:r w:rsidRPr="00C5124A">
              <w:rPr>
                <w:rFonts w:eastAsia="Calibri"/>
              </w:rPr>
              <w:t xml:space="preserve">od okamžiku, kdy </w:t>
            </w:r>
            <w:r w:rsidRPr="00C5124A">
              <w:t>mu je informace známa</w:t>
            </w:r>
            <w:r w:rsidRPr="00C5124A">
              <w:rPr>
                <w:rFonts w:eastAsia="Calibri"/>
              </w:rPr>
              <w:t>.</w:t>
            </w:r>
          </w:p>
        </w:tc>
        <w:tc>
          <w:tcPr>
            <w:tcW w:w="589" w:type="pct"/>
            <w:tcBorders>
              <w:top w:val="single" w:sz="4" w:space="0" w:color="auto"/>
              <w:left w:val="single" w:sz="4" w:space="0" w:color="auto"/>
              <w:bottom w:val="single" w:sz="4" w:space="0" w:color="auto"/>
              <w:right w:val="single" w:sz="4" w:space="0" w:color="auto"/>
            </w:tcBorders>
          </w:tcPr>
          <w:p w14:paraId="1971B7CC" w14:textId="078640CA"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3AA4CDA0" w14:textId="5881CFE5" w:rsidR="003A5A4B" w:rsidRPr="00C5124A" w:rsidRDefault="003A5A4B" w:rsidP="003A5A4B">
            <w:pPr>
              <w:ind w:left="53"/>
              <w:rPr>
                <w:bCs/>
                <w:sz w:val="22"/>
                <w:szCs w:val="22"/>
              </w:rPr>
            </w:pPr>
            <w:r w:rsidRPr="00C5124A">
              <w:rPr>
                <w:bCs/>
                <w:sz w:val="22"/>
                <w:szCs w:val="22"/>
              </w:rPr>
              <w:t>čl. 4 odst. 3</w:t>
            </w:r>
          </w:p>
        </w:tc>
        <w:tc>
          <w:tcPr>
            <w:tcW w:w="1304" w:type="pct"/>
            <w:tcBorders>
              <w:top w:val="single" w:sz="4" w:space="0" w:color="auto"/>
              <w:left w:val="single" w:sz="4" w:space="0" w:color="auto"/>
              <w:bottom w:val="single" w:sz="4" w:space="0" w:color="auto"/>
              <w:right w:val="single" w:sz="4" w:space="0" w:color="auto"/>
            </w:tcBorders>
          </w:tcPr>
          <w:p w14:paraId="5F7135A9" w14:textId="6699A971" w:rsidR="003A5A4B" w:rsidRPr="00C5124A" w:rsidRDefault="003A5A4B" w:rsidP="003A5A4B">
            <w:pPr>
              <w:ind w:left="63"/>
              <w:rPr>
                <w:color w:val="333333"/>
                <w:sz w:val="22"/>
                <w:szCs w:val="22"/>
                <w:shd w:val="clear" w:color="auto" w:fill="FFFFFF"/>
              </w:rPr>
            </w:pPr>
            <w:r w:rsidRPr="00C5124A">
              <w:rPr>
                <w:color w:val="333333"/>
                <w:sz w:val="22"/>
                <w:szCs w:val="22"/>
                <w:shd w:val="clear" w:color="auto" w:fill="FFFFFF"/>
              </w:rPr>
              <w:t xml:space="preserve">3.   Provozovatelé sítě a subjekty veřejného sektoru zpřístupní alespoň minimální informace uvedené v odstavci 1 a případně dodatečné informace uvedené v odstavci 2 prostřednictvím jednotného informačního místa a v elektronické podobě a zpřístupní neprodleně veškeré aktualizace těchto informací. V případě, že provozovatelé sítě nebo subjekty veřejného sektoru nesplní povinnost podle tohoto odstavce, mohou příslušné orgány do 10 pracovních dnů ode dne </w:t>
            </w:r>
            <w:r w:rsidRPr="00C5124A">
              <w:rPr>
                <w:color w:val="333333"/>
                <w:sz w:val="22"/>
                <w:szCs w:val="22"/>
                <w:shd w:val="clear" w:color="auto" w:fill="FFFFFF"/>
              </w:rPr>
              <w:lastRenderedPageBreak/>
              <w:t>obdržení žádosti o přístup k informacím požádat, aby byly chybějící informace uvedené v odstavci 1 zpřístupněny v elektronické podobě prostřednictvím jednotného informačního místa, aniž je dotčena možnost členských států uložit provozovatelům sítě a subjektům veřejného sektoru, kteří vlastní nebo ovládají fyzickou infrastrukturu, sankce za nesplnění této povinnosti.</w:t>
            </w:r>
          </w:p>
        </w:tc>
      </w:tr>
      <w:tr w:rsidR="003A5A4B" w:rsidRPr="00C5124A" w14:paraId="25BCC5E9" w14:textId="77777777" w:rsidTr="00B563D5">
        <w:tc>
          <w:tcPr>
            <w:tcW w:w="887" w:type="pct"/>
            <w:tcBorders>
              <w:top w:val="single" w:sz="4" w:space="0" w:color="auto"/>
              <w:left w:val="single" w:sz="4" w:space="0" w:color="auto"/>
              <w:bottom w:val="single" w:sz="4" w:space="0" w:color="auto"/>
              <w:right w:val="single" w:sz="4" w:space="0" w:color="auto"/>
            </w:tcBorders>
          </w:tcPr>
          <w:p w14:paraId="7F70A394" w14:textId="629EA476" w:rsidR="003A5A4B" w:rsidRPr="00C5124A" w:rsidRDefault="003A5A4B" w:rsidP="003A5A4B">
            <w:pPr>
              <w:suppressAutoHyphens/>
              <w:spacing w:line="276" w:lineRule="auto"/>
              <w:ind w:left="117"/>
              <w:rPr>
                <w:bCs/>
                <w:sz w:val="22"/>
                <w:szCs w:val="22"/>
              </w:rPr>
            </w:pPr>
            <w:r w:rsidRPr="00C5124A">
              <w:rPr>
                <w:bCs/>
                <w:sz w:val="22"/>
                <w:szCs w:val="22"/>
              </w:rPr>
              <w:lastRenderedPageBreak/>
              <w:t>§ 4 odst. 3</w:t>
            </w:r>
          </w:p>
        </w:tc>
        <w:tc>
          <w:tcPr>
            <w:tcW w:w="1644" w:type="pct"/>
            <w:tcBorders>
              <w:top w:val="single" w:sz="4" w:space="0" w:color="auto"/>
              <w:left w:val="single" w:sz="4" w:space="0" w:color="auto"/>
              <w:bottom w:val="single" w:sz="4" w:space="0" w:color="auto"/>
              <w:right w:val="single" w:sz="4" w:space="0" w:color="auto"/>
            </w:tcBorders>
          </w:tcPr>
          <w:p w14:paraId="2BC3513C" w14:textId="77777777" w:rsidR="00B563D5" w:rsidRPr="00C5124A" w:rsidRDefault="00B563D5" w:rsidP="00B563D5">
            <w:pPr>
              <w:spacing w:line="257" w:lineRule="auto"/>
              <w:jc w:val="both"/>
            </w:pPr>
            <w:r w:rsidRPr="00C5124A">
              <w:t xml:space="preserve">(3) </w:t>
            </w:r>
            <w:r w:rsidRPr="00C5124A">
              <w:rPr>
                <w:bCs/>
              </w:rPr>
              <w:t>Při poskytování m</w:t>
            </w:r>
            <w:r w:rsidRPr="00C5124A">
              <w:t>inimálních informací uvedených v čl. 4 odst. 1 nařízení Evropského parlamentu a Rady (EU) 2024/1309 se rozumí</w:t>
            </w:r>
          </w:p>
          <w:p w14:paraId="7F103ABE" w14:textId="77777777" w:rsidR="00B563D5" w:rsidRPr="00C5124A" w:rsidRDefault="00B563D5" w:rsidP="00B563D5">
            <w:pPr>
              <w:jc w:val="both"/>
              <w:rPr>
                <w:bCs/>
              </w:rPr>
            </w:pPr>
            <w:r w:rsidRPr="00C5124A">
              <w:rPr>
                <w:bCs/>
              </w:rPr>
              <w:t xml:space="preserve">a) druhem fyzické infrastruktury druh objektu vedený v digitální technické mapě kraje, </w:t>
            </w:r>
          </w:p>
          <w:p w14:paraId="1F40741B" w14:textId="2CAA83F6" w:rsidR="003A5A4B" w:rsidRPr="00C5124A" w:rsidRDefault="00B563D5" w:rsidP="00B563D5">
            <w:pPr>
              <w:spacing w:line="257" w:lineRule="auto"/>
              <w:jc w:val="both"/>
              <w:rPr>
                <w:rFonts w:eastAsia="Calibri"/>
                <w:sz w:val="22"/>
                <w:szCs w:val="22"/>
              </w:rPr>
            </w:pPr>
            <w:r w:rsidRPr="00C5124A">
              <w:rPr>
                <w:rFonts w:eastAsia="Calibri"/>
              </w:rPr>
              <w:t>b) využitím údaj, zda je infrastruktura provozována nebo nikoliv.</w:t>
            </w:r>
          </w:p>
        </w:tc>
        <w:tc>
          <w:tcPr>
            <w:tcW w:w="589" w:type="pct"/>
            <w:tcBorders>
              <w:top w:val="single" w:sz="4" w:space="0" w:color="auto"/>
              <w:left w:val="single" w:sz="4" w:space="0" w:color="auto"/>
              <w:bottom w:val="single" w:sz="4" w:space="0" w:color="auto"/>
              <w:right w:val="single" w:sz="4" w:space="0" w:color="auto"/>
            </w:tcBorders>
          </w:tcPr>
          <w:p w14:paraId="06B2F5B8" w14:textId="44702A6F"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A895961" w14:textId="063A1994" w:rsidR="003A5A4B" w:rsidRPr="00C5124A" w:rsidRDefault="003A5A4B" w:rsidP="003A5A4B">
            <w:pPr>
              <w:ind w:left="53"/>
              <w:rPr>
                <w:bCs/>
                <w:sz w:val="22"/>
                <w:szCs w:val="22"/>
              </w:rPr>
            </w:pPr>
            <w:r w:rsidRPr="00C5124A">
              <w:rPr>
                <w:bCs/>
                <w:sz w:val="22"/>
                <w:szCs w:val="22"/>
              </w:rPr>
              <w:t>čl. 4 odst. 1</w:t>
            </w:r>
          </w:p>
        </w:tc>
        <w:tc>
          <w:tcPr>
            <w:tcW w:w="1304" w:type="pct"/>
            <w:tcBorders>
              <w:top w:val="single" w:sz="4" w:space="0" w:color="auto"/>
              <w:left w:val="single" w:sz="4" w:space="0" w:color="auto"/>
              <w:bottom w:val="single" w:sz="4" w:space="0" w:color="auto"/>
              <w:right w:val="single" w:sz="4" w:space="0" w:color="auto"/>
            </w:tcBorders>
          </w:tcPr>
          <w:p w14:paraId="04EAC230"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Pro účely podání žádosti o přístup k fyzické infrastruktuře v souladu s článkem 3 má každý operátor na základě žádosti právo získat přístup prostřednictvím jednotného informačního místa k následujícím minimálním informacím o existující fyzické infrastruktuře v elektronické podobě:</w:t>
            </w:r>
          </w:p>
          <w:tbl>
            <w:tblPr>
              <w:tblW w:w="5000" w:type="pct"/>
              <w:shd w:val="clear" w:color="auto" w:fill="FFFFFF"/>
              <w:tblCellMar>
                <w:left w:w="0" w:type="dxa"/>
                <w:right w:w="0" w:type="dxa"/>
              </w:tblCellMar>
              <w:tblLook w:val="04A0" w:firstRow="1" w:lastRow="0" w:firstColumn="1" w:lastColumn="0" w:noHBand="0" w:noVBand="1"/>
            </w:tblPr>
            <w:tblGrid>
              <w:gridCol w:w="251"/>
              <w:gridCol w:w="3389"/>
            </w:tblGrid>
            <w:tr w:rsidR="003A5A4B" w:rsidRPr="00C5124A" w14:paraId="13861380" w14:textId="77777777" w:rsidTr="00350AD8">
              <w:tc>
                <w:tcPr>
                  <w:tcW w:w="480" w:type="dxa"/>
                  <w:shd w:val="clear" w:color="auto" w:fill="FFFFFF"/>
                  <w:hideMark/>
                </w:tcPr>
                <w:p w14:paraId="3D284C7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592" w:type="dxa"/>
                  <w:shd w:val="clear" w:color="auto" w:fill="FFFFFF"/>
                  <w:hideMark/>
                </w:tcPr>
                <w:p w14:paraId="4E0AE87E"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trasa;</w:t>
                  </w:r>
                </w:p>
              </w:tc>
            </w:tr>
          </w:tbl>
          <w:p w14:paraId="19A6D44B"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5"/>
              <w:gridCol w:w="3375"/>
            </w:tblGrid>
            <w:tr w:rsidR="003A5A4B" w:rsidRPr="00C5124A" w14:paraId="7383C719" w14:textId="77777777" w:rsidTr="00350AD8">
              <w:tc>
                <w:tcPr>
                  <w:tcW w:w="465" w:type="dxa"/>
                  <w:shd w:val="clear" w:color="auto" w:fill="FFFFFF"/>
                  <w:hideMark/>
                </w:tcPr>
                <w:p w14:paraId="302AFCF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607" w:type="dxa"/>
                  <w:shd w:val="clear" w:color="auto" w:fill="FFFFFF"/>
                  <w:hideMark/>
                </w:tcPr>
                <w:p w14:paraId="7C3760A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druh a současné využití infrastruktury;</w:t>
                  </w:r>
                </w:p>
              </w:tc>
            </w:tr>
          </w:tbl>
          <w:p w14:paraId="217A0198"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2B758966" w14:textId="77777777" w:rsidTr="00350AD8">
              <w:tc>
                <w:tcPr>
                  <w:tcW w:w="970" w:type="dxa"/>
                  <w:shd w:val="clear" w:color="auto" w:fill="FFFFFF"/>
                  <w:hideMark/>
                </w:tcPr>
                <w:p w14:paraId="609BF34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102" w:type="dxa"/>
                  <w:shd w:val="clear" w:color="auto" w:fill="FFFFFF"/>
                  <w:hideMark/>
                </w:tcPr>
                <w:p w14:paraId="59D069B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5724CCB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Tyto minimální informace jsou zpřístupněny za přiměřených, nediskriminačních a transparentních podmínek a v každém případě nejpozději do 10 pracovních dnů od podání žádosti o informace. V řádně odůvodněných případech může být tato lhůta prodloužena o pět pracovních dnů. Operátoři žádající o přístup jsou o každém prodloužení lhůty informováni prostřednictvím jednotného informačního místa.</w:t>
            </w:r>
          </w:p>
          <w:p w14:paraId="39CD9CCF"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Každý operátor, který žádá o přístup k informacím podle tohoto článku, </w:t>
            </w:r>
            <w:r w:rsidRPr="00C5124A">
              <w:rPr>
                <w:color w:val="333333"/>
                <w:sz w:val="22"/>
                <w:szCs w:val="22"/>
              </w:rPr>
              <w:lastRenderedPageBreak/>
              <w:t>specifikuje zeměpisnou oblast, v níž plánuje budování prvků sítí VHCN nebo přiřazených zařízení.</w:t>
            </w:r>
          </w:p>
          <w:p w14:paraId="2236A74C" w14:textId="20058A5E" w:rsidR="003A5A4B" w:rsidRPr="00C5124A" w:rsidRDefault="003A5A4B" w:rsidP="003A5A4B">
            <w:pPr>
              <w:ind w:left="63"/>
              <w:rPr>
                <w:color w:val="333333"/>
                <w:sz w:val="22"/>
                <w:szCs w:val="22"/>
                <w:shd w:val="clear" w:color="auto" w:fill="FFFFFF"/>
              </w:rPr>
            </w:pPr>
            <w:r w:rsidRPr="00C5124A">
              <w:rPr>
                <w:color w:val="333333"/>
                <w:sz w:val="22"/>
                <w:szCs w:val="22"/>
              </w:rPr>
              <w:t>Přístup k minimálním informacím může být omezen nebo zamítnut pouze tehdy, je-li to nezbytné k zajištění bezpečnosti některých budov vlastněných nebo ovládaných subjekty veřejného sektoru, bezpečnosti a integrity sítí, národní bezpečnosti, zabezpečení vnitrostátní kritické infrastruktury, veřejného zdraví nebo bezpečnosti, nebo z důvodů důvěrnosti nebo provozního či obchodního tajemství.</w:t>
            </w:r>
          </w:p>
        </w:tc>
      </w:tr>
      <w:tr w:rsidR="003A5A4B" w:rsidRPr="00C5124A" w14:paraId="6280EFD6" w14:textId="77777777" w:rsidTr="00B563D5">
        <w:tc>
          <w:tcPr>
            <w:tcW w:w="887" w:type="pct"/>
            <w:tcBorders>
              <w:top w:val="single" w:sz="4" w:space="0" w:color="auto"/>
              <w:left w:val="single" w:sz="4" w:space="0" w:color="auto"/>
              <w:bottom w:val="single" w:sz="4" w:space="0" w:color="auto"/>
              <w:right w:val="single" w:sz="4" w:space="0" w:color="auto"/>
            </w:tcBorders>
          </w:tcPr>
          <w:p w14:paraId="1FF16C69" w14:textId="2424FE06" w:rsidR="003A5A4B" w:rsidRPr="00C5124A" w:rsidRDefault="003A5A4B" w:rsidP="003A5A4B">
            <w:pPr>
              <w:suppressAutoHyphens/>
              <w:spacing w:line="276" w:lineRule="auto"/>
              <w:ind w:left="117"/>
              <w:rPr>
                <w:bCs/>
                <w:sz w:val="22"/>
                <w:szCs w:val="22"/>
              </w:rPr>
            </w:pPr>
            <w:r w:rsidRPr="00C5124A">
              <w:rPr>
                <w:bCs/>
                <w:sz w:val="22"/>
                <w:szCs w:val="22"/>
              </w:rPr>
              <w:lastRenderedPageBreak/>
              <w:t>§ 4 odst. 4</w:t>
            </w:r>
          </w:p>
        </w:tc>
        <w:tc>
          <w:tcPr>
            <w:tcW w:w="1644" w:type="pct"/>
            <w:tcBorders>
              <w:top w:val="single" w:sz="4" w:space="0" w:color="auto"/>
              <w:left w:val="single" w:sz="4" w:space="0" w:color="auto"/>
              <w:bottom w:val="single" w:sz="4" w:space="0" w:color="auto"/>
              <w:right w:val="single" w:sz="4" w:space="0" w:color="auto"/>
            </w:tcBorders>
          </w:tcPr>
          <w:p w14:paraId="0BD8C207" w14:textId="61F025BE" w:rsidR="003A5A4B" w:rsidRPr="00C5124A" w:rsidRDefault="00B563D5" w:rsidP="003A5A4B">
            <w:pPr>
              <w:spacing w:line="257" w:lineRule="auto"/>
              <w:jc w:val="both"/>
              <w:rPr>
                <w:rFonts w:eastAsia="Calibri"/>
                <w:sz w:val="22"/>
                <w:szCs w:val="22"/>
              </w:rPr>
            </w:pPr>
            <w:r w:rsidRPr="00C5124A">
              <w:rPr>
                <w:rFonts w:eastAsia="Calibri"/>
              </w:rPr>
              <w:t>(4) Operátor získává minimální informace podle čl. 4 odst. 1 nařízení Evropského parlamentu a Rady (EU) 2024/1309 z informačních systémů uvedených v odstavci 1.</w:t>
            </w:r>
            <w:r w:rsidR="003A5A4B" w:rsidRPr="00C5124A">
              <w:rPr>
                <w:rFonts w:eastAsia="Calibri"/>
                <w:sz w:val="22"/>
                <w:szCs w:val="22"/>
              </w:rPr>
              <w:t xml:space="preserve"> </w:t>
            </w:r>
          </w:p>
        </w:tc>
        <w:tc>
          <w:tcPr>
            <w:tcW w:w="589" w:type="pct"/>
            <w:tcBorders>
              <w:top w:val="single" w:sz="4" w:space="0" w:color="auto"/>
              <w:left w:val="single" w:sz="4" w:space="0" w:color="auto"/>
              <w:bottom w:val="single" w:sz="4" w:space="0" w:color="auto"/>
              <w:right w:val="single" w:sz="4" w:space="0" w:color="auto"/>
            </w:tcBorders>
          </w:tcPr>
          <w:p w14:paraId="15983DC5" w14:textId="1E18B37F"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C865D07" w14:textId="379FF25D" w:rsidR="003A5A4B" w:rsidRPr="00C5124A" w:rsidRDefault="003A5A4B" w:rsidP="003A5A4B">
            <w:pPr>
              <w:ind w:left="53"/>
              <w:rPr>
                <w:bCs/>
                <w:sz w:val="22"/>
                <w:szCs w:val="22"/>
              </w:rPr>
            </w:pPr>
            <w:r w:rsidRPr="00C5124A">
              <w:rPr>
                <w:bCs/>
                <w:sz w:val="22"/>
                <w:szCs w:val="22"/>
              </w:rPr>
              <w:t>čl. 4 odst. 1</w:t>
            </w:r>
          </w:p>
        </w:tc>
        <w:tc>
          <w:tcPr>
            <w:tcW w:w="1304" w:type="pct"/>
            <w:tcBorders>
              <w:top w:val="single" w:sz="4" w:space="0" w:color="auto"/>
              <w:left w:val="single" w:sz="4" w:space="0" w:color="auto"/>
              <w:bottom w:val="single" w:sz="4" w:space="0" w:color="auto"/>
              <w:right w:val="single" w:sz="4" w:space="0" w:color="auto"/>
            </w:tcBorders>
          </w:tcPr>
          <w:p w14:paraId="49974F7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Pro účely podání žádosti o přístup k fyzické infrastruktuře v souladu s článkem 3 má každý operátor na základě žádosti právo získat přístup prostřednictvím jednotného informačního místa k následujícím minimálním informacím o existující fyzické infrastruktuře v elektronické podobě:</w:t>
            </w:r>
          </w:p>
          <w:tbl>
            <w:tblPr>
              <w:tblW w:w="5000" w:type="pct"/>
              <w:shd w:val="clear" w:color="auto" w:fill="FFFFFF"/>
              <w:tblCellMar>
                <w:left w:w="0" w:type="dxa"/>
                <w:right w:w="0" w:type="dxa"/>
              </w:tblCellMar>
              <w:tblLook w:val="04A0" w:firstRow="1" w:lastRow="0" w:firstColumn="1" w:lastColumn="0" w:noHBand="0" w:noVBand="1"/>
            </w:tblPr>
            <w:tblGrid>
              <w:gridCol w:w="251"/>
              <w:gridCol w:w="3389"/>
            </w:tblGrid>
            <w:tr w:rsidR="003A5A4B" w:rsidRPr="00C5124A" w14:paraId="0C104885" w14:textId="77777777" w:rsidTr="00350AD8">
              <w:tc>
                <w:tcPr>
                  <w:tcW w:w="480" w:type="dxa"/>
                  <w:shd w:val="clear" w:color="auto" w:fill="FFFFFF"/>
                  <w:hideMark/>
                </w:tcPr>
                <w:p w14:paraId="4CCF9FC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592" w:type="dxa"/>
                  <w:shd w:val="clear" w:color="auto" w:fill="FFFFFF"/>
                  <w:hideMark/>
                </w:tcPr>
                <w:p w14:paraId="54318D8D"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trasa;</w:t>
                  </w:r>
                </w:p>
              </w:tc>
            </w:tr>
          </w:tbl>
          <w:p w14:paraId="67BAD82D"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5"/>
              <w:gridCol w:w="3375"/>
            </w:tblGrid>
            <w:tr w:rsidR="003A5A4B" w:rsidRPr="00C5124A" w14:paraId="1A06EB80" w14:textId="77777777" w:rsidTr="00350AD8">
              <w:tc>
                <w:tcPr>
                  <w:tcW w:w="465" w:type="dxa"/>
                  <w:shd w:val="clear" w:color="auto" w:fill="FFFFFF"/>
                  <w:hideMark/>
                </w:tcPr>
                <w:p w14:paraId="0604299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607" w:type="dxa"/>
                  <w:shd w:val="clear" w:color="auto" w:fill="FFFFFF"/>
                  <w:hideMark/>
                </w:tcPr>
                <w:p w14:paraId="68BC474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druh a současné využití infrastruktury;</w:t>
                  </w:r>
                </w:p>
              </w:tc>
            </w:tr>
          </w:tbl>
          <w:p w14:paraId="16854147"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34CA114C" w14:textId="77777777" w:rsidTr="00350AD8">
              <w:tc>
                <w:tcPr>
                  <w:tcW w:w="970" w:type="dxa"/>
                  <w:shd w:val="clear" w:color="auto" w:fill="FFFFFF"/>
                  <w:hideMark/>
                </w:tcPr>
                <w:p w14:paraId="112607F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102" w:type="dxa"/>
                  <w:shd w:val="clear" w:color="auto" w:fill="FFFFFF"/>
                  <w:hideMark/>
                </w:tcPr>
                <w:p w14:paraId="7B0CCAB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47064E46"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Tyto minimální informace jsou zpřístupněny za přiměřených, nediskriminačních a transparentních podmínek a v každém případě nejpozději do 10 pracovních dnů od podání žádosti o informace. V řádně odůvodněných případech může být tato lhůta prodloužena o pět pracovních dnů. Operátoři žádající o přístup jsou o každém prodloužení lhůty informováni </w:t>
            </w:r>
            <w:r w:rsidRPr="00C5124A">
              <w:rPr>
                <w:color w:val="333333"/>
                <w:sz w:val="22"/>
                <w:szCs w:val="22"/>
              </w:rPr>
              <w:lastRenderedPageBreak/>
              <w:t>prostřednictvím jednotného informačního místa.</w:t>
            </w:r>
          </w:p>
          <w:p w14:paraId="57F5C01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Každý operátor, který žádá o přístup k informacím podle tohoto článku, specifikuje zeměpisnou oblast, v níž plánuje budování prvků sítí VHCN nebo přiřazených zařízení.</w:t>
            </w:r>
          </w:p>
          <w:p w14:paraId="19AB7A56" w14:textId="09D68148" w:rsidR="003A5A4B" w:rsidRPr="00C5124A" w:rsidRDefault="003A5A4B" w:rsidP="003A5A4B">
            <w:pPr>
              <w:ind w:left="63"/>
              <w:rPr>
                <w:color w:val="333333"/>
                <w:sz w:val="22"/>
                <w:szCs w:val="22"/>
                <w:shd w:val="clear" w:color="auto" w:fill="FFFFFF"/>
              </w:rPr>
            </w:pPr>
            <w:r w:rsidRPr="00C5124A">
              <w:rPr>
                <w:color w:val="333333"/>
                <w:sz w:val="22"/>
                <w:szCs w:val="22"/>
              </w:rPr>
              <w:t>Přístup k minimálním informacím může být omezen nebo zamítnut pouze tehdy, je-li to nezbytné k zajištění bezpečnosti některých budov vlastněných nebo ovládaných subjekty veřejného sektoru, bezpečnosti a integrity sítí, národní bezpečnosti, zabezpečení vnitrostátní kritické infrastruktury, veřejného zdraví nebo bezpečnosti, nebo z důvodů důvěrnosti nebo provozního či obchodního tajemství.</w:t>
            </w:r>
          </w:p>
        </w:tc>
      </w:tr>
      <w:tr w:rsidR="00C7657B" w:rsidRPr="00C5124A" w14:paraId="2B80E801" w14:textId="77777777" w:rsidTr="00B563D5">
        <w:tc>
          <w:tcPr>
            <w:tcW w:w="887" w:type="pct"/>
            <w:tcBorders>
              <w:top w:val="single" w:sz="4" w:space="0" w:color="auto"/>
              <w:left w:val="single" w:sz="4" w:space="0" w:color="auto"/>
              <w:bottom w:val="single" w:sz="4" w:space="0" w:color="auto"/>
              <w:right w:val="single" w:sz="4" w:space="0" w:color="auto"/>
            </w:tcBorders>
          </w:tcPr>
          <w:p w14:paraId="5B72C068" w14:textId="49C84708" w:rsidR="00C7657B" w:rsidRPr="000C22DF" w:rsidRDefault="00C7657B" w:rsidP="003A5A4B">
            <w:pPr>
              <w:suppressAutoHyphens/>
              <w:spacing w:line="276" w:lineRule="auto"/>
              <w:ind w:left="117"/>
              <w:rPr>
                <w:bCs/>
                <w:sz w:val="22"/>
                <w:szCs w:val="22"/>
              </w:rPr>
            </w:pPr>
            <w:r w:rsidRPr="000C22DF">
              <w:rPr>
                <w:bCs/>
                <w:sz w:val="22"/>
                <w:szCs w:val="22"/>
              </w:rPr>
              <w:lastRenderedPageBreak/>
              <w:t>§ 5</w:t>
            </w:r>
          </w:p>
        </w:tc>
        <w:tc>
          <w:tcPr>
            <w:tcW w:w="1644" w:type="pct"/>
            <w:tcBorders>
              <w:top w:val="single" w:sz="4" w:space="0" w:color="auto"/>
              <w:left w:val="single" w:sz="4" w:space="0" w:color="auto"/>
              <w:bottom w:val="single" w:sz="4" w:space="0" w:color="auto"/>
              <w:right w:val="single" w:sz="4" w:space="0" w:color="auto"/>
            </w:tcBorders>
          </w:tcPr>
          <w:p w14:paraId="5C4C2AE6" w14:textId="68FB3282" w:rsidR="00C7657B" w:rsidRPr="000C22DF" w:rsidRDefault="00C7657B" w:rsidP="003A5A4B">
            <w:pPr>
              <w:spacing w:line="257" w:lineRule="auto"/>
              <w:jc w:val="both"/>
              <w:rPr>
                <w:rFonts w:eastAsia="Calibri"/>
              </w:rPr>
            </w:pPr>
            <w:r w:rsidRPr="000C22DF">
              <w:t>Přílohou žádosti o průzkum na místě týkající se specifických prvků fyzické infrastruktury podle čl. 4 odst. 5 nařízení Evropského parlamentu a Rady (EU) 2024/1309 musí být též návrh na uzavření smlouvy o průzkumu na místě, který vymezí konkrétní prvky fyzické infrastruktury v dané lokalitě, o jejíž průzkum na místě se žádá.</w:t>
            </w:r>
          </w:p>
        </w:tc>
        <w:tc>
          <w:tcPr>
            <w:tcW w:w="589" w:type="pct"/>
            <w:tcBorders>
              <w:top w:val="single" w:sz="4" w:space="0" w:color="auto"/>
              <w:left w:val="single" w:sz="4" w:space="0" w:color="auto"/>
              <w:bottom w:val="single" w:sz="4" w:space="0" w:color="auto"/>
              <w:right w:val="single" w:sz="4" w:space="0" w:color="auto"/>
            </w:tcBorders>
          </w:tcPr>
          <w:p w14:paraId="7116A094" w14:textId="5194B7B7" w:rsidR="00C7657B" w:rsidRPr="000C22DF" w:rsidRDefault="00C7657B" w:rsidP="003A5A4B">
            <w:pPr>
              <w:ind w:left="45"/>
              <w:rPr>
                <w:bCs/>
                <w:sz w:val="22"/>
                <w:szCs w:val="22"/>
              </w:rPr>
            </w:pPr>
            <w:r w:rsidRPr="000C22DF">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C1B449B" w14:textId="26B26C5B" w:rsidR="00C7657B" w:rsidRPr="000C22DF" w:rsidRDefault="000C22DF" w:rsidP="003A5A4B">
            <w:pPr>
              <w:ind w:left="53"/>
              <w:rPr>
                <w:bCs/>
                <w:sz w:val="22"/>
                <w:szCs w:val="22"/>
              </w:rPr>
            </w:pPr>
            <w:r w:rsidRPr="000C22DF">
              <w:rPr>
                <w:bCs/>
                <w:sz w:val="22"/>
                <w:szCs w:val="22"/>
              </w:rPr>
              <w:t>čl. 4 odst. 5</w:t>
            </w:r>
          </w:p>
        </w:tc>
        <w:tc>
          <w:tcPr>
            <w:tcW w:w="1304" w:type="pct"/>
            <w:tcBorders>
              <w:top w:val="single" w:sz="4" w:space="0" w:color="auto"/>
              <w:left w:val="single" w:sz="4" w:space="0" w:color="auto"/>
              <w:bottom w:val="single" w:sz="4" w:space="0" w:color="auto"/>
              <w:right w:val="single" w:sz="4" w:space="0" w:color="auto"/>
            </w:tcBorders>
          </w:tcPr>
          <w:p w14:paraId="0D23A516" w14:textId="71E567C5" w:rsidR="00C7657B" w:rsidRPr="000C22DF" w:rsidRDefault="000C22DF" w:rsidP="003A5A4B">
            <w:pPr>
              <w:pStyle w:val="oj-normal"/>
              <w:shd w:val="clear" w:color="auto" w:fill="FFFFFF"/>
              <w:spacing w:before="0" w:beforeAutospacing="0" w:after="0" w:afterAutospacing="0"/>
              <w:jc w:val="both"/>
              <w:rPr>
                <w:sz w:val="22"/>
                <w:szCs w:val="22"/>
              </w:rPr>
            </w:pPr>
            <w:r w:rsidRPr="000C22DF">
              <w:rPr>
                <w:sz w:val="22"/>
                <w:szCs w:val="22"/>
              </w:rPr>
              <w:t xml:space="preserve">5.   Provozovatelé sítě a subjekty veřejného sektoru vyhoví přiměřeným žádostem o průzkum na místě týkající se specifických prvků jejich fyzické infrastruktury na základě konkrétní písemné žádosti operátora. V těchto žádostech se specifikují prvky fyzické infrastruktury dotčené v souvislosti s budováním prvků sítí VHCN nebo přiřazených zařízení. Průzkum na místě týkající se specifikovaných prvků fyzické infrastruktury se povolí do jednoho měsíce ode dne obdržení žádosti za přiměřených, nediskriminačních a transparentních podmínek s výhradou omezení stanovených v odst. 1 čtvrtém pododstavci. Členské státy mohou </w:t>
            </w:r>
            <w:r w:rsidRPr="000C22DF">
              <w:rPr>
                <w:sz w:val="22"/>
                <w:szCs w:val="22"/>
              </w:rPr>
              <w:lastRenderedPageBreak/>
              <w:t>upřesnit podrobné náležitosti týkající se administrativních aspektů žádostí.</w:t>
            </w:r>
          </w:p>
        </w:tc>
      </w:tr>
      <w:tr w:rsidR="003A5A4B" w:rsidRPr="00C5124A" w14:paraId="4A3E550F" w14:textId="77777777" w:rsidTr="00B563D5">
        <w:tc>
          <w:tcPr>
            <w:tcW w:w="887" w:type="pct"/>
            <w:tcBorders>
              <w:top w:val="single" w:sz="4" w:space="0" w:color="auto"/>
              <w:left w:val="single" w:sz="4" w:space="0" w:color="auto"/>
              <w:bottom w:val="single" w:sz="4" w:space="0" w:color="auto"/>
              <w:right w:val="single" w:sz="4" w:space="0" w:color="auto"/>
            </w:tcBorders>
          </w:tcPr>
          <w:p w14:paraId="010DDCFE" w14:textId="38BDBABC"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C7657B" w:rsidRPr="00C5124A">
              <w:rPr>
                <w:bCs/>
                <w:sz w:val="22"/>
                <w:szCs w:val="22"/>
              </w:rPr>
              <w:t>6</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0BE3A3D7" w14:textId="07503586" w:rsidR="003A5A4B" w:rsidRPr="00C5124A" w:rsidRDefault="00C7657B" w:rsidP="003A5A4B">
            <w:pPr>
              <w:keepNext/>
              <w:jc w:val="both"/>
              <w:rPr>
                <w:bCs/>
                <w:sz w:val="22"/>
                <w:szCs w:val="22"/>
              </w:rPr>
            </w:pPr>
            <w:r w:rsidRPr="00C5124A">
              <w:t>(1) Přílohou žádosti o koordinaci stavebních prací podle čl. 5 odst. 2 nařízení Evropského parlamentu a Rady (EU) 2024/1309 musí být též návrh na uzavření smlouvy o koordinaci stavebních prací, který vymezí fyzickou infrastrukturu, které by se koordinace stavebních prací týkala, podmínky projektu na zavedení sítě s velmi vysokou kapacitou, pro který operátor žádá o koordinaci stavebních prací, časový průběh jeho provedení, údaje o zhotoviteli stavby, je-li znám, prvky dotčené stávající nebo plánované sítě elektronických komunikací a rozdělení nákladů vyplývající z koordinace stavebních prací mezi stranami koordinace.</w:t>
            </w:r>
          </w:p>
        </w:tc>
        <w:tc>
          <w:tcPr>
            <w:tcW w:w="589" w:type="pct"/>
            <w:tcBorders>
              <w:top w:val="single" w:sz="4" w:space="0" w:color="auto"/>
              <w:left w:val="single" w:sz="4" w:space="0" w:color="auto"/>
              <w:bottom w:val="single" w:sz="4" w:space="0" w:color="auto"/>
              <w:right w:val="single" w:sz="4" w:space="0" w:color="auto"/>
            </w:tcBorders>
          </w:tcPr>
          <w:p w14:paraId="37111EFD" w14:textId="497757F5"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6DE9183" w14:textId="5A4A6986" w:rsidR="003A5A4B" w:rsidRPr="00C5124A" w:rsidRDefault="003A5A4B" w:rsidP="003A5A4B">
            <w:pPr>
              <w:ind w:left="53"/>
              <w:rPr>
                <w:bCs/>
                <w:sz w:val="22"/>
                <w:szCs w:val="22"/>
              </w:rPr>
            </w:pPr>
            <w:r w:rsidRPr="00C5124A">
              <w:rPr>
                <w:bCs/>
                <w:sz w:val="22"/>
                <w:szCs w:val="22"/>
              </w:rPr>
              <w:t>čl. 5 odst. 1</w:t>
            </w:r>
          </w:p>
        </w:tc>
        <w:tc>
          <w:tcPr>
            <w:tcW w:w="1304" w:type="pct"/>
            <w:tcBorders>
              <w:top w:val="single" w:sz="4" w:space="0" w:color="auto"/>
              <w:left w:val="single" w:sz="4" w:space="0" w:color="auto"/>
              <w:bottom w:val="single" w:sz="4" w:space="0" w:color="auto"/>
              <w:right w:val="single" w:sz="4" w:space="0" w:color="auto"/>
            </w:tcBorders>
          </w:tcPr>
          <w:p w14:paraId="43811639" w14:textId="5451FDCF"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1.   Subjekty veřejného sektoru vlastnící nebo ovládající fyzickou infrastrukturu a provozovatelé sítě mají právo sjednávat s operátory dohody o koordinaci stavebních prací včetně rozdělení nákladů v souvislosti s budováním prvků sítí VHCN nebo přiřazených zařízení.</w:t>
            </w:r>
          </w:p>
        </w:tc>
      </w:tr>
      <w:tr w:rsidR="003A5A4B" w:rsidRPr="00C5124A" w14:paraId="04F60F29" w14:textId="77777777" w:rsidTr="00B563D5">
        <w:tc>
          <w:tcPr>
            <w:tcW w:w="887" w:type="pct"/>
            <w:tcBorders>
              <w:top w:val="single" w:sz="4" w:space="0" w:color="auto"/>
              <w:left w:val="single" w:sz="4" w:space="0" w:color="auto"/>
              <w:bottom w:val="single" w:sz="4" w:space="0" w:color="auto"/>
              <w:right w:val="single" w:sz="4" w:space="0" w:color="auto"/>
            </w:tcBorders>
          </w:tcPr>
          <w:p w14:paraId="39AB9651" w14:textId="343E4242" w:rsidR="003A5A4B" w:rsidRPr="00C5124A" w:rsidRDefault="003A5A4B" w:rsidP="003A5A4B">
            <w:pPr>
              <w:suppressAutoHyphens/>
              <w:spacing w:line="276" w:lineRule="auto"/>
              <w:ind w:left="117"/>
              <w:rPr>
                <w:bCs/>
                <w:sz w:val="22"/>
                <w:szCs w:val="22"/>
              </w:rPr>
            </w:pPr>
            <w:r w:rsidRPr="00C5124A">
              <w:rPr>
                <w:bCs/>
                <w:sz w:val="22"/>
                <w:szCs w:val="22"/>
              </w:rPr>
              <w:t xml:space="preserve">§ </w:t>
            </w:r>
            <w:r w:rsidR="00C7657B" w:rsidRPr="00C5124A">
              <w:rPr>
                <w:bCs/>
                <w:sz w:val="22"/>
                <w:szCs w:val="22"/>
              </w:rPr>
              <w:t>6</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06B26624" w14:textId="0B9A244B" w:rsidR="003A5A4B" w:rsidRPr="00C5124A" w:rsidRDefault="00C7657B" w:rsidP="003A5A4B">
            <w:pPr>
              <w:keepNext/>
              <w:jc w:val="both"/>
              <w:rPr>
                <w:bCs/>
                <w:sz w:val="22"/>
                <w:szCs w:val="22"/>
              </w:rPr>
            </w:pPr>
            <w:r w:rsidRPr="00C5124A">
              <w:t>(1) Přílohou žádosti o koordinaci stavebních prací podle čl. 5 odst. 2 nařízení Evropského parlamentu a Rady (EU) 2024/1309 musí být též návrh na uzavření smlouvy o koordinaci stavebních prací, který vymezí fyzickou infrastrukturu, které by se koordinace stavebních prací týkala, podmínky projektu na zavedení sítě s velmi vysokou kapacitou, pro který operátor žádá o koordinaci stavebních prací, časový průběh jeho provedení, údaje o zhotoviteli stavby, je-li znám, prvky dotčené stávající nebo plánované sítě elektronických komunikací a rozdělení nákladů vyplývající z koordinace stavebních prací mezi stranami koordinace.</w:t>
            </w:r>
          </w:p>
        </w:tc>
        <w:tc>
          <w:tcPr>
            <w:tcW w:w="589" w:type="pct"/>
            <w:tcBorders>
              <w:top w:val="single" w:sz="4" w:space="0" w:color="auto"/>
              <w:left w:val="single" w:sz="4" w:space="0" w:color="auto"/>
              <w:bottom w:val="single" w:sz="4" w:space="0" w:color="auto"/>
              <w:right w:val="single" w:sz="4" w:space="0" w:color="auto"/>
            </w:tcBorders>
          </w:tcPr>
          <w:p w14:paraId="050515D9" w14:textId="155B56FC"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F23E419" w14:textId="752181E8" w:rsidR="003A5A4B" w:rsidRPr="00C5124A" w:rsidRDefault="003A5A4B" w:rsidP="003A5A4B">
            <w:pPr>
              <w:ind w:left="53"/>
              <w:rPr>
                <w:bCs/>
                <w:sz w:val="22"/>
                <w:szCs w:val="22"/>
              </w:rPr>
            </w:pPr>
            <w:r w:rsidRPr="00C5124A">
              <w:rPr>
                <w:bCs/>
                <w:sz w:val="22"/>
                <w:szCs w:val="22"/>
              </w:rPr>
              <w:t>čl. 5 odst. 2</w:t>
            </w:r>
          </w:p>
        </w:tc>
        <w:tc>
          <w:tcPr>
            <w:tcW w:w="1304" w:type="pct"/>
            <w:tcBorders>
              <w:top w:val="single" w:sz="4" w:space="0" w:color="auto"/>
              <w:left w:val="single" w:sz="4" w:space="0" w:color="auto"/>
              <w:bottom w:val="single" w:sz="4" w:space="0" w:color="auto"/>
              <w:right w:val="single" w:sz="4" w:space="0" w:color="auto"/>
            </w:tcBorders>
          </w:tcPr>
          <w:p w14:paraId="21819319"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2.   Při provádění nebo plánování přímého nebo nepřímého provádění stavebních prací zcela nebo částečně financovaných z veřejných prostředků, subjekty veřejného sektoru vlastnící nebo ovládající fyzickou infrastrukturu a provozovatelé sítě vyhoví všem přiměřeným písemným žádostem operátorů o koordinaci těchto stavebních prací v souvislosti s budováním prvků sítí VHCN nebo přiřazených zařízení, a to za transparentních a nediskriminačních podmínek. Členské státy mohou podrobně upřesnit náležitosti týkající se administrativních aspektů žádosti.</w:t>
            </w:r>
          </w:p>
          <w:p w14:paraId="02F4FCA1"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0B8C581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lastRenderedPageBreak/>
              <w:t>Žádostem o koordinaci stavebních prací se vyhoví za předpokladu, že jsou splněny tyto podmínky:</w:t>
            </w:r>
          </w:p>
          <w:tbl>
            <w:tblPr>
              <w:tblW w:w="5000" w:type="pct"/>
              <w:shd w:val="clear" w:color="auto" w:fill="FFFFFF"/>
              <w:tblCellMar>
                <w:left w:w="0" w:type="dxa"/>
                <w:right w:w="0" w:type="dxa"/>
              </w:tblCellMar>
              <w:tblLook w:val="04A0" w:firstRow="1" w:lastRow="0" w:firstColumn="1" w:lastColumn="0" w:noHBand="0" w:noVBand="1"/>
            </w:tblPr>
            <w:tblGrid>
              <w:gridCol w:w="131"/>
              <w:gridCol w:w="3509"/>
            </w:tblGrid>
            <w:tr w:rsidR="003A5A4B" w:rsidRPr="00C5124A" w14:paraId="109E4A76" w14:textId="77777777" w:rsidTr="00D92683">
              <w:tc>
                <w:tcPr>
                  <w:tcW w:w="210" w:type="dxa"/>
                  <w:shd w:val="clear" w:color="auto" w:fill="FFFFFF"/>
                  <w:hideMark/>
                </w:tcPr>
                <w:p w14:paraId="221C85F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3B4CE94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koordinace stavebních prací nezpůsobí provozovateli sítě nebo subjektu veřejného sektoru vlastnícímu nebo ovládajícímu fyzickou infrastrukturu, který dotčené stavební práce původně plánoval, žádné nenávratné dodatečné náklady, včetně nákladů způsobených dalším prodlením, aniž je tím dotčena možnost dotčených stran dohodnout se na rozdělení nákladů;</w:t>
                  </w:r>
                </w:p>
              </w:tc>
            </w:tr>
          </w:tbl>
          <w:p w14:paraId="239B3DD4"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2B330FAE" w14:textId="77777777" w:rsidTr="00D92683">
              <w:tc>
                <w:tcPr>
                  <w:tcW w:w="225" w:type="dxa"/>
                  <w:shd w:val="clear" w:color="auto" w:fill="FFFFFF"/>
                  <w:hideMark/>
                </w:tcPr>
                <w:p w14:paraId="159FA0E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27EC317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provozovatel sítě nebo subjekt veřejného sektoru vlastnící nebo ovládající fyzickou infrastrukturu, který stavební práce původně plánoval, si zachová kontrolu nad koordinací těchto prací;</w:t>
                  </w:r>
                </w:p>
              </w:tc>
            </w:tr>
          </w:tbl>
          <w:p w14:paraId="60ED5170"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3A5A4B" w:rsidRPr="00C5124A" w14:paraId="71702C50" w14:textId="77777777" w:rsidTr="00D92683">
              <w:tc>
                <w:tcPr>
                  <w:tcW w:w="210" w:type="dxa"/>
                  <w:shd w:val="clear" w:color="auto" w:fill="FFFFFF"/>
                  <w:hideMark/>
                </w:tcPr>
                <w:p w14:paraId="0B5A1D9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1B2EE76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žádost je podána co nejdříve, a pokud je zapotřebí povolení pro stavební práce, nejpozději jeden měsíc před předložením konečného projektu orgánům udělujícím povolení.</w:t>
                  </w:r>
                </w:p>
              </w:tc>
            </w:tr>
          </w:tbl>
          <w:p w14:paraId="0EF26AC0" w14:textId="48214AA2" w:rsidR="003A5A4B" w:rsidRPr="00C5124A" w:rsidRDefault="003A5A4B" w:rsidP="003A5A4B">
            <w:pPr>
              <w:ind w:left="63"/>
              <w:rPr>
                <w:bCs/>
                <w:sz w:val="22"/>
                <w:szCs w:val="22"/>
              </w:rPr>
            </w:pPr>
          </w:p>
        </w:tc>
      </w:tr>
      <w:tr w:rsidR="003A5A4B" w:rsidRPr="00C5124A" w14:paraId="163C143E" w14:textId="77777777" w:rsidTr="00B563D5">
        <w:tc>
          <w:tcPr>
            <w:tcW w:w="887" w:type="pct"/>
            <w:tcBorders>
              <w:top w:val="single" w:sz="4" w:space="0" w:color="auto"/>
              <w:left w:val="single" w:sz="4" w:space="0" w:color="auto"/>
              <w:bottom w:val="single" w:sz="4" w:space="0" w:color="auto"/>
              <w:right w:val="single" w:sz="4" w:space="0" w:color="auto"/>
            </w:tcBorders>
          </w:tcPr>
          <w:p w14:paraId="6EB04F57" w14:textId="41FE1D9C"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C7657B" w:rsidRPr="00C5124A">
              <w:rPr>
                <w:bCs/>
                <w:sz w:val="22"/>
                <w:szCs w:val="22"/>
              </w:rPr>
              <w:t>6</w:t>
            </w:r>
            <w:r w:rsidRPr="00C5124A">
              <w:rPr>
                <w:bCs/>
                <w:sz w:val="22"/>
                <w:szCs w:val="22"/>
              </w:rPr>
              <w:t xml:space="preserve"> odst. 2</w:t>
            </w:r>
          </w:p>
        </w:tc>
        <w:tc>
          <w:tcPr>
            <w:tcW w:w="1644" w:type="pct"/>
            <w:tcBorders>
              <w:top w:val="single" w:sz="4" w:space="0" w:color="auto"/>
              <w:left w:val="single" w:sz="4" w:space="0" w:color="auto"/>
              <w:bottom w:val="single" w:sz="4" w:space="0" w:color="auto"/>
              <w:right w:val="single" w:sz="4" w:space="0" w:color="auto"/>
            </w:tcBorders>
          </w:tcPr>
          <w:p w14:paraId="7CE0A653" w14:textId="09A8A938" w:rsidR="003A5A4B" w:rsidRPr="00C5124A" w:rsidRDefault="00C7657B" w:rsidP="003A5A4B">
            <w:pPr>
              <w:keepNext/>
              <w:jc w:val="both"/>
              <w:rPr>
                <w:bCs/>
                <w:sz w:val="22"/>
                <w:szCs w:val="22"/>
              </w:rPr>
            </w:pPr>
            <w:r w:rsidRPr="00C5124A">
              <w:t xml:space="preserve">(2) </w:t>
            </w:r>
            <w:bookmarkStart w:id="6" w:name="_Hlk191994135"/>
            <w:r w:rsidRPr="00C5124A">
              <w:t>Stavebními pracemi omezeného rozsahu</w:t>
            </w:r>
            <w:bookmarkEnd w:id="6"/>
            <w:r w:rsidRPr="00C5124A">
              <w:t xml:space="preserve"> podle </w:t>
            </w:r>
            <w:bookmarkStart w:id="7" w:name="_Hlk188865974"/>
            <w:r w:rsidRPr="00C5124A">
              <w:t xml:space="preserve">čl. 5 odst. 5 nařízení Evropského parlamentu a Rady (EU) 2024/1309 </w:t>
            </w:r>
            <w:bookmarkStart w:id="8" w:name="_Hlk191994154"/>
            <w:r w:rsidRPr="00C5124A">
              <w:t>jsou stavební práce podle přílohy 1 stavebního zákona</w:t>
            </w:r>
            <w:bookmarkEnd w:id="7"/>
            <w:bookmarkEnd w:id="8"/>
            <w:r w:rsidRPr="00C5124A">
              <w:t>.</w:t>
            </w:r>
          </w:p>
        </w:tc>
        <w:tc>
          <w:tcPr>
            <w:tcW w:w="589" w:type="pct"/>
            <w:tcBorders>
              <w:top w:val="single" w:sz="4" w:space="0" w:color="auto"/>
              <w:left w:val="single" w:sz="4" w:space="0" w:color="auto"/>
              <w:bottom w:val="single" w:sz="4" w:space="0" w:color="auto"/>
              <w:right w:val="single" w:sz="4" w:space="0" w:color="auto"/>
            </w:tcBorders>
          </w:tcPr>
          <w:p w14:paraId="5159C9BE" w14:textId="135ED6C9"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C9D6725" w14:textId="42A216C0" w:rsidR="003A5A4B" w:rsidRPr="00C5124A" w:rsidRDefault="003A5A4B" w:rsidP="003A5A4B">
            <w:pPr>
              <w:ind w:left="53"/>
              <w:rPr>
                <w:bCs/>
                <w:sz w:val="22"/>
                <w:szCs w:val="22"/>
              </w:rPr>
            </w:pPr>
            <w:r w:rsidRPr="00C5124A">
              <w:rPr>
                <w:bCs/>
                <w:sz w:val="22"/>
                <w:szCs w:val="22"/>
              </w:rPr>
              <w:t>čl. 5 odst. 5</w:t>
            </w:r>
          </w:p>
        </w:tc>
        <w:tc>
          <w:tcPr>
            <w:tcW w:w="1304" w:type="pct"/>
            <w:tcBorders>
              <w:top w:val="single" w:sz="4" w:space="0" w:color="auto"/>
              <w:left w:val="single" w:sz="4" w:space="0" w:color="auto"/>
              <w:bottom w:val="single" w:sz="4" w:space="0" w:color="auto"/>
              <w:right w:val="single" w:sz="4" w:space="0" w:color="auto"/>
            </w:tcBorders>
          </w:tcPr>
          <w:p w14:paraId="7C14D9D8"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5.   Členské státy mohou na základě řádně opodstatněných a přiměřených důvodů identifikovat druhy stavebních prací považovaných za práce omezeného rozsahu, pokud jde o hodnotu, velikost nebo trvání, nebo týkajících se vnitrostátní kritické infrastruktury, které by mohly být vyňaty z povinnosti koordinovat stavební práce podle odstavce 2. Odůvodnění, kritéria a podmínky pro uplatnění výjimek </w:t>
            </w:r>
            <w:r w:rsidRPr="00C5124A">
              <w:rPr>
                <w:color w:val="333333"/>
                <w:sz w:val="22"/>
                <w:szCs w:val="22"/>
              </w:rPr>
              <w:lastRenderedPageBreak/>
              <w:t>na tyto druhy stavebních prací se zveřejní prostřednictvím jednotného informačního místa.</w:t>
            </w:r>
          </w:p>
          <w:p w14:paraId="46F62536"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6BFE584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rozhodnout, že subjekty veřejného sektoru vlastnící nebo ovládající fyzickou infrastrukturu a provozovatelé sítě neuplatňují odstavce 2 a 4 v případě stavebních prací týkajících se vnitrostátní kritické infrastruktury nebo z důvodů národní bezpečnosti identifikovaných členskými státy podle prvního pododstavce tohoto odstavce.</w:t>
            </w:r>
          </w:p>
          <w:p w14:paraId="3D8AF093" w14:textId="178D05C4" w:rsidR="003A5A4B" w:rsidRPr="00C5124A" w:rsidRDefault="003A5A4B" w:rsidP="003A5A4B">
            <w:pPr>
              <w:ind w:left="63"/>
              <w:rPr>
                <w:bCs/>
                <w:sz w:val="22"/>
                <w:szCs w:val="22"/>
              </w:rPr>
            </w:pPr>
            <w:r w:rsidRPr="00C5124A">
              <w:rPr>
                <w:color w:val="333333"/>
                <w:sz w:val="22"/>
                <w:szCs w:val="22"/>
              </w:rPr>
              <w:t>Subjekty veřejného sektoru vlastnící nebo ovládající fyzickou infrastrukturu a provozovatelé sítě se mohou rozhodnout neuplatňovat odstavce 2 a 4 na druhy prací, které členské státy identifikují jako práce omezeného rozsahu podle prvního pododstavce tohoto odstavce.</w:t>
            </w:r>
          </w:p>
        </w:tc>
      </w:tr>
      <w:tr w:rsidR="003A5A4B" w:rsidRPr="00C5124A" w14:paraId="7CADC0F5" w14:textId="77777777" w:rsidTr="00B563D5">
        <w:tc>
          <w:tcPr>
            <w:tcW w:w="887" w:type="pct"/>
            <w:tcBorders>
              <w:top w:val="single" w:sz="4" w:space="0" w:color="auto"/>
              <w:left w:val="single" w:sz="4" w:space="0" w:color="auto"/>
              <w:bottom w:val="single" w:sz="4" w:space="0" w:color="auto"/>
              <w:right w:val="single" w:sz="4" w:space="0" w:color="auto"/>
            </w:tcBorders>
          </w:tcPr>
          <w:p w14:paraId="03A2180E" w14:textId="4450F8A1"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4A4E59" w:rsidRPr="00C5124A">
              <w:rPr>
                <w:bCs/>
                <w:sz w:val="22"/>
                <w:szCs w:val="22"/>
              </w:rPr>
              <w:t>6</w:t>
            </w:r>
            <w:r w:rsidRPr="00C5124A">
              <w:rPr>
                <w:bCs/>
                <w:sz w:val="22"/>
                <w:szCs w:val="22"/>
              </w:rPr>
              <w:t xml:space="preserve"> odst. 3</w:t>
            </w:r>
          </w:p>
        </w:tc>
        <w:tc>
          <w:tcPr>
            <w:tcW w:w="1644" w:type="pct"/>
            <w:tcBorders>
              <w:top w:val="single" w:sz="4" w:space="0" w:color="auto"/>
              <w:left w:val="single" w:sz="4" w:space="0" w:color="auto"/>
              <w:bottom w:val="single" w:sz="4" w:space="0" w:color="auto"/>
              <w:right w:val="single" w:sz="4" w:space="0" w:color="auto"/>
            </w:tcBorders>
          </w:tcPr>
          <w:p w14:paraId="7C8172E0" w14:textId="388822B4" w:rsidR="003A5A4B" w:rsidRPr="00C5124A" w:rsidRDefault="004A4E59" w:rsidP="003A5A4B">
            <w:pPr>
              <w:jc w:val="both"/>
              <w:rPr>
                <w:bCs/>
                <w:sz w:val="22"/>
                <w:szCs w:val="22"/>
              </w:rPr>
            </w:pPr>
            <w:r w:rsidRPr="00C5124A">
              <w:t xml:space="preserve">(3) </w:t>
            </w:r>
            <w:bookmarkStart w:id="9" w:name="_Hlk190349794"/>
            <w:r w:rsidRPr="00C5124A">
              <w:t xml:space="preserve">Ministerstvo obrany může stanovit druhy stavebních prací, na které subjekt veřejného sektoru vlastnící nebo ovládající fyzickou infrastrukturu a provozovatel sítě neuplatní </w:t>
            </w:r>
            <w:bookmarkStart w:id="10" w:name="_Hlk193976146"/>
            <w:r w:rsidRPr="00C5124A">
              <w:t xml:space="preserve">čl. 5 odst. 2 a 4 </w:t>
            </w:r>
            <w:bookmarkStart w:id="11" w:name="_Hlk188865735"/>
            <w:r w:rsidRPr="00C5124A">
              <w:t>nařízení Evropského parlamentu a Rady (EU) 2024/1309</w:t>
            </w:r>
            <w:bookmarkEnd w:id="10"/>
            <w:bookmarkEnd w:id="11"/>
            <w:r w:rsidRPr="00C5124A">
              <w:t xml:space="preserve"> z důvodů obrany nebo bezpečnosti státu, a to postupem podle čl. 5 odst. 5 nařízení Evropského parlamentu a Rady (EU) 2024/1309.</w:t>
            </w:r>
            <w:bookmarkEnd w:id="9"/>
          </w:p>
        </w:tc>
        <w:tc>
          <w:tcPr>
            <w:tcW w:w="589" w:type="pct"/>
            <w:tcBorders>
              <w:top w:val="single" w:sz="4" w:space="0" w:color="auto"/>
              <w:left w:val="single" w:sz="4" w:space="0" w:color="auto"/>
              <w:bottom w:val="single" w:sz="4" w:space="0" w:color="auto"/>
              <w:right w:val="single" w:sz="4" w:space="0" w:color="auto"/>
            </w:tcBorders>
          </w:tcPr>
          <w:p w14:paraId="0D20F882" w14:textId="498B87F5"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44EA53E4" w14:textId="444A915C" w:rsidR="003A5A4B" w:rsidRPr="00C5124A" w:rsidRDefault="003A5A4B" w:rsidP="003A5A4B">
            <w:pPr>
              <w:ind w:left="53"/>
              <w:rPr>
                <w:bCs/>
                <w:sz w:val="22"/>
                <w:szCs w:val="22"/>
              </w:rPr>
            </w:pPr>
            <w:r w:rsidRPr="00C5124A">
              <w:rPr>
                <w:bCs/>
                <w:sz w:val="22"/>
                <w:szCs w:val="22"/>
              </w:rPr>
              <w:t>čl. 5 odst. 4</w:t>
            </w:r>
          </w:p>
        </w:tc>
        <w:tc>
          <w:tcPr>
            <w:tcW w:w="1304" w:type="pct"/>
            <w:tcBorders>
              <w:top w:val="single" w:sz="4" w:space="0" w:color="auto"/>
              <w:left w:val="single" w:sz="4" w:space="0" w:color="auto"/>
              <w:bottom w:val="single" w:sz="4" w:space="0" w:color="auto"/>
              <w:right w:val="single" w:sz="4" w:space="0" w:color="auto"/>
            </w:tcBorders>
          </w:tcPr>
          <w:p w14:paraId="30D060E1"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4.   Žádost o koordinaci stavebních prací podaná podnikem zajišťujícím nebo oprávněným zajišťovat veřejné sítě elektronických komunikací podniku zajišťujícímu nebo oprávněnému zajišťovat veřejné sítě elektronických komunikací může být považována za neodůvodněnou, jsou-li splněny obě tyto podmínky:</w:t>
            </w:r>
          </w:p>
          <w:tbl>
            <w:tblPr>
              <w:tblW w:w="5000" w:type="pct"/>
              <w:shd w:val="clear" w:color="auto" w:fill="FFFFFF"/>
              <w:tblCellMar>
                <w:left w:w="0" w:type="dxa"/>
                <w:right w:w="0" w:type="dxa"/>
              </w:tblCellMar>
              <w:tblLook w:val="04A0" w:firstRow="1" w:lastRow="0" w:firstColumn="1" w:lastColumn="0" w:noHBand="0" w:noVBand="1"/>
            </w:tblPr>
            <w:tblGrid>
              <w:gridCol w:w="127"/>
              <w:gridCol w:w="3513"/>
            </w:tblGrid>
            <w:tr w:rsidR="003A5A4B" w:rsidRPr="00C5124A" w14:paraId="4834F6ED" w14:textId="77777777" w:rsidTr="00356387">
              <w:tc>
                <w:tcPr>
                  <w:tcW w:w="210" w:type="dxa"/>
                  <w:shd w:val="clear" w:color="auto" w:fill="FFFFFF"/>
                  <w:hideMark/>
                </w:tcPr>
                <w:p w14:paraId="4521648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2D1AE2F1"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žádost se týká oblasti, na kterou se vztahuje kterákoli z těchto možností:</w:t>
                  </w:r>
                </w:p>
                <w:tbl>
                  <w:tblPr>
                    <w:tblW w:w="5000" w:type="pct"/>
                    <w:tblCellMar>
                      <w:left w:w="0" w:type="dxa"/>
                      <w:right w:w="0" w:type="dxa"/>
                    </w:tblCellMar>
                    <w:tblLook w:val="04A0" w:firstRow="1" w:lastRow="0" w:firstColumn="1" w:lastColumn="0" w:noHBand="0" w:noVBand="1"/>
                  </w:tblPr>
                  <w:tblGrid>
                    <w:gridCol w:w="84"/>
                    <w:gridCol w:w="3429"/>
                  </w:tblGrid>
                  <w:tr w:rsidR="003A5A4B" w:rsidRPr="00C5124A" w14:paraId="60823278" w14:textId="77777777" w:rsidTr="00356387">
                    <w:tc>
                      <w:tcPr>
                        <w:tcW w:w="147" w:type="dxa"/>
                        <w:shd w:val="clear" w:color="auto" w:fill="auto"/>
                        <w:hideMark/>
                      </w:tcPr>
                      <w:p w14:paraId="7B810519" w14:textId="77777777" w:rsidR="003A5A4B" w:rsidRPr="00C5124A" w:rsidRDefault="003A5A4B" w:rsidP="003A5A4B">
                        <w:pPr>
                          <w:pStyle w:val="oj-normal"/>
                          <w:spacing w:before="0" w:beforeAutospacing="0" w:after="0" w:afterAutospacing="0"/>
                          <w:jc w:val="both"/>
                          <w:rPr>
                            <w:sz w:val="22"/>
                            <w:szCs w:val="22"/>
                          </w:rPr>
                        </w:pPr>
                        <w:r w:rsidRPr="00C5124A">
                          <w:rPr>
                            <w:sz w:val="22"/>
                            <w:szCs w:val="22"/>
                          </w:rPr>
                          <w:lastRenderedPageBreak/>
                          <w:t>i</w:t>
                        </w:r>
                      </w:p>
                    </w:tc>
                    <w:tc>
                      <w:tcPr>
                        <w:tcW w:w="8715" w:type="dxa"/>
                        <w:shd w:val="clear" w:color="auto" w:fill="auto"/>
                        <w:hideMark/>
                      </w:tcPr>
                      <w:p w14:paraId="1FAD9036" w14:textId="77777777" w:rsidR="003A5A4B" w:rsidRPr="00C5124A" w:rsidRDefault="003A5A4B" w:rsidP="003A5A4B">
                        <w:pPr>
                          <w:pStyle w:val="oj-normal"/>
                          <w:spacing w:before="0" w:beforeAutospacing="0" w:after="0" w:afterAutospacing="0"/>
                          <w:jc w:val="both"/>
                          <w:rPr>
                            <w:sz w:val="22"/>
                            <w:szCs w:val="22"/>
                          </w:rPr>
                        </w:pPr>
                        <w:proofErr w:type="gramStart"/>
                        <w:r w:rsidRPr="00C5124A">
                          <w:rPr>
                            <w:sz w:val="22"/>
                            <w:szCs w:val="22"/>
                          </w:rPr>
                          <w:t>)prognóza</w:t>
                        </w:r>
                        <w:proofErr w:type="gramEnd"/>
                        <w:r w:rsidRPr="00C5124A">
                          <w:rPr>
                            <w:sz w:val="22"/>
                            <w:szCs w:val="22"/>
                          </w:rPr>
                          <w:t xml:space="preserve"> dosahu širokopásmových sítí, včetně sítí VHCN podle čl. 22 odst. 1 směrnice (EU) 2018/1972;</w:t>
                        </w:r>
                      </w:p>
                    </w:tc>
                  </w:tr>
                </w:tbl>
                <w:p w14:paraId="7DD7110A" w14:textId="77777777" w:rsidR="003A5A4B" w:rsidRPr="00C5124A" w:rsidRDefault="003A5A4B" w:rsidP="003A5A4B">
                  <w:pPr>
                    <w:rPr>
                      <w:vanish/>
                      <w:color w:val="333333"/>
                      <w:sz w:val="22"/>
                      <w:szCs w:val="22"/>
                    </w:rPr>
                  </w:pPr>
                </w:p>
                <w:tbl>
                  <w:tblPr>
                    <w:tblW w:w="5000" w:type="pct"/>
                    <w:tblCellMar>
                      <w:left w:w="0" w:type="dxa"/>
                      <w:right w:w="0" w:type="dxa"/>
                    </w:tblCellMar>
                    <w:tblLook w:val="04A0" w:firstRow="1" w:lastRow="0" w:firstColumn="1" w:lastColumn="0" w:noHBand="0" w:noVBand="1"/>
                  </w:tblPr>
                  <w:tblGrid>
                    <w:gridCol w:w="151"/>
                    <w:gridCol w:w="3362"/>
                  </w:tblGrid>
                  <w:tr w:rsidR="003A5A4B" w:rsidRPr="00C5124A" w14:paraId="067C704B" w14:textId="77777777" w:rsidTr="00356387">
                    <w:tc>
                      <w:tcPr>
                        <w:tcW w:w="214" w:type="dxa"/>
                        <w:shd w:val="clear" w:color="auto" w:fill="auto"/>
                        <w:hideMark/>
                      </w:tcPr>
                      <w:p w14:paraId="3EB5989B" w14:textId="77777777" w:rsidR="003A5A4B" w:rsidRPr="00C5124A" w:rsidRDefault="003A5A4B" w:rsidP="003A5A4B">
                        <w:pPr>
                          <w:pStyle w:val="oj-normal"/>
                          <w:spacing w:before="0" w:beforeAutospacing="0" w:after="0" w:afterAutospacing="0"/>
                          <w:jc w:val="both"/>
                          <w:rPr>
                            <w:sz w:val="22"/>
                            <w:szCs w:val="22"/>
                          </w:rPr>
                        </w:pPr>
                        <w:proofErr w:type="spellStart"/>
                        <w:r w:rsidRPr="00C5124A">
                          <w:rPr>
                            <w:sz w:val="22"/>
                            <w:szCs w:val="22"/>
                          </w:rPr>
                          <w:t>ii</w:t>
                        </w:r>
                        <w:proofErr w:type="spellEnd"/>
                      </w:p>
                    </w:tc>
                    <w:tc>
                      <w:tcPr>
                        <w:tcW w:w="8648" w:type="dxa"/>
                        <w:shd w:val="clear" w:color="auto" w:fill="auto"/>
                        <w:hideMark/>
                      </w:tcPr>
                      <w:p w14:paraId="57AC4268" w14:textId="77777777" w:rsidR="003A5A4B" w:rsidRPr="00C5124A" w:rsidRDefault="003A5A4B" w:rsidP="003A5A4B">
                        <w:pPr>
                          <w:pStyle w:val="oj-normal"/>
                          <w:spacing w:before="0" w:beforeAutospacing="0" w:after="0" w:afterAutospacing="0"/>
                          <w:jc w:val="both"/>
                          <w:rPr>
                            <w:sz w:val="22"/>
                            <w:szCs w:val="22"/>
                          </w:rPr>
                        </w:pPr>
                        <w:r w:rsidRPr="00C5124A">
                          <w:rPr>
                            <w:sz w:val="22"/>
                            <w:szCs w:val="22"/>
                          </w:rPr>
                          <w:t>) výzva k oznámení záměru zavést sítě VHCN podle čl. 22 odst. 3 směrnice (EU) 2018/1972;</w:t>
                        </w:r>
                      </w:p>
                    </w:tc>
                  </w:tr>
                </w:tbl>
                <w:p w14:paraId="6EEC9EEC" w14:textId="77777777" w:rsidR="003A5A4B" w:rsidRPr="00C5124A" w:rsidRDefault="003A5A4B" w:rsidP="003A5A4B">
                  <w:pPr>
                    <w:rPr>
                      <w:vanish/>
                      <w:color w:val="333333"/>
                      <w:sz w:val="22"/>
                      <w:szCs w:val="22"/>
                    </w:rPr>
                  </w:pPr>
                </w:p>
                <w:tbl>
                  <w:tblPr>
                    <w:tblW w:w="5000" w:type="pct"/>
                    <w:tblCellMar>
                      <w:left w:w="0" w:type="dxa"/>
                      <w:right w:w="0" w:type="dxa"/>
                    </w:tblCellMar>
                    <w:tblLook w:val="04A0" w:firstRow="1" w:lastRow="0" w:firstColumn="1" w:lastColumn="0" w:noHBand="0" w:noVBand="1"/>
                  </w:tblPr>
                  <w:tblGrid>
                    <w:gridCol w:w="227"/>
                    <w:gridCol w:w="3286"/>
                  </w:tblGrid>
                  <w:tr w:rsidR="003A5A4B" w:rsidRPr="00C5124A" w14:paraId="33B62217" w14:textId="77777777" w:rsidTr="00356387">
                    <w:tc>
                      <w:tcPr>
                        <w:tcW w:w="327" w:type="dxa"/>
                        <w:shd w:val="clear" w:color="auto" w:fill="auto"/>
                        <w:hideMark/>
                      </w:tcPr>
                      <w:p w14:paraId="0699ADFD" w14:textId="77777777" w:rsidR="003A5A4B" w:rsidRPr="00C5124A" w:rsidRDefault="003A5A4B" w:rsidP="003A5A4B">
                        <w:pPr>
                          <w:pStyle w:val="oj-normal"/>
                          <w:spacing w:before="0" w:beforeAutospacing="0" w:after="0" w:afterAutospacing="0"/>
                          <w:jc w:val="both"/>
                          <w:rPr>
                            <w:sz w:val="22"/>
                            <w:szCs w:val="22"/>
                          </w:rPr>
                        </w:pPr>
                        <w:proofErr w:type="spellStart"/>
                        <w:r w:rsidRPr="00C5124A">
                          <w:rPr>
                            <w:sz w:val="22"/>
                            <w:szCs w:val="22"/>
                          </w:rPr>
                          <w:t>iii</w:t>
                        </w:r>
                        <w:proofErr w:type="spellEnd"/>
                      </w:p>
                    </w:tc>
                    <w:tc>
                      <w:tcPr>
                        <w:tcW w:w="8535" w:type="dxa"/>
                        <w:shd w:val="clear" w:color="auto" w:fill="auto"/>
                        <w:hideMark/>
                      </w:tcPr>
                      <w:p w14:paraId="50B465E7" w14:textId="77777777" w:rsidR="003A5A4B" w:rsidRPr="00C5124A" w:rsidRDefault="003A5A4B" w:rsidP="003A5A4B">
                        <w:pPr>
                          <w:pStyle w:val="oj-normal"/>
                          <w:spacing w:before="0" w:beforeAutospacing="0" w:after="0" w:afterAutospacing="0"/>
                          <w:jc w:val="both"/>
                          <w:rPr>
                            <w:sz w:val="22"/>
                            <w:szCs w:val="22"/>
                          </w:rPr>
                        </w:pPr>
                        <w:r w:rsidRPr="00C5124A">
                          <w:rPr>
                            <w:sz w:val="22"/>
                            <w:szCs w:val="22"/>
                          </w:rPr>
                          <w:t>) veřejná konzultace týkající se uplatňování pravidel Unie pro státní podporu;</w:t>
                        </w:r>
                      </w:p>
                    </w:tc>
                  </w:tr>
                </w:tbl>
                <w:p w14:paraId="6D4697A8" w14:textId="77777777" w:rsidR="003A5A4B" w:rsidRPr="00C5124A" w:rsidRDefault="003A5A4B" w:rsidP="003A5A4B">
                  <w:pPr>
                    <w:rPr>
                      <w:color w:val="333333"/>
                      <w:sz w:val="22"/>
                      <w:szCs w:val="22"/>
                    </w:rPr>
                  </w:pPr>
                </w:p>
              </w:tc>
            </w:tr>
          </w:tbl>
          <w:p w14:paraId="32F1B558"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5"/>
              <w:gridCol w:w="3505"/>
            </w:tblGrid>
            <w:tr w:rsidR="003A5A4B" w:rsidRPr="00C5124A" w14:paraId="29052509" w14:textId="77777777" w:rsidTr="00356387">
              <w:tc>
                <w:tcPr>
                  <w:tcW w:w="225" w:type="dxa"/>
                  <w:shd w:val="clear" w:color="auto" w:fill="FFFFFF"/>
                  <w:hideMark/>
                </w:tcPr>
                <w:p w14:paraId="7DC6C33D"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4D3CE5E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žádající podnik nevyjádřil svůj záměr zavádět sítě VHCN v oblasti uvedené v písmenu a) v žádném z posledních řízení uvedených v tomto písmenu a vztahujících se na období, během něhož je žádost o koordinaci předkládána.</w:t>
                  </w:r>
                </w:p>
                <w:p w14:paraId="344DD585" w14:textId="77777777" w:rsidR="003A5A4B" w:rsidRPr="00C5124A" w:rsidRDefault="003A5A4B" w:rsidP="003A5A4B">
                  <w:pPr>
                    <w:pStyle w:val="oj-normal"/>
                    <w:spacing w:before="0" w:beforeAutospacing="0" w:after="0" w:afterAutospacing="0"/>
                    <w:jc w:val="both"/>
                    <w:rPr>
                      <w:color w:val="333333"/>
                      <w:sz w:val="22"/>
                      <w:szCs w:val="22"/>
                    </w:rPr>
                  </w:pPr>
                </w:p>
              </w:tc>
            </w:tr>
          </w:tbl>
          <w:p w14:paraId="6CA1224C" w14:textId="456A9C51"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Pokud je žádost o koordinaci považována za neodůvodněnou na základě prvního pododstavce, vybuduje podnik zajišťující nebo oprávněný zajišťovat veřejné sítě elektronických komunikací, který odmítl koordinaci stavebních prací, fyzickou infrastrukturu s dostatečnou kapacitou, aby uspokojil případné budoucí přiměřené potřeby přístupu třetích stran.</w:t>
            </w:r>
          </w:p>
        </w:tc>
      </w:tr>
      <w:tr w:rsidR="003A5A4B" w:rsidRPr="00C5124A" w14:paraId="10BEB116" w14:textId="77777777" w:rsidTr="00B563D5">
        <w:tc>
          <w:tcPr>
            <w:tcW w:w="887" w:type="pct"/>
            <w:tcBorders>
              <w:top w:val="single" w:sz="4" w:space="0" w:color="auto"/>
              <w:left w:val="single" w:sz="4" w:space="0" w:color="auto"/>
              <w:bottom w:val="single" w:sz="4" w:space="0" w:color="auto"/>
              <w:right w:val="single" w:sz="4" w:space="0" w:color="auto"/>
            </w:tcBorders>
          </w:tcPr>
          <w:p w14:paraId="323F92AA" w14:textId="0B40FCED"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4A4E59" w:rsidRPr="00C5124A">
              <w:rPr>
                <w:bCs/>
                <w:sz w:val="22"/>
                <w:szCs w:val="22"/>
              </w:rPr>
              <w:t>6</w:t>
            </w:r>
            <w:r w:rsidRPr="00C5124A">
              <w:rPr>
                <w:bCs/>
                <w:sz w:val="22"/>
                <w:szCs w:val="22"/>
              </w:rPr>
              <w:t xml:space="preserve"> odst. 3</w:t>
            </w:r>
          </w:p>
        </w:tc>
        <w:tc>
          <w:tcPr>
            <w:tcW w:w="1644" w:type="pct"/>
            <w:tcBorders>
              <w:top w:val="single" w:sz="4" w:space="0" w:color="auto"/>
              <w:left w:val="single" w:sz="4" w:space="0" w:color="auto"/>
              <w:bottom w:val="single" w:sz="4" w:space="0" w:color="auto"/>
              <w:right w:val="single" w:sz="4" w:space="0" w:color="auto"/>
            </w:tcBorders>
          </w:tcPr>
          <w:p w14:paraId="4BEA52F5" w14:textId="09754A47" w:rsidR="003A5A4B" w:rsidRPr="00C5124A" w:rsidRDefault="004A4E59" w:rsidP="003A5A4B">
            <w:pPr>
              <w:jc w:val="both"/>
              <w:rPr>
                <w:sz w:val="22"/>
                <w:szCs w:val="22"/>
              </w:rPr>
            </w:pPr>
            <w:r w:rsidRPr="00C5124A">
              <w:t>(3) Ministerstvo obrany může stanovit druhy stavebních prací, na které subjekt veřejného sektoru vlastnící nebo ovládající fyzickou infrastrukturu a provozovatel sítě neuplatní čl. 5 odst. 2 a 4 nařízení Evropského parlamentu a Rady (EU) 2024/1309 z důvodů obrany nebo bezpečnosti státu, a to postupem podle čl. 5 odst. 5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777D5A9D" w14:textId="38629810"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F0A4288" w14:textId="4CA278FA" w:rsidR="003A5A4B" w:rsidRPr="00C5124A" w:rsidRDefault="003A5A4B" w:rsidP="003A5A4B">
            <w:pPr>
              <w:ind w:left="53"/>
              <w:rPr>
                <w:bCs/>
                <w:sz w:val="22"/>
                <w:szCs w:val="22"/>
              </w:rPr>
            </w:pPr>
            <w:r w:rsidRPr="00C5124A">
              <w:rPr>
                <w:bCs/>
                <w:sz w:val="22"/>
                <w:szCs w:val="22"/>
              </w:rPr>
              <w:t>čl. 5 odst. 5</w:t>
            </w:r>
          </w:p>
        </w:tc>
        <w:tc>
          <w:tcPr>
            <w:tcW w:w="1304" w:type="pct"/>
            <w:tcBorders>
              <w:top w:val="single" w:sz="4" w:space="0" w:color="auto"/>
              <w:left w:val="single" w:sz="4" w:space="0" w:color="auto"/>
              <w:bottom w:val="single" w:sz="4" w:space="0" w:color="auto"/>
              <w:right w:val="single" w:sz="4" w:space="0" w:color="auto"/>
            </w:tcBorders>
          </w:tcPr>
          <w:p w14:paraId="7C5B2A34"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5.   Členské státy mohou na základě řádně opodstatněných a přiměřených důvodů identifikovat druhy stavebních prací považovaných za práce omezeného rozsahu, pokud jde o hodnotu, velikost nebo trvání, nebo týkajících se vnitrostátní kritické infrastruktury, které by mohly být vyňaty z povinnosti koordinovat stavební práce podle odstavce 2. Odůvodnění, kritéria </w:t>
            </w:r>
            <w:r w:rsidRPr="00C5124A">
              <w:rPr>
                <w:color w:val="333333"/>
                <w:sz w:val="22"/>
                <w:szCs w:val="22"/>
              </w:rPr>
              <w:lastRenderedPageBreak/>
              <w:t>a podmínky pro uplatnění výjimek na tyto druhy stavebních prací se zveřejní prostřednictvím jednotného informačního místa.</w:t>
            </w:r>
          </w:p>
          <w:p w14:paraId="506F130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5039395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rozhodnout, že subjekty veřejného sektoru vlastnící nebo ovládající fyzickou infrastrukturu a provozovatelé sítě neuplatňují odstavce 2 a 4 v případě stavebních prací týkajících se vnitrostátní kritické infrastruktury nebo z důvodů národní bezpečnosti identifikovaných členskými státy podle prvního pododstavce tohoto odstavce.</w:t>
            </w:r>
          </w:p>
          <w:p w14:paraId="67A71ADE" w14:textId="3E58F9D2" w:rsidR="003A5A4B" w:rsidRPr="00C5124A" w:rsidRDefault="003A5A4B" w:rsidP="003A5A4B">
            <w:pPr>
              <w:ind w:left="63"/>
              <w:rPr>
                <w:bCs/>
                <w:sz w:val="22"/>
                <w:szCs w:val="22"/>
              </w:rPr>
            </w:pPr>
            <w:r w:rsidRPr="00C5124A">
              <w:rPr>
                <w:color w:val="333333"/>
                <w:sz w:val="22"/>
                <w:szCs w:val="22"/>
              </w:rPr>
              <w:t>Subjekty veřejného sektoru vlastnící nebo ovládající fyzickou infrastrukturu a provozovatelé sítě se mohou rozhodnout neuplatňovat odstavce 2 a 4 na druhy prací, které členské státy identifikují jako práce omezeného rozsahu podle prvního pododstavce tohoto odstavce.</w:t>
            </w:r>
          </w:p>
        </w:tc>
      </w:tr>
      <w:tr w:rsidR="003A5A4B" w:rsidRPr="00C5124A" w14:paraId="14B7DFA7" w14:textId="77777777" w:rsidTr="00B563D5">
        <w:tc>
          <w:tcPr>
            <w:tcW w:w="887" w:type="pct"/>
            <w:tcBorders>
              <w:top w:val="single" w:sz="4" w:space="0" w:color="auto"/>
              <w:left w:val="single" w:sz="4" w:space="0" w:color="auto"/>
              <w:bottom w:val="single" w:sz="4" w:space="0" w:color="auto"/>
              <w:right w:val="single" w:sz="4" w:space="0" w:color="auto"/>
            </w:tcBorders>
          </w:tcPr>
          <w:p w14:paraId="0F0E5F2B" w14:textId="5B98EFCB"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4A4E59" w:rsidRPr="00C5124A">
              <w:rPr>
                <w:bCs/>
                <w:sz w:val="22"/>
                <w:szCs w:val="22"/>
              </w:rPr>
              <w:t>6</w:t>
            </w:r>
            <w:r w:rsidRPr="00C5124A">
              <w:rPr>
                <w:bCs/>
                <w:sz w:val="22"/>
                <w:szCs w:val="22"/>
              </w:rPr>
              <w:t xml:space="preserve"> odst. 4</w:t>
            </w:r>
          </w:p>
        </w:tc>
        <w:tc>
          <w:tcPr>
            <w:tcW w:w="1644" w:type="pct"/>
            <w:tcBorders>
              <w:top w:val="single" w:sz="4" w:space="0" w:color="auto"/>
              <w:left w:val="single" w:sz="4" w:space="0" w:color="auto"/>
              <w:bottom w:val="single" w:sz="4" w:space="0" w:color="auto"/>
              <w:right w:val="single" w:sz="4" w:space="0" w:color="auto"/>
            </w:tcBorders>
          </w:tcPr>
          <w:p w14:paraId="1CB1D142" w14:textId="2F5D7D50" w:rsidR="003A5A4B" w:rsidRPr="00C5124A" w:rsidRDefault="004A4E59" w:rsidP="004A4E59">
            <w:pPr>
              <w:jc w:val="both"/>
              <w:rPr>
                <w:sz w:val="22"/>
                <w:szCs w:val="22"/>
              </w:rPr>
            </w:pPr>
            <w:r w:rsidRPr="00C5124A">
              <w:t>(4) Ministerstvo vnitra může stanovit druhy stavebních prací, na které subjekt veřejného sektoru vlastnící nebo ovládající fyzickou infrastrukturu a provozovatel sítě neuplatní čl. 5 odst. 2 a 4 nařízení Evropského parlamentu a Rady (EU) 2024/1309</w:t>
            </w:r>
            <w:bookmarkStart w:id="12" w:name="_Hlk190350037"/>
            <w:r w:rsidRPr="00C5124A">
              <w:t>, jde-li o kritickou infrastruktur</w:t>
            </w:r>
            <w:bookmarkEnd w:id="12"/>
            <w:r w:rsidRPr="00C5124A">
              <w:t>u, a to postupem podle čl. 5 odst. 5 nařízení Evropského parlamentu a Rady (EU) 2024/1309.</w:t>
            </w:r>
          </w:p>
          <w:p w14:paraId="3565B0F0" w14:textId="6CB59A8E" w:rsidR="003A5A4B" w:rsidRPr="00C5124A" w:rsidRDefault="003A5A4B" w:rsidP="003A5A4B">
            <w:pPr>
              <w:jc w:val="both"/>
              <w:rPr>
                <w:sz w:val="22"/>
                <w:szCs w:val="22"/>
              </w:rPr>
            </w:pPr>
          </w:p>
        </w:tc>
        <w:tc>
          <w:tcPr>
            <w:tcW w:w="589" w:type="pct"/>
            <w:tcBorders>
              <w:top w:val="single" w:sz="4" w:space="0" w:color="auto"/>
              <w:left w:val="single" w:sz="4" w:space="0" w:color="auto"/>
              <w:bottom w:val="single" w:sz="4" w:space="0" w:color="auto"/>
              <w:right w:val="single" w:sz="4" w:space="0" w:color="auto"/>
            </w:tcBorders>
          </w:tcPr>
          <w:p w14:paraId="1941C97F" w14:textId="76F49B17"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BDBCC9B" w14:textId="20EEBC04" w:rsidR="003A5A4B" w:rsidRPr="00C5124A" w:rsidRDefault="003A5A4B" w:rsidP="003A5A4B">
            <w:pPr>
              <w:ind w:left="53"/>
              <w:rPr>
                <w:bCs/>
                <w:sz w:val="22"/>
                <w:szCs w:val="22"/>
              </w:rPr>
            </w:pPr>
            <w:r w:rsidRPr="00C5124A">
              <w:rPr>
                <w:bCs/>
                <w:sz w:val="22"/>
                <w:szCs w:val="22"/>
              </w:rPr>
              <w:t>čl. 5 odst. 5</w:t>
            </w:r>
          </w:p>
        </w:tc>
        <w:tc>
          <w:tcPr>
            <w:tcW w:w="1304" w:type="pct"/>
            <w:tcBorders>
              <w:top w:val="single" w:sz="4" w:space="0" w:color="auto"/>
              <w:left w:val="single" w:sz="4" w:space="0" w:color="auto"/>
              <w:bottom w:val="single" w:sz="4" w:space="0" w:color="auto"/>
              <w:right w:val="single" w:sz="4" w:space="0" w:color="auto"/>
            </w:tcBorders>
          </w:tcPr>
          <w:p w14:paraId="19DF0DF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5.   Členské státy mohou na základě řádně opodstatněných a přiměřených důvodů identifikovat druhy stavebních prací považovaných za práce omezeného rozsahu, pokud jde o hodnotu, velikost nebo trvání, nebo týkajících se vnitrostátní kritické infrastruktury, které by mohly být vyňaty z povinnosti koordinovat stavební práce podle odstavce 2. Odůvodnění, kritéria a podmínky pro uplatnění výjimek na tyto druhy stavebních prací se zveřejní </w:t>
            </w:r>
            <w:r w:rsidRPr="00C5124A">
              <w:rPr>
                <w:color w:val="333333"/>
                <w:sz w:val="22"/>
                <w:szCs w:val="22"/>
              </w:rPr>
              <w:lastRenderedPageBreak/>
              <w:t>prostřednictvím jednotného informačního místa.</w:t>
            </w:r>
          </w:p>
          <w:p w14:paraId="1D27EAF1"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1F6CDF18"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rozhodnout, že subjekty veřejného sektoru vlastnící nebo ovládající fyzickou infrastrukturu a provozovatelé sítě neuplatňují odstavce 2 a 4 v případě stavebních prací týkajících se vnitrostátní kritické infrastruktury nebo z důvodů národní bezpečnosti identifikovaných členskými státy podle prvního pododstavce tohoto odstavce.</w:t>
            </w:r>
          </w:p>
          <w:p w14:paraId="0A450405" w14:textId="2EB75065"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Subjekty veřejného sektoru vlastnící nebo ovládající fyzickou infrastrukturu a provozovatelé sítě se mohou rozhodnout neuplatňovat odstavce 2 a 4 na druhy prací, které členské státy identifikují jako práce omezeného rozsahu podle prvního pododstavce tohoto odstavce.</w:t>
            </w:r>
          </w:p>
        </w:tc>
      </w:tr>
      <w:tr w:rsidR="003A5A4B" w:rsidRPr="00C5124A" w14:paraId="5CE0F982" w14:textId="77777777" w:rsidTr="00B563D5">
        <w:tc>
          <w:tcPr>
            <w:tcW w:w="887" w:type="pct"/>
            <w:tcBorders>
              <w:top w:val="single" w:sz="4" w:space="0" w:color="auto"/>
              <w:left w:val="single" w:sz="4" w:space="0" w:color="auto"/>
              <w:bottom w:val="single" w:sz="4" w:space="0" w:color="auto"/>
              <w:right w:val="single" w:sz="4" w:space="0" w:color="auto"/>
            </w:tcBorders>
          </w:tcPr>
          <w:p w14:paraId="0AEA0F50" w14:textId="77BA71E2"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4A4E59" w:rsidRPr="00C5124A">
              <w:rPr>
                <w:bCs/>
                <w:sz w:val="22"/>
                <w:szCs w:val="22"/>
              </w:rPr>
              <w:t>7</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7509B822" w14:textId="261603AD" w:rsidR="003A5A4B" w:rsidRPr="00C5124A" w:rsidRDefault="004A4E59" w:rsidP="004A4E59">
            <w:pPr>
              <w:pStyle w:val="Odstavecseseznamem"/>
              <w:numPr>
                <w:ilvl w:val="0"/>
                <w:numId w:val="27"/>
              </w:numPr>
              <w:ind w:left="62" w:hanging="62"/>
            </w:pPr>
            <w:r w:rsidRPr="00C5124A">
              <w:t>Provozovatel sítě a subjekt veřejného sektoru vlastnící nebo ovládající fyzickou infrastrukturu zajistí povinnost podle čl. 6 odst. 1 nařízení Evropského parlamentu a Rady (EU) 2024/1309 tím, že zapíše minimální informace o plánovaných stavebních pracích, které mají být obsahem digitální technické mapy kraje, do neveřejné části digitální technické mapy kraje</w:t>
            </w:r>
            <w:r w:rsidRPr="00C5124A">
              <w:rPr>
                <w:vertAlign w:val="superscript"/>
              </w:rPr>
              <w:t>2)</w:t>
            </w:r>
            <w:r w:rsidRPr="00C5124A">
              <w:t xml:space="preserve"> bez zbytečného odkladu</w:t>
            </w:r>
            <w:r w:rsidRPr="00C5124A" w:rsidDel="001249BC">
              <w:t xml:space="preserve"> </w:t>
            </w:r>
            <w:r w:rsidRPr="00C5124A">
              <w:t>po zahájení přípravy stavby, a to do 5 pracovních dnů ode dne, kdy má informaci k dispozici</w:t>
            </w:r>
            <w:r w:rsidRPr="00C5124A">
              <w:rPr>
                <w:b/>
                <w:bCs/>
              </w:rPr>
              <w:t xml:space="preserve">, </w:t>
            </w:r>
            <w:r w:rsidRPr="00C5124A">
              <w:t xml:space="preserve">nejpozději však 2 </w:t>
            </w:r>
            <w:r w:rsidRPr="00C5124A">
              <w:lastRenderedPageBreak/>
              <w:t>měsíce před prvním podáním žádosti o povolení záměru</w:t>
            </w:r>
            <w:r w:rsidRPr="00C5124A">
              <w:rPr>
                <w:szCs w:val="24"/>
                <w:vertAlign w:val="superscript"/>
              </w:rPr>
              <w:t>5</w:t>
            </w:r>
            <w:r w:rsidRPr="00C5124A">
              <w:rPr>
                <w:rStyle w:val="Znakapoznpodarou"/>
                <w:szCs w:val="24"/>
              </w:rPr>
              <w:t>)</w:t>
            </w:r>
            <w:r w:rsidRPr="00C5124A">
              <w:t>, nebo u staveb a stavebních činností, které nevyžadují povolení záměru, do 1 měsíce před zahájením stavebních prací.</w:t>
            </w:r>
          </w:p>
          <w:p w14:paraId="505A2FC0" w14:textId="6F06FF93" w:rsidR="004A4E59" w:rsidRPr="00C5124A" w:rsidRDefault="004A4E59" w:rsidP="004A4E59">
            <w:pPr>
              <w:rPr>
                <w:sz w:val="22"/>
                <w:vertAlign w:val="superscript"/>
              </w:rPr>
            </w:pPr>
            <w:r w:rsidRPr="00C5124A">
              <w:rPr>
                <w:sz w:val="22"/>
                <w:vertAlign w:val="superscript"/>
              </w:rPr>
              <w:t>5)</w:t>
            </w:r>
            <w:r w:rsidRPr="00C5124A">
              <w:rPr>
                <w:sz w:val="20"/>
                <w:szCs w:val="20"/>
                <w:vertAlign w:val="superscript"/>
              </w:rPr>
              <w:t xml:space="preserve"> </w:t>
            </w:r>
            <w:bookmarkStart w:id="13" w:name="_Hlk191038788"/>
            <w:r w:rsidRPr="00C5124A">
              <w:rPr>
                <w:sz w:val="20"/>
                <w:szCs w:val="20"/>
              </w:rPr>
              <w:t>§ 171 zákona č. 283/2021 Sb., stavební zákon, ve znění pozdějších předpisů.</w:t>
            </w:r>
            <w:bookmarkEnd w:id="13"/>
          </w:p>
        </w:tc>
        <w:tc>
          <w:tcPr>
            <w:tcW w:w="589" w:type="pct"/>
            <w:tcBorders>
              <w:top w:val="single" w:sz="4" w:space="0" w:color="auto"/>
              <w:left w:val="single" w:sz="4" w:space="0" w:color="auto"/>
              <w:bottom w:val="single" w:sz="4" w:space="0" w:color="auto"/>
              <w:right w:val="single" w:sz="4" w:space="0" w:color="auto"/>
            </w:tcBorders>
          </w:tcPr>
          <w:p w14:paraId="2EE6C1BA" w14:textId="2F158A48"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65A2C267" w14:textId="5684941B" w:rsidR="003A5A4B" w:rsidRPr="00C5124A" w:rsidRDefault="003A5A4B" w:rsidP="003A5A4B">
            <w:pPr>
              <w:ind w:left="53"/>
              <w:rPr>
                <w:bCs/>
                <w:sz w:val="22"/>
                <w:szCs w:val="22"/>
              </w:rPr>
            </w:pPr>
            <w:r w:rsidRPr="00C5124A">
              <w:rPr>
                <w:bCs/>
                <w:sz w:val="22"/>
                <w:szCs w:val="22"/>
              </w:rPr>
              <w:t>čl. 6 odst. 1</w:t>
            </w:r>
          </w:p>
        </w:tc>
        <w:tc>
          <w:tcPr>
            <w:tcW w:w="1304" w:type="pct"/>
            <w:tcBorders>
              <w:top w:val="single" w:sz="4" w:space="0" w:color="auto"/>
              <w:left w:val="single" w:sz="4" w:space="0" w:color="auto"/>
              <w:bottom w:val="single" w:sz="4" w:space="0" w:color="auto"/>
              <w:right w:val="single" w:sz="4" w:space="0" w:color="auto"/>
            </w:tcBorders>
          </w:tcPr>
          <w:p w14:paraId="3C0D408E"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S cílem umožnit sjednávání dohod o koordinaci stavebních prací uvedených v článku 5 zpřístupní kterýkoli provozovatel sítě a subjekty veřejného sektoru vlastnící nebo ovládající fyzickou infrastrukturu následující minimální informace v elektronické podobě prostřednictvím jednotného informačního místa:</w:t>
            </w:r>
          </w:p>
          <w:tbl>
            <w:tblPr>
              <w:tblW w:w="5000" w:type="pct"/>
              <w:shd w:val="clear" w:color="auto" w:fill="FFFFFF"/>
              <w:tblCellMar>
                <w:left w:w="0" w:type="dxa"/>
                <w:right w:w="0" w:type="dxa"/>
              </w:tblCellMar>
              <w:tblLook w:val="04A0" w:firstRow="1" w:lastRow="0" w:firstColumn="1" w:lastColumn="0" w:noHBand="0" w:noVBand="1"/>
            </w:tblPr>
            <w:tblGrid>
              <w:gridCol w:w="235"/>
              <w:gridCol w:w="3405"/>
            </w:tblGrid>
            <w:tr w:rsidR="003A5A4B" w:rsidRPr="00C5124A" w14:paraId="187B4354" w14:textId="77777777" w:rsidTr="000361A5">
              <w:tc>
                <w:tcPr>
                  <w:tcW w:w="418" w:type="dxa"/>
                  <w:shd w:val="clear" w:color="auto" w:fill="FFFFFF"/>
                  <w:hideMark/>
                </w:tcPr>
                <w:p w14:paraId="6372573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654" w:type="dxa"/>
                  <w:shd w:val="clear" w:color="auto" w:fill="FFFFFF"/>
                  <w:hideMark/>
                </w:tcPr>
                <w:p w14:paraId="348975DC"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druh prací;</w:t>
                  </w:r>
                </w:p>
              </w:tc>
            </w:tr>
          </w:tbl>
          <w:p w14:paraId="4BD2AF27"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9"/>
              <w:gridCol w:w="3371"/>
            </w:tblGrid>
            <w:tr w:rsidR="003A5A4B" w:rsidRPr="00C5124A" w14:paraId="67C20708" w14:textId="77777777" w:rsidTr="000361A5">
              <w:tc>
                <w:tcPr>
                  <w:tcW w:w="480" w:type="dxa"/>
                  <w:shd w:val="clear" w:color="auto" w:fill="FFFFFF"/>
                  <w:hideMark/>
                </w:tcPr>
                <w:p w14:paraId="6C96498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592" w:type="dxa"/>
                  <w:shd w:val="clear" w:color="auto" w:fill="FFFFFF"/>
                  <w:hideMark/>
                </w:tcPr>
                <w:p w14:paraId="5C8EA7A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dotčené prvky fyzické infrastruktury;</w:t>
                  </w:r>
                </w:p>
              </w:tc>
            </w:tr>
          </w:tbl>
          <w:p w14:paraId="1994B08D"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07"/>
              <w:gridCol w:w="3433"/>
            </w:tblGrid>
            <w:tr w:rsidR="003A5A4B" w:rsidRPr="00C5124A" w14:paraId="36BA1D72" w14:textId="77777777" w:rsidTr="000361A5">
              <w:tc>
                <w:tcPr>
                  <w:tcW w:w="298" w:type="dxa"/>
                  <w:shd w:val="clear" w:color="auto" w:fill="FFFFFF"/>
                  <w:hideMark/>
                </w:tcPr>
                <w:p w14:paraId="7845C14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774" w:type="dxa"/>
                  <w:shd w:val="clear" w:color="auto" w:fill="FFFFFF"/>
                  <w:hideMark/>
                </w:tcPr>
                <w:p w14:paraId="27139EA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zahájení prací a dobu jejich trvání;</w:t>
                  </w:r>
                </w:p>
              </w:tc>
            </w:tr>
          </w:tbl>
          <w:p w14:paraId="1D0881C5"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3A5A4B" w:rsidRPr="00C5124A" w14:paraId="51B9269F" w14:textId="77777777" w:rsidTr="000361A5">
              <w:tc>
                <w:tcPr>
                  <w:tcW w:w="225" w:type="dxa"/>
                  <w:shd w:val="clear" w:color="auto" w:fill="FFFFFF"/>
                  <w:hideMark/>
                </w:tcPr>
                <w:p w14:paraId="6A6736D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lastRenderedPageBreak/>
                    <w:t>d</w:t>
                  </w:r>
                </w:p>
              </w:tc>
              <w:tc>
                <w:tcPr>
                  <w:tcW w:w="8847" w:type="dxa"/>
                  <w:shd w:val="clear" w:color="auto" w:fill="FFFFFF"/>
                  <w:hideMark/>
                </w:tcPr>
                <w:p w14:paraId="14B07D0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předložení konečného projektu příslušným orgánům pro udělení povolení, je-li to relevantní;</w:t>
                  </w:r>
                </w:p>
              </w:tc>
            </w:tr>
          </w:tbl>
          <w:p w14:paraId="470B7AA0"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1F04E2F9" w14:textId="77777777" w:rsidTr="000361A5">
              <w:tc>
                <w:tcPr>
                  <w:tcW w:w="970" w:type="dxa"/>
                  <w:shd w:val="clear" w:color="auto" w:fill="FFFFFF"/>
                  <w:hideMark/>
                </w:tcPr>
                <w:p w14:paraId="1E6C364D"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102" w:type="dxa"/>
                  <w:shd w:val="clear" w:color="auto" w:fill="FFFFFF"/>
                  <w:hideMark/>
                </w:tcPr>
                <w:p w14:paraId="386BEA3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19843DA1"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Provozovatel sítě a subjekt veřejného sektoru vlastnící nebo ovládající fyzickou infrastrukturu zajistí, aby informace uvedené v prvním pododstavci pro plánované stavební práce související s jeho fyzickou infrastrukturou byly správné a aktuální a byly neprodleně zpřístupněny prostřednictvím jednotného informačního místa, jakmile má provozovatel sítě tyto informace k dispozici pro své stavební práce plánované na následujících šest měsíců a v každém případě tehdy, když se předpokládá udělení povolení, nejpozději dva měsíce před prvním podáním žádosti o povolení příslušným orgánům.</w:t>
            </w:r>
          </w:p>
          <w:p w14:paraId="3008CE59" w14:textId="013D14CC"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Operátoři mají na základě odůvodněné žádosti právo na přístup k minimálním informacím uvedeným v prvním pododstavci v elektronické podobě prostřednictvím jednotného informačního místa, přičemž specifikují oblast, v níž plánují budování prvků sítí VHCN nebo přiřazených zařízení. Požadované informace musí být poskytnuty do deseti pracovních dnů ode dne obdržení žádosti o přístup k informacím za přiměřených, nediskriminačních a transparentních podmínek. V řádně odůvodněných případech může být tato lhůta </w:t>
            </w:r>
            <w:r w:rsidRPr="00C5124A">
              <w:rPr>
                <w:color w:val="333333"/>
                <w:sz w:val="22"/>
                <w:szCs w:val="22"/>
              </w:rPr>
              <w:lastRenderedPageBreak/>
              <w:t>jednorázově prodloužena o pět pracovních dnů. Přístup k minimálním informacím lze omezit nebo zamítnout pouze tehdy, je-li to nezbytné k zajištění bezpečnosti a integrity sítí, národní bezpečnosti, zabezpečení kritické infrastruktury, veřejného zdraví nebo bezpečnosti, nebo z důvodů důvěrnosti nebo provozního či obchodního tajemství.</w:t>
            </w:r>
          </w:p>
        </w:tc>
      </w:tr>
      <w:tr w:rsidR="003A5A4B" w:rsidRPr="00C5124A" w14:paraId="3BF28436" w14:textId="77777777" w:rsidTr="00B563D5">
        <w:tc>
          <w:tcPr>
            <w:tcW w:w="887" w:type="pct"/>
            <w:tcBorders>
              <w:top w:val="single" w:sz="4" w:space="0" w:color="auto"/>
              <w:left w:val="single" w:sz="4" w:space="0" w:color="auto"/>
              <w:bottom w:val="single" w:sz="4" w:space="0" w:color="auto"/>
              <w:right w:val="single" w:sz="4" w:space="0" w:color="auto"/>
            </w:tcBorders>
          </w:tcPr>
          <w:p w14:paraId="73F578C0" w14:textId="1B2BB4C9"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8179C3" w:rsidRPr="00C5124A">
              <w:rPr>
                <w:bCs/>
                <w:sz w:val="22"/>
                <w:szCs w:val="22"/>
              </w:rPr>
              <w:t>7</w:t>
            </w:r>
            <w:r w:rsidRPr="00C5124A">
              <w:rPr>
                <w:bCs/>
                <w:sz w:val="22"/>
                <w:szCs w:val="22"/>
              </w:rPr>
              <w:t xml:space="preserve"> odst. 2</w:t>
            </w:r>
          </w:p>
        </w:tc>
        <w:tc>
          <w:tcPr>
            <w:tcW w:w="1644" w:type="pct"/>
            <w:tcBorders>
              <w:top w:val="single" w:sz="4" w:space="0" w:color="auto"/>
              <w:left w:val="single" w:sz="4" w:space="0" w:color="auto"/>
              <w:bottom w:val="single" w:sz="4" w:space="0" w:color="auto"/>
              <w:right w:val="single" w:sz="4" w:space="0" w:color="auto"/>
            </w:tcBorders>
          </w:tcPr>
          <w:p w14:paraId="13A1EA06" w14:textId="77777777" w:rsidR="008179C3" w:rsidRPr="00C5124A" w:rsidRDefault="008179C3" w:rsidP="008179C3">
            <w:pPr>
              <w:jc w:val="both"/>
            </w:pPr>
            <w:r w:rsidRPr="00C5124A">
              <w:t xml:space="preserve">(2) </w:t>
            </w:r>
            <w:r w:rsidRPr="00C5124A">
              <w:rPr>
                <w:bCs/>
              </w:rPr>
              <w:t>Při poskytování m</w:t>
            </w:r>
            <w:r w:rsidRPr="00C5124A">
              <w:t xml:space="preserve">inimálních informací uvedených v </w:t>
            </w:r>
            <w:bookmarkStart w:id="14" w:name="_Hlk193372186"/>
            <w:r w:rsidRPr="00C5124A">
              <w:t>čl. 6 odst. 1 nařízení Evropského parlamentu a Rady (EU) 2024/1309</w:t>
            </w:r>
            <w:bookmarkEnd w:id="14"/>
            <w:r w:rsidRPr="00C5124A">
              <w:t xml:space="preserve">, se rozumí </w:t>
            </w:r>
          </w:p>
          <w:p w14:paraId="459B92BD" w14:textId="77777777" w:rsidR="008179C3" w:rsidRPr="00C5124A" w:rsidRDefault="008179C3" w:rsidP="008179C3">
            <w:pPr>
              <w:jc w:val="both"/>
              <w:rPr>
                <w:bCs/>
              </w:rPr>
            </w:pPr>
            <w:r w:rsidRPr="00C5124A">
              <w:rPr>
                <w:bCs/>
              </w:rPr>
              <w:t xml:space="preserve">a) druhem stavebních prací </w:t>
            </w:r>
            <w:r w:rsidRPr="00C5124A">
              <w:t xml:space="preserve">podle </w:t>
            </w:r>
            <w:r w:rsidRPr="00C5124A">
              <w:rPr>
                <w:bCs/>
              </w:rPr>
              <w:t xml:space="preserve">čl. 6 odst. 1 písm. a) nařízení Evropského parlamentu a Rady (EU) 2024/1309 alespoň údaj o tom, zda se jedná o stavební práce podzemní nebo nadzemní, </w:t>
            </w:r>
          </w:p>
          <w:p w14:paraId="2B264F0B" w14:textId="7C593D17" w:rsidR="003A5A4B" w:rsidRPr="00C5124A" w:rsidRDefault="008179C3" w:rsidP="008179C3">
            <w:pPr>
              <w:jc w:val="both"/>
              <w:rPr>
                <w:sz w:val="22"/>
                <w:szCs w:val="22"/>
              </w:rPr>
            </w:pPr>
            <w:r w:rsidRPr="00C5124A">
              <w:rPr>
                <w:bCs/>
              </w:rPr>
              <w:t>b) dotčenými prvky fyzické infrastruktury druhy objektů vedené v digitální technické mapě kraje.</w:t>
            </w:r>
          </w:p>
        </w:tc>
        <w:tc>
          <w:tcPr>
            <w:tcW w:w="589" w:type="pct"/>
            <w:tcBorders>
              <w:top w:val="single" w:sz="4" w:space="0" w:color="auto"/>
              <w:left w:val="single" w:sz="4" w:space="0" w:color="auto"/>
              <w:bottom w:val="single" w:sz="4" w:space="0" w:color="auto"/>
              <w:right w:val="single" w:sz="4" w:space="0" w:color="auto"/>
            </w:tcBorders>
          </w:tcPr>
          <w:p w14:paraId="77B3250C" w14:textId="5D9C07AE"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EA12536" w14:textId="15E964D6" w:rsidR="003A5A4B" w:rsidRPr="00C5124A" w:rsidRDefault="003A5A4B" w:rsidP="003A5A4B">
            <w:pPr>
              <w:ind w:left="53"/>
              <w:rPr>
                <w:bCs/>
                <w:sz w:val="22"/>
                <w:szCs w:val="22"/>
              </w:rPr>
            </w:pPr>
            <w:r w:rsidRPr="00C5124A">
              <w:rPr>
                <w:bCs/>
                <w:sz w:val="22"/>
                <w:szCs w:val="22"/>
              </w:rPr>
              <w:t>čl. 6 odst. 1</w:t>
            </w:r>
          </w:p>
        </w:tc>
        <w:tc>
          <w:tcPr>
            <w:tcW w:w="1304" w:type="pct"/>
            <w:tcBorders>
              <w:top w:val="single" w:sz="4" w:space="0" w:color="auto"/>
              <w:left w:val="single" w:sz="4" w:space="0" w:color="auto"/>
              <w:bottom w:val="single" w:sz="4" w:space="0" w:color="auto"/>
              <w:right w:val="single" w:sz="4" w:space="0" w:color="auto"/>
            </w:tcBorders>
          </w:tcPr>
          <w:p w14:paraId="78DAFCF4"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S cílem umožnit sjednávání dohod o koordinaci stavebních prací uvedených v článku 5 zpřístupní kterýkoli provozovatel sítě a subjekty veřejného sektoru vlastnící nebo ovládající fyzickou infrastrukturu následující minimální informace v elektronické podobě prostřednictvím jednotného informačního místa:</w:t>
            </w:r>
          </w:p>
          <w:tbl>
            <w:tblPr>
              <w:tblW w:w="5000" w:type="pct"/>
              <w:shd w:val="clear" w:color="auto" w:fill="FFFFFF"/>
              <w:tblCellMar>
                <w:left w:w="0" w:type="dxa"/>
                <w:right w:w="0" w:type="dxa"/>
              </w:tblCellMar>
              <w:tblLook w:val="04A0" w:firstRow="1" w:lastRow="0" w:firstColumn="1" w:lastColumn="0" w:noHBand="0" w:noVBand="1"/>
            </w:tblPr>
            <w:tblGrid>
              <w:gridCol w:w="235"/>
              <w:gridCol w:w="3405"/>
            </w:tblGrid>
            <w:tr w:rsidR="003A5A4B" w:rsidRPr="00C5124A" w14:paraId="5F8899F0" w14:textId="77777777" w:rsidTr="00350AD8">
              <w:tc>
                <w:tcPr>
                  <w:tcW w:w="418" w:type="dxa"/>
                  <w:shd w:val="clear" w:color="auto" w:fill="FFFFFF"/>
                  <w:hideMark/>
                </w:tcPr>
                <w:p w14:paraId="0427162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654" w:type="dxa"/>
                  <w:shd w:val="clear" w:color="auto" w:fill="FFFFFF"/>
                  <w:hideMark/>
                </w:tcPr>
                <w:p w14:paraId="6A8A87CC"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druh prací;</w:t>
                  </w:r>
                </w:p>
              </w:tc>
            </w:tr>
          </w:tbl>
          <w:p w14:paraId="16867D8F"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9"/>
              <w:gridCol w:w="3371"/>
            </w:tblGrid>
            <w:tr w:rsidR="003A5A4B" w:rsidRPr="00C5124A" w14:paraId="3DE21168" w14:textId="77777777" w:rsidTr="00350AD8">
              <w:tc>
                <w:tcPr>
                  <w:tcW w:w="480" w:type="dxa"/>
                  <w:shd w:val="clear" w:color="auto" w:fill="FFFFFF"/>
                  <w:hideMark/>
                </w:tcPr>
                <w:p w14:paraId="408B839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592" w:type="dxa"/>
                  <w:shd w:val="clear" w:color="auto" w:fill="FFFFFF"/>
                  <w:hideMark/>
                </w:tcPr>
                <w:p w14:paraId="4344B50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dotčené prvky fyzické infrastruktury;</w:t>
                  </w:r>
                </w:p>
              </w:tc>
            </w:tr>
          </w:tbl>
          <w:p w14:paraId="24C29547"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07"/>
              <w:gridCol w:w="3433"/>
            </w:tblGrid>
            <w:tr w:rsidR="003A5A4B" w:rsidRPr="00C5124A" w14:paraId="602CCED5" w14:textId="77777777" w:rsidTr="00350AD8">
              <w:tc>
                <w:tcPr>
                  <w:tcW w:w="298" w:type="dxa"/>
                  <w:shd w:val="clear" w:color="auto" w:fill="FFFFFF"/>
                  <w:hideMark/>
                </w:tcPr>
                <w:p w14:paraId="57E59E1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774" w:type="dxa"/>
                  <w:shd w:val="clear" w:color="auto" w:fill="FFFFFF"/>
                  <w:hideMark/>
                </w:tcPr>
                <w:p w14:paraId="1EEF5F6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zahájení prací a dobu jejich trvání;</w:t>
                  </w:r>
                </w:p>
              </w:tc>
            </w:tr>
          </w:tbl>
          <w:p w14:paraId="3207B359"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3A5A4B" w:rsidRPr="00C5124A" w14:paraId="76BBE50E" w14:textId="77777777" w:rsidTr="00350AD8">
              <w:tc>
                <w:tcPr>
                  <w:tcW w:w="225" w:type="dxa"/>
                  <w:shd w:val="clear" w:color="auto" w:fill="FFFFFF"/>
                  <w:hideMark/>
                </w:tcPr>
                <w:p w14:paraId="6C781B5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56BEF4A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předložení konečného projektu příslušným orgánům pro udělení povolení, je-li to relevantní;</w:t>
                  </w:r>
                </w:p>
              </w:tc>
            </w:tr>
          </w:tbl>
          <w:p w14:paraId="214F541B"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2E5B5D8A" w14:textId="77777777" w:rsidTr="00350AD8">
              <w:tc>
                <w:tcPr>
                  <w:tcW w:w="970" w:type="dxa"/>
                  <w:shd w:val="clear" w:color="auto" w:fill="FFFFFF"/>
                  <w:hideMark/>
                </w:tcPr>
                <w:p w14:paraId="7B5A59C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102" w:type="dxa"/>
                  <w:shd w:val="clear" w:color="auto" w:fill="FFFFFF"/>
                  <w:hideMark/>
                </w:tcPr>
                <w:p w14:paraId="5432726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0220509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Provozovatel sítě a subjekt veřejného sektoru vlastnící nebo ovládající fyzickou infrastrukturu zajistí, aby informace uvedené v prvním pododstavci pro plánované stavební práce související s jeho fyzickou infrastrukturou byly </w:t>
            </w:r>
            <w:r w:rsidRPr="00C5124A">
              <w:rPr>
                <w:color w:val="333333"/>
                <w:sz w:val="22"/>
                <w:szCs w:val="22"/>
              </w:rPr>
              <w:lastRenderedPageBreak/>
              <w:t>správné a aktuální a byly neprodleně zpřístupněny prostřednictvím jednotného informačního místa, jakmile má provozovatel sítě tyto informace k dispozici pro své stavební práce plánované na následujících šest měsíců a v každém případě tehdy, když se předpokládá udělení povolení, nejpozději dva měsíce před prvním podáním žádosti o povolení příslušným orgánům.</w:t>
            </w:r>
          </w:p>
          <w:p w14:paraId="771D5929" w14:textId="2CC0D2C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Operátoři mají na základě odůvodněné žádosti právo na přístup k minimálním informacím uvedeným v prvním pododstavci v elektronické podobě prostřednictvím jednotného informačního místa, přičemž specifikují oblast, v níž plánují budování prvků sítí VHCN nebo přiřazených zařízení. Požadované informace musí být poskytnuty do deseti pracovních dnů ode dne obdržení žádosti o přístup k informacím za přiměřených, nediskriminačních a transparentních podmínek. V řádně odůvodněných případech může být tato lhůta jednorázově prodloužena o pět pracovních dnů. Přístup k minimálním informacím lze omezit nebo zamítnout pouze tehdy, je-li to nezbytné k zajištění bezpečnosti a integrity sítí, národní bezpečnosti, zabezpečení kritické infrastruktury, veřejného zdraví nebo bezpečnosti, nebo z důvodů důvěrnosti nebo provozního či obchodního tajemství.</w:t>
            </w:r>
          </w:p>
        </w:tc>
      </w:tr>
      <w:tr w:rsidR="003A5A4B" w:rsidRPr="00C5124A" w14:paraId="7B0FFC84" w14:textId="77777777" w:rsidTr="00B563D5">
        <w:tc>
          <w:tcPr>
            <w:tcW w:w="887" w:type="pct"/>
            <w:tcBorders>
              <w:top w:val="single" w:sz="4" w:space="0" w:color="auto"/>
              <w:left w:val="single" w:sz="4" w:space="0" w:color="auto"/>
              <w:bottom w:val="single" w:sz="4" w:space="0" w:color="auto"/>
              <w:right w:val="single" w:sz="4" w:space="0" w:color="auto"/>
            </w:tcBorders>
          </w:tcPr>
          <w:p w14:paraId="4F455359" w14:textId="3298FD17"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8179C3" w:rsidRPr="00C5124A">
              <w:rPr>
                <w:bCs/>
                <w:sz w:val="22"/>
                <w:szCs w:val="22"/>
              </w:rPr>
              <w:t>7</w:t>
            </w:r>
            <w:r w:rsidRPr="00C5124A">
              <w:rPr>
                <w:bCs/>
                <w:sz w:val="22"/>
                <w:szCs w:val="22"/>
              </w:rPr>
              <w:t xml:space="preserve"> odst. 3</w:t>
            </w:r>
          </w:p>
        </w:tc>
        <w:tc>
          <w:tcPr>
            <w:tcW w:w="1644" w:type="pct"/>
            <w:tcBorders>
              <w:top w:val="single" w:sz="4" w:space="0" w:color="auto"/>
              <w:left w:val="single" w:sz="4" w:space="0" w:color="auto"/>
              <w:bottom w:val="single" w:sz="4" w:space="0" w:color="auto"/>
              <w:right w:val="single" w:sz="4" w:space="0" w:color="auto"/>
            </w:tcBorders>
          </w:tcPr>
          <w:p w14:paraId="57C69EA0" w14:textId="77777777" w:rsidR="008179C3" w:rsidRPr="00C5124A" w:rsidRDefault="008179C3" w:rsidP="008179C3">
            <w:pPr>
              <w:jc w:val="both"/>
              <w:rPr>
                <w:bCs/>
              </w:rPr>
            </w:pPr>
            <w:r w:rsidRPr="00C5124A">
              <w:t>(3) Minimálními informacemi, kromě informací uvedených v čl. 6 odst. 1 nařízení Evropského parlamentu a Rady (EU) 2024/1309, je také</w:t>
            </w:r>
            <w:r w:rsidRPr="00C5124A">
              <w:rPr>
                <w:bCs/>
              </w:rPr>
              <w:t xml:space="preserve"> </w:t>
            </w:r>
          </w:p>
          <w:p w14:paraId="79C051DD" w14:textId="77777777" w:rsidR="008179C3" w:rsidRPr="00C5124A" w:rsidRDefault="008179C3" w:rsidP="008179C3">
            <w:pPr>
              <w:jc w:val="both"/>
            </w:pPr>
            <w:r w:rsidRPr="00C5124A">
              <w:rPr>
                <w:bCs/>
              </w:rPr>
              <w:t>a) údaj</w:t>
            </w:r>
            <w:r w:rsidRPr="00C5124A">
              <w:t>, zda se jedná o stavbu financovanou zcela nebo zčásti z veřejných prostředků,</w:t>
            </w:r>
          </w:p>
          <w:p w14:paraId="62118125" w14:textId="77777777" w:rsidR="008179C3" w:rsidRPr="00C5124A" w:rsidRDefault="008179C3" w:rsidP="008179C3">
            <w:pPr>
              <w:jc w:val="both"/>
            </w:pPr>
            <w:r w:rsidRPr="00C5124A">
              <w:t>b) datum podání žádosti o povolení záměru, byla-li žádost podána a</w:t>
            </w:r>
          </w:p>
          <w:p w14:paraId="2D32CCB1" w14:textId="54945E01" w:rsidR="003A5A4B" w:rsidRPr="00C5124A" w:rsidRDefault="008179C3" w:rsidP="008179C3">
            <w:pPr>
              <w:jc w:val="both"/>
              <w:rPr>
                <w:sz w:val="22"/>
                <w:szCs w:val="22"/>
              </w:rPr>
            </w:pPr>
            <w:r w:rsidRPr="00C5124A">
              <w:t>c) identifikační číslo stavby, bylo-li jí přiděleno.</w:t>
            </w:r>
          </w:p>
          <w:p w14:paraId="319B50A7" w14:textId="10E38057" w:rsidR="003A5A4B" w:rsidRPr="00C5124A" w:rsidRDefault="003A5A4B" w:rsidP="003A5A4B">
            <w:pPr>
              <w:jc w:val="both"/>
              <w:rPr>
                <w:sz w:val="22"/>
                <w:szCs w:val="22"/>
              </w:rPr>
            </w:pPr>
          </w:p>
        </w:tc>
        <w:tc>
          <w:tcPr>
            <w:tcW w:w="589" w:type="pct"/>
            <w:tcBorders>
              <w:top w:val="single" w:sz="4" w:space="0" w:color="auto"/>
              <w:left w:val="single" w:sz="4" w:space="0" w:color="auto"/>
              <w:bottom w:val="single" w:sz="4" w:space="0" w:color="auto"/>
              <w:right w:val="single" w:sz="4" w:space="0" w:color="auto"/>
            </w:tcBorders>
          </w:tcPr>
          <w:p w14:paraId="2E71EFE9" w14:textId="4AC5EA8F"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40D7DEE" w14:textId="08219CC5" w:rsidR="003A5A4B" w:rsidRPr="00C5124A" w:rsidRDefault="003A5A4B" w:rsidP="003A5A4B">
            <w:pPr>
              <w:ind w:left="53"/>
              <w:rPr>
                <w:bCs/>
                <w:sz w:val="22"/>
                <w:szCs w:val="22"/>
              </w:rPr>
            </w:pPr>
            <w:r w:rsidRPr="00C5124A">
              <w:rPr>
                <w:bCs/>
                <w:sz w:val="22"/>
                <w:szCs w:val="22"/>
              </w:rPr>
              <w:t>čl. 6 odst. 1</w:t>
            </w:r>
          </w:p>
        </w:tc>
        <w:tc>
          <w:tcPr>
            <w:tcW w:w="1304" w:type="pct"/>
            <w:tcBorders>
              <w:top w:val="single" w:sz="4" w:space="0" w:color="auto"/>
              <w:left w:val="single" w:sz="4" w:space="0" w:color="auto"/>
              <w:bottom w:val="single" w:sz="4" w:space="0" w:color="auto"/>
              <w:right w:val="single" w:sz="4" w:space="0" w:color="auto"/>
            </w:tcBorders>
          </w:tcPr>
          <w:p w14:paraId="7E1EA3B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S cílem umožnit sjednávání dohod o koordinaci stavebních prací uvedených v článku 5 zpřístupní kterýkoli provozovatel sítě a subjekty veřejného sektoru vlastnící nebo ovládající fyzickou infrastrukturu následující minimální informace v elektronické podobě prostřednictvím jednotného informačního místa:</w:t>
            </w:r>
          </w:p>
          <w:tbl>
            <w:tblPr>
              <w:tblW w:w="5000" w:type="pct"/>
              <w:shd w:val="clear" w:color="auto" w:fill="FFFFFF"/>
              <w:tblCellMar>
                <w:left w:w="0" w:type="dxa"/>
                <w:right w:w="0" w:type="dxa"/>
              </w:tblCellMar>
              <w:tblLook w:val="04A0" w:firstRow="1" w:lastRow="0" w:firstColumn="1" w:lastColumn="0" w:noHBand="0" w:noVBand="1"/>
            </w:tblPr>
            <w:tblGrid>
              <w:gridCol w:w="235"/>
              <w:gridCol w:w="3405"/>
            </w:tblGrid>
            <w:tr w:rsidR="003A5A4B" w:rsidRPr="00C5124A" w14:paraId="3496377F" w14:textId="77777777" w:rsidTr="00D92683">
              <w:tc>
                <w:tcPr>
                  <w:tcW w:w="418" w:type="dxa"/>
                  <w:shd w:val="clear" w:color="auto" w:fill="FFFFFF"/>
                  <w:hideMark/>
                </w:tcPr>
                <w:p w14:paraId="787ADC1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654" w:type="dxa"/>
                  <w:shd w:val="clear" w:color="auto" w:fill="FFFFFF"/>
                  <w:hideMark/>
                </w:tcPr>
                <w:p w14:paraId="1C599AD9"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druh prací;</w:t>
                  </w:r>
                </w:p>
              </w:tc>
            </w:tr>
          </w:tbl>
          <w:p w14:paraId="01DBD39D"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9"/>
              <w:gridCol w:w="3371"/>
            </w:tblGrid>
            <w:tr w:rsidR="003A5A4B" w:rsidRPr="00C5124A" w14:paraId="61E6CA23" w14:textId="77777777" w:rsidTr="00D92683">
              <w:tc>
                <w:tcPr>
                  <w:tcW w:w="480" w:type="dxa"/>
                  <w:shd w:val="clear" w:color="auto" w:fill="FFFFFF"/>
                  <w:hideMark/>
                </w:tcPr>
                <w:p w14:paraId="6951E4A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592" w:type="dxa"/>
                  <w:shd w:val="clear" w:color="auto" w:fill="FFFFFF"/>
                  <w:hideMark/>
                </w:tcPr>
                <w:p w14:paraId="05BDEAD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dotčené prvky fyzické infrastruktury;</w:t>
                  </w:r>
                </w:p>
              </w:tc>
            </w:tr>
          </w:tbl>
          <w:p w14:paraId="6DE59BF8"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07"/>
              <w:gridCol w:w="3433"/>
            </w:tblGrid>
            <w:tr w:rsidR="003A5A4B" w:rsidRPr="00C5124A" w14:paraId="2D654ACF" w14:textId="77777777" w:rsidTr="00D92683">
              <w:tc>
                <w:tcPr>
                  <w:tcW w:w="298" w:type="dxa"/>
                  <w:shd w:val="clear" w:color="auto" w:fill="FFFFFF"/>
                  <w:hideMark/>
                </w:tcPr>
                <w:p w14:paraId="1C9D719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774" w:type="dxa"/>
                  <w:shd w:val="clear" w:color="auto" w:fill="FFFFFF"/>
                  <w:hideMark/>
                </w:tcPr>
                <w:p w14:paraId="5F1B179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zahájení prací a dobu jejich trvání;</w:t>
                  </w:r>
                </w:p>
              </w:tc>
            </w:tr>
          </w:tbl>
          <w:p w14:paraId="21F3B534"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3A5A4B" w:rsidRPr="00C5124A" w14:paraId="78E450C1" w14:textId="77777777" w:rsidTr="00D92683">
              <w:tc>
                <w:tcPr>
                  <w:tcW w:w="225" w:type="dxa"/>
                  <w:shd w:val="clear" w:color="auto" w:fill="FFFFFF"/>
                  <w:hideMark/>
                </w:tcPr>
                <w:p w14:paraId="1D7B42B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1CBC2501"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předložení konečného projektu příslušným orgánům pro udělení povolení, je-li to relevantní;</w:t>
                  </w:r>
                </w:p>
              </w:tc>
            </w:tr>
          </w:tbl>
          <w:p w14:paraId="69FB018F"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151AC945" w14:textId="77777777" w:rsidTr="00D92683">
              <w:tc>
                <w:tcPr>
                  <w:tcW w:w="970" w:type="dxa"/>
                  <w:shd w:val="clear" w:color="auto" w:fill="FFFFFF"/>
                  <w:hideMark/>
                </w:tcPr>
                <w:p w14:paraId="5D77B81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102" w:type="dxa"/>
                  <w:shd w:val="clear" w:color="auto" w:fill="FFFFFF"/>
                  <w:hideMark/>
                </w:tcPr>
                <w:p w14:paraId="54DF49B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3FA817DC"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Provozovatel sítě a subjekt veřejného sektoru vlastnící nebo ovládající fyzickou infrastrukturu zajistí, aby informace uvedené v prvním pododstavci pro plánované stavební práce související s jeho fyzickou infrastrukturou byly správné a aktuální a byly neprodleně zpřístupněny prostřednictvím jednotného informačního místa, jakmile má provozovatel sítě tyto informace k dispozici pro své stavební práce plánované na následujících šest měsíců a v každém případě tehdy, když se předpokládá udělení povolení, nejpozději dva měsíce před prvním podáním žádosti o povolení příslušným orgánům.</w:t>
            </w:r>
          </w:p>
          <w:p w14:paraId="74A50DD1" w14:textId="2EA82AD0" w:rsidR="003A5A4B" w:rsidRPr="00C5124A" w:rsidRDefault="003A5A4B" w:rsidP="003A5A4B">
            <w:pPr>
              <w:ind w:left="63"/>
              <w:rPr>
                <w:bCs/>
                <w:sz w:val="22"/>
                <w:szCs w:val="22"/>
              </w:rPr>
            </w:pPr>
            <w:r w:rsidRPr="00C5124A">
              <w:rPr>
                <w:color w:val="333333"/>
                <w:sz w:val="22"/>
                <w:szCs w:val="22"/>
              </w:rPr>
              <w:lastRenderedPageBreak/>
              <w:t>Operátoři mají na základě odůvodněné žádosti právo na přístup k minimálním informacím uvedeným v prvním pododstavci v elektronické podobě prostřednictvím jednotného informačního místa, přičemž specifikují oblast, v níž plánují budování prvků sítí VHCN nebo přiřazených zařízení. Požadované informace musí být poskytnuty do deseti pracovních dnů ode dne obdržení žádosti o přístup k informacím za přiměřených, nediskriminačních a transparentních podmínek. V řádně odůvodněných případech může být tato lhůta jednorázově prodloužena o pět pracovních dnů. Přístup k minimálním informacím lze omezit nebo zamítnout pouze tehdy, je-li to nezbytné k zajištění bezpečnosti a integrity sítí, národní bezpečnosti, zabezpečení kritické infrastruktury, veřejného zdraví nebo bezpečnosti, nebo z důvodů důvěrnosti nebo provozního či obchodního tajemství.</w:t>
            </w:r>
          </w:p>
        </w:tc>
      </w:tr>
      <w:tr w:rsidR="003A5A4B" w:rsidRPr="00C5124A" w14:paraId="5E2235AF" w14:textId="77777777" w:rsidTr="00B563D5">
        <w:tc>
          <w:tcPr>
            <w:tcW w:w="887" w:type="pct"/>
            <w:tcBorders>
              <w:top w:val="single" w:sz="4" w:space="0" w:color="auto"/>
              <w:left w:val="single" w:sz="4" w:space="0" w:color="auto"/>
              <w:bottom w:val="single" w:sz="4" w:space="0" w:color="auto"/>
              <w:right w:val="single" w:sz="4" w:space="0" w:color="auto"/>
            </w:tcBorders>
          </w:tcPr>
          <w:p w14:paraId="39D17792" w14:textId="763CF1B8"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CF51CA" w:rsidRPr="00C5124A">
              <w:rPr>
                <w:bCs/>
                <w:sz w:val="22"/>
                <w:szCs w:val="22"/>
              </w:rPr>
              <w:t>7</w:t>
            </w:r>
            <w:r w:rsidRPr="00C5124A">
              <w:rPr>
                <w:bCs/>
                <w:sz w:val="22"/>
                <w:szCs w:val="22"/>
              </w:rPr>
              <w:t xml:space="preserve"> odst. 3</w:t>
            </w:r>
          </w:p>
        </w:tc>
        <w:tc>
          <w:tcPr>
            <w:tcW w:w="1644" w:type="pct"/>
            <w:tcBorders>
              <w:top w:val="single" w:sz="4" w:space="0" w:color="auto"/>
              <w:left w:val="single" w:sz="4" w:space="0" w:color="auto"/>
              <w:bottom w:val="single" w:sz="4" w:space="0" w:color="auto"/>
              <w:right w:val="single" w:sz="4" w:space="0" w:color="auto"/>
            </w:tcBorders>
          </w:tcPr>
          <w:p w14:paraId="1B121F00" w14:textId="77777777" w:rsidR="00CF51CA" w:rsidRPr="00C5124A" w:rsidRDefault="00CF51CA" w:rsidP="00CF51CA">
            <w:pPr>
              <w:jc w:val="both"/>
              <w:rPr>
                <w:bCs/>
              </w:rPr>
            </w:pPr>
            <w:r w:rsidRPr="00C5124A">
              <w:t>(3) Minimálními informacemi, kromě informací uvedených v čl. 6 odst. 1 nařízení Evropského parlamentu a Rady (EU) 2024/1309, je také</w:t>
            </w:r>
            <w:r w:rsidRPr="00C5124A">
              <w:rPr>
                <w:bCs/>
              </w:rPr>
              <w:t xml:space="preserve"> </w:t>
            </w:r>
          </w:p>
          <w:p w14:paraId="213BFFEB" w14:textId="77777777" w:rsidR="00CF51CA" w:rsidRPr="00C5124A" w:rsidRDefault="00CF51CA" w:rsidP="00CF51CA">
            <w:pPr>
              <w:jc w:val="both"/>
            </w:pPr>
            <w:r w:rsidRPr="00C5124A">
              <w:rPr>
                <w:bCs/>
              </w:rPr>
              <w:t>a) údaj</w:t>
            </w:r>
            <w:r w:rsidRPr="00C5124A">
              <w:t>, zda se jedná o stavbu financovanou zcela nebo zčásti z veřejných prostředků,</w:t>
            </w:r>
          </w:p>
          <w:p w14:paraId="15D5A7B3" w14:textId="77777777" w:rsidR="00CF51CA" w:rsidRPr="00C5124A" w:rsidRDefault="00CF51CA" w:rsidP="00CF51CA">
            <w:pPr>
              <w:jc w:val="both"/>
            </w:pPr>
            <w:r w:rsidRPr="00C5124A">
              <w:t>b) datum podání žádosti o povolení záměru, byla-li žádost podána a</w:t>
            </w:r>
          </w:p>
          <w:p w14:paraId="33E4FD12" w14:textId="408F42E3" w:rsidR="003A5A4B" w:rsidRPr="00C5124A" w:rsidRDefault="00CF51CA" w:rsidP="00CF51CA">
            <w:pPr>
              <w:jc w:val="both"/>
              <w:rPr>
                <w:bCs/>
                <w:sz w:val="22"/>
                <w:szCs w:val="22"/>
              </w:rPr>
            </w:pPr>
            <w:r w:rsidRPr="00C5124A">
              <w:t>c) identifikační číslo stavby, bylo-li jí přiděleno.</w:t>
            </w:r>
          </w:p>
        </w:tc>
        <w:tc>
          <w:tcPr>
            <w:tcW w:w="589" w:type="pct"/>
            <w:tcBorders>
              <w:top w:val="single" w:sz="4" w:space="0" w:color="auto"/>
              <w:left w:val="single" w:sz="4" w:space="0" w:color="auto"/>
              <w:bottom w:val="single" w:sz="4" w:space="0" w:color="auto"/>
              <w:right w:val="single" w:sz="4" w:space="0" w:color="auto"/>
            </w:tcBorders>
          </w:tcPr>
          <w:p w14:paraId="72CD7DFE" w14:textId="0717CE0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50676D09" w14:textId="25F0785B" w:rsidR="003A5A4B" w:rsidRPr="00C5124A" w:rsidRDefault="003A5A4B" w:rsidP="003A5A4B">
            <w:pPr>
              <w:ind w:left="53"/>
              <w:rPr>
                <w:bCs/>
                <w:sz w:val="22"/>
                <w:szCs w:val="22"/>
              </w:rPr>
            </w:pPr>
            <w:r w:rsidRPr="00C5124A">
              <w:rPr>
                <w:bCs/>
                <w:sz w:val="22"/>
                <w:szCs w:val="22"/>
              </w:rPr>
              <w:t>čl. 4 odst. 1</w:t>
            </w:r>
          </w:p>
        </w:tc>
        <w:tc>
          <w:tcPr>
            <w:tcW w:w="1304" w:type="pct"/>
            <w:tcBorders>
              <w:top w:val="single" w:sz="4" w:space="0" w:color="auto"/>
              <w:left w:val="single" w:sz="4" w:space="0" w:color="auto"/>
              <w:bottom w:val="single" w:sz="4" w:space="0" w:color="auto"/>
              <w:right w:val="single" w:sz="4" w:space="0" w:color="auto"/>
            </w:tcBorders>
          </w:tcPr>
          <w:p w14:paraId="1B5B9C2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Pro účely podání žádosti o přístup k fyzické infrastruktuře v souladu s článkem 3 má každý operátor na základě žádosti právo získat přístup prostřednictvím jednotného informačního místa k následujícím minimálním informacím o existující fyzické infrastruktuře v elektronické podobě:</w:t>
            </w:r>
          </w:p>
          <w:tbl>
            <w:tblPr>
              <w:tblW w:w="5000" w:type="pct"/>
              <w:shd w:val="clear" w:color="auto" w:fill="FFFFFF"/>
              <w:tblCellMar>
                <w:left w:w="0" w:type="dxa"/>
                <w:right w:w="0" w:type="dxa"/>
              </w:tblCellMar>
              <w:tblLook w:val="04A0" w:firstRow="1" w:lastRow="0" w:firstColumn="1" w:lastColumn="0" w:noHBand="0" w:noVBand="1"/>
            </w:tblPr>
            <w:tblGrid>
              <w:gridCol w:w="251"/>
              <w:gridCol w:w="3389"/>
            </w:tblGrid>
            <w:tr w:rsidR="003A5A4B" w:rsidRPr="00C5124A" w14:paraId="783606F7" w14:textId="77777777" w:rsidTr="00430165">
              <w:tc>
                <w:tcPr>
                  <w:tcW w:w="480" w:type="dxa"/>
                  <w:shd w:val="clear" w:color="auto" w:fill="FFFFFF"/>
                  <w:hideMark/>
                </w:tcPr>
                <w:p w14:paraId="2482C88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592" w:type="dxa"/>
                  <w:shd w:val="clear" w:color="auto" w:fill="FFFFFF"/>
                  <w:hideMark/>
                </w:tcPr>
                <w:p w14:paraId="4854CC7F"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trasa;</w:t>
                  </w:r>
                </w:p>
              </w:tc>
            </w:tr>
          </w:tbl>
          <w:p w14:paraId="4BB621F9"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5"/>
              <w:gridCol w:w="3375"/>
            </w:tblGrid>
            <w:tr w:rsidR="003A5A4B" w:rsidRPr="00C5124A" w14:paraId="21CA05DD" w14:textId="77777777" w:rsidTr="00430165">
              <w:tc>
                <w:tcPr>
                  <w:tcW w:w="465" w:type="dxa"/>
                  <w:shd w:val="clear" w:color="auto" w:fill="FFFFFF"/>
                  <w:hideMark/>
                </w:tcPr>
                <w:p w14:paraId="25422B3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607" w:type="dxa"/>
                  <w:shd w:val="clear" w:color="auto" w:fill="FFFFFF"/>
                  <w:hideMark/>
                </w:tcPr>
                <w:p w14:paraId="767FD98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druh a současné využití infrastruktury;</w:t>
                  </w:r>
                </w:p>
              </w:tc>
            </w:tr>
          </w:tbl>
          <w:p w14:paraId="5E4FAAB4" w14:textId="77777777" w:rsidR="003A5A4B" w:rsidRPr="00C5124A" w:rsidRDefault="003A5A4B" w:rsidP="003A5A4B">
            <w:pPr>
              <w:jc w:val="both"/>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0D35F6E8" w14:textId="77777777" w:rsidTr="00430165">
              <w:tc>
                <w:tcPr>
                  <w:tcW w:w="970" w:type="dxa"/>
                  <w:shd w:val="clear" w:color="auto" w:fill="FFFFFF"/>
                  <w:hideMark/>
                </w:tcPr>
                <w:p w14:paraId="315496C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lastRenderedPageBreak/>
                    <w:t>c)</w:t>
                  </w:r>
                </w:p>
              </w:tc>
              <w:tc>
                <w:tcPr>
                  <w:tcW w:w="8102" w:type="dxa"/>
                  <w:shd w:val="clear" w:color="auto" w:fill="FFFFFF"/>
                  <w:hideMark/>
                </w:tcPr>
                <w:p w14:paraId="152A276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6A4DD20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Tyto minimální informace jsou zpřístupněny za přiměřených, nediskriminačních a transparentních podmínek a v každém případě nejpozději do 10 pracovních dnů od podání žádosti o informace. V řádně odůvodněných případech může být tato lhůta prodloužena o pět pracovních dnů. Operátoři žádající o přístup jsou o každém prodloužení lhůty informováni prostřednictvím jednotného informačního místa.</w:t>
            </w:r>
          </w:p>
          <w:p w14:paraId="467E8B9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Každý operátor, který žádá o přístup k informacím podle tohoto článku, specifikuje zeměpisnou oblast, v níž plánuje budování prvků sítí VHCN nebo přiřazených zařízení.</w:t>
            </w:r>
          </w:p>
          <w:p w14:paraId="2ACEE489" w14:textId="7FBEEDA8"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Přístup k minimálním informacím může být omezen nebo zamítnut pouze tehdy, je-li to nezbytné k zajištění bezpečnosti některých budov vlastněných nebo ovládaných subjekty veřejného sektoru, bezpečnosti a integrity sítí, národní bezpečnosti, zabezpečení vnitrostátní kritické infrastruktury, veřejného zdraví nebo bezpečnosti, nebo z důvodů důvěrnosti nebo provozního či obchodního tajemství.</w:t>
            </w:r>
          </w:p>
        </w:tc>
      </w:tr>
      <w:tr w:rsidR="003A5A4B" w:rsidRPr="00C5124A" w14:paraId="4F51CE1C" w14:textId="77777777" w:rsidTr="00B563D5">
        <w:tc>
          <w:tcPr>
            <w:tcW w:w="887" w:type="pct"/>
            <w:tcBorders>
              <w:top w:val="single" w:sz="4" w:space="0" w:color="auto"/>
              <w:left w:val="single" w:sz="4" w:space="0" w:color="auto"/>
              <w:bottom w:val="single" w:sz="4" w:space="0" w:color="auto"/>
              <w:right w:val="single" w:sz="4" w:space="0" w:color="auto"/>
            </w:tcBorders>
          </w:tcPr>
          <w:p w14:paraId="02DEBEC7" w14:textId="26FCD5B1"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CF51CA" w:rsidRPr="00C5124A">
              <w:rPr>
                <w:bCs/>
                <w:sz w:val="22"/>
                <w:szCs w:val="22"/>
              </w:rPr>
              <w:t>7</w:t>
            </w:r>
            <w:r w:rsidRPr="00C5124A">
              <w:rPr>
                <w:bCs/>
                <w:sz w:val="22"/>
                <w:szCs w:val="22"/>
              </w:rPr>
              <w:t xml:space="preserve"> odst. 3</w:t>
            </w:r>
          </w:p>
        </w:tc>
        <w:tc>
          <w:tcPr>
            <w:tcW w:w="1644" w:type="pct"/>
            <w:tcBorders>
              <w:top w:val="single" w:sz="4" w:space="0" w:color="auto"/>
              <w:left w:val="single" w:sz="4" w:space="0" w:color="auto"/>
              <w:bottom w:val="single" w:sz="4" w:space="0" w:color="auto"/>
              <w:right w:val="single" w:sz="4" w:space="0" w:color="auto"/>
            </w:tcBorders>
          </w:tcPr>
          <w:p w14:paraId="3DC74E26" w14:textId="77777777" w:rsidR="001E4B73" w:rsidRPr="00C5124A" w:rsidRDefault="001E4B73" w:rsidP="001E4B73">
            <w:pPr>
              <w:jc w:val="both"/>
              <w:rPr>
                <w:bCs/>
              </w:rPr>
            </w:pPr>
            <w:r w:rsidRPr="00C5124A">
              <w:t>(3) Minimálními informacemi, kromě informací uvedených v čl. 6 odst. 1 nařízení Evropského parlamentu a Rady (EU) 2024/1309, je také</w:t>
            </w:r>
            <w:r w:rsidRPr="00C5124A">
              <w:rPr>
                <w:bCs/>
              </w:rPr>
              <w:t xml:space="preserve"> </w:t>
            </w:r>
          </w:p>
          <w:p w14:paraId="220DD4FC" w14:textId="77777777" w:rsidR="001E4B73" w:rsidRPr="00C5124A" w:rsidRDefault="001E4B73" w:rsidP="001E4B73">
            <w:pPr>
              <w:jc w:val="both"/>
            </w:pPr>
            <w:r w:rsidRPr="00C5124A">
              <w:rPr>
                <w:bCs/>
              </w:rPr>
              <w:t>a) údaj</w:t>
            </w:r>
            <w:r w:rsidRPr="00C5124A">
              <w:t>, zda se jedná o stavbu financovanou zcela nebo zčásti z veřejných prostředků,</w:t>
            </w:r>
          </w:p>
          <w:p w14:paraId="07B07E79" w14:textId="77777777" w:rsidR="001E4B73" w:rsidRPr="00C5124A" w:rsidRDefault="001E4B73" w:rsidP="001E4B73">
            <w:pPr>
              <w:jc w:val="both"/>
            </w:pPr>
            <w:r w:rsidRPr="00C5124A">
              <w:lastRenderedPageBreak/>
              <w:t>b) datum podání žádosti o povolení záměru, byla-li žádost podána a</w:t>
            </w:r>
          </w:p>
          <w:p w14:paraId="364983AD" w14:textId="18F0A0E8" w:rsidR="003A5A4B" w:rsidRPr="00C5124A" w:rsidRDefault="001E4B73" w:rsidP="001E4B73">
            <w:pPr>
              <w:jc w:val="both"/>
              <w:rPr>
                <w:sz w:val="22"/>
                <w:szCs w:val="22"/>
              </w:rPr>
            </w:pPr>
            <w:r w:rsidRPr="00C5124A">
              <w:t>c) identifikační číslo stavby, bylo-li jí přiděleno.</w:t>
            </w:r>
          </w:p>
        </w:tc>
        <w:tc>
          <w:tcPr>
            <w:tcW w:w="589" w:type="pct"/>
            <w:tcBorders>
              <w:top w:val="single" w:sz="4" w:space="0" w:color="auto"/>
              <w:left w:val="single" w:sz="4" w:space="0" w:color="auto"/>
              <w:bottom w:val="single" w:sz="4" w:space="0" w:color="auto"/>
              <w:right w:val="single" w:sz="4" w:space="0" w:color="auto"/>
            </w:tcBorders>
          </w:tcPr>
          <w:p w14:paraId="3D4D6435" w14:textId="76FACBFC"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5D0A265C" w14:textId="6690E18C" w:rsidR="003A5A4B" w:rsidRPr="00C5124A" w:rsidRDefault="003A5A4B" w:rsidP="003A5A4B">
            <w:pPr>
              <w:ind w:left="53"/>
              <w:rPr>
                <w:bCs/>
                <w:sz w:val="22"/>
                <w:szCs w:val="22"/>
              </w:rPr>
            </w:pPr>
            <w:r w:rsidRPr="00C5124A">
              <w:rPr>
                <w:bCs/>
                <w:sz w:val="22"/>
                <w:szCs w:val="22"/>
              </w:rPr>
              <w:t>čl. 4 odst. 3</w:t>
            </w:r>
          </w:p>
        </w:tc>
        <w:tc>
          <w:tcPr>
            <w:tcW w:w="1304" w:type="pct"/>
            <w:tcBorders>
              <w:top w:val="single" w:sz="4" w:space="0" w:color="auto"/>
              <w:left w:val="single" w:sz="4" w:space="0" w:color="auto"/>
              <w:bottom w:val="single" w:sz="4" w:space="0" w:color="auto"/>
              <w:right w:val="single" w:sz="4" w:space="0" w:color="auto"/>
            </w:tcBorders>
          </w:tcPr>
          <w:p w14:paraId="696E80D8" w14:textId="6E65BD0F"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 xml:space="preserve">3.   Provozovatelé sítě a subjekty veřejného sektoru zpřístupní alespoň minimální informace uvedené v odstavci 1 a případně dodatečné informace uvedené v odstavci 2 prostřednictvím jednotného informačního </w:t>
            </w:r>
            <w:r w:rsidRPr="00C5124A">
              <w:rPr>
                <w:color w:val="333333"/>
                <w:sz w:val="22"/>
                <w:szCs w:val="22"/>
                <w:shd w:val="clear" w:color="auto" w:fill="FFFFFF"/>
              </w:rPr>
              <w:lastRenderedPageBreak/>
              <w:t>místa a v elektronické podobě a zpřístupní neprodleně veškeré aktualizace těchto informací. V případě, že provozovatelé sítě nebo subjekty veřejného sektoru nesplní povinnost podle tohoto odstavce, mohou příslušné orgány do 10 pracovních dnů ode dne obdržení žádosti o přístup k informacím požádat, aby byly chybějící informace uvedené v odstavci 1 zpřístupněny v elektronické podobě prostřednictvím jednotného informačního místa, aniž je dotčena možnost členských států uložit provozovatelům sítě a subjektům veřejného sektoru, kteří vlastní nebo ovládají fyzickou infrastrukturu, sankce za nesplnění této povinnosti.</w:t>
            </w:r>
          </w:p>
        </w:tc>
      </w:tr>
      <w:tr w:rsidR="003A5A4B" w:rsidRPr="00C5124A" w14:paraId="22C53D70" w14:textId="77777777" w:rsidTr="00B563D5">
        <w:tc>
          <w:tcPr>
            <w:tcW w:w="887" w:type="pct"/>
            <w:tcBorders>
              <w:top w:val="single" w:sz="4" w:space="0" w:color="auto"/>
              <w:left w:val="single" w:sz="4" w:space="0" w:color="auto"/>
              <w:bottom w:val="single" w:sz="4" w:space="0" w:color="auto"/>
              <w:right w:val="single" w:sz="4" w:space="0" w:color="auto"/>
            </w:tcBorders>
          </w:tcPr>
          <w:p w14:paraId="5A2501C3" w14:textId="3D66B427"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7</w:t>
            </w:r>
            <w:r w:rsidRPr="00C5124A">
              <w:rPr>
                <w:bCs/>
                <w:sz w:val="22"/>
                <w:szCs w:val="22"/>
              </w:rPr>
              <w:t xml:space="preserve"> odst. 5</w:t>
            </w:r>
          </w:p>
        </w:tc>
        <w:tc>
          <w:tcPr>
            <w:tcW w:w="1644" w:type="pct"/>
            <w:tcBorders>
              <w:top w:val="single" w:sz="4" w:space="0" w:color="auto"/>
              <w:left w:val="single" w:sz="4" w:space="0" w:color="auto"/>
              <w:bottom w:val="single" w:sz="4" w:space="0" w:color="auto"/>
              <w:right w:val="single" w:sz="4" w:space="0" w:color="auto"/>
            </w:tcBorders>
          </w:tcPr>
          <w:p w14:paraId="61D2575A" w14:textId="2C70EA8A" w:rsidR="003A5A4B" w:rsidRPr="00C5124A" w:rsidRDefault="001E4B73" w:rsidP="003A5A4B">
            <w:pPr>
              <w:jc w:val="both"/>
              <w:rPr>
                <w:sz w:val="22"/>
                <w:szCs w:val="22"/>
              </w:rPr>
            </w:pPr>
            <w:r w:rsidRPr="00C5124A">
              <w:t>(5) Provozovatel sítě a subjekt veřejného sektoru vlastnící nebo ovládající fyzickou infrastrukturu aktualizuje údaje o plánovaných stavebních pracích zapsané v digitální technické mapě kraje bez zbytečného odkladu, nejpozději do 5 pracovních dnů po jejich změně. Jako poslední aktualizaci zapíše údaj o zahájení užívání stavby.</w:t>
            </w:r>
          </w:p>
          <w:p w14:paraId="58C17D04" w14:textId="5D6E047D" w:rsidR="003A5A4B" w:rsidRPr="00C5124A" w:rsidRDefault="003A5A4B" w:rsidP="003A5A4B">
            <w:pPr>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11E5E0DE" w14:textId="37488710"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3AF05308" w14:textId="3FE78B9B" w:rsidR="003A5A4B" w:rsidRPr="00C5124A" w:rsidRDefault="003A5A4B" w:rsidP="003A5A4B">
            <w:pPr>
              <w:ind w:left="53"/>
              <w:rPr>
                <w:bCs/>
                <w:sz w:val="22"/>
                <w:szCs w:val="22"/>
              </w:rPr>
            </w:pPr>
            <w:r w:rsidRPr="00C5124A">
              <w:rPr>
                <w:bCs/>
                <w:sz w:val="22"/>
                <w:szCs w:val="22"/>
              </w:rPr>
              <w:t>čl. 9 odst. 4</w:t>
            </w:r>
          </w:p>
        </w:tc>
        <w:tc>
          <w:tcPr>
            <w:tcW w:w="1304" w:type="pct"/>
            <w:tcBorders>
              <w:top w:val="single" w:sz="4" w:space="0" w:color="auto"/>
              <w:left w:val="single" w:sz="4" w:space="0" w:color="auto"/>
              <w:bottom w:val="single" w:sz="4" w:space="0" w:color="auto"/>
              <w:right w:val="single" w:sz="4" w:space="0" w:color="auto"/>
            </w:tcBorders>
          </w:tcPr>
          <w:p w14:paraId="3523EC8B"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4.   Členské státy mohou požadovat, aby operátoři, kteří plánují provedení stavebních prací, které spadají do působnosti tohoto článku, oznámily příslušným orgánům svůj záměr zahájit stavební práce, a to před jejich započetím.</w:t>
            </w:r>
          </w:p>
          <w:p w14:paraId="30AE1E18" w14:textId="3E3650C9"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Toto oznámení zahrnuje pouze prohlášení operátora o záměru zahájit stavební práce a minimální informace, které příslušným orgánům umožní posoudit, zda se na tyto práce vztahuje odchylka stanovená v odstavci 3. Tyto minimální informace zahrnují alespoň datum, kdy mají být stavební práce započaty, jejich trvání, kontaktní údaje osoby odpovědné za tyto práce a oblast dotčenou těmito pracemi</w:t>
            </w:r>
          </w:p>
        </w:tc>
      </w:tr>
      <w:tr w:rsidR="003A5A4B" w:rsidRPr="00C5124A" w14:paraId="26AEE546" w14:textId="77777777" w:rsidTr="00B563D5">
        <w:tc>
          <w:tcPr>
            <w:tcW w:w="887" w:type="pct"/>
            <w:tcBorders>
              <w:top w:val="single" w:sz="4" w:space="0" w:color="auto"/>
              <w:left w:val="single" w:sz="4" w:space="0" w:color="auto"/>
              <w:bottom w:val="single" w:sz="4" w:space="0" w:color="auto"/>
              <w:right w:val="single" w:sz="4" w:space="0" w:color="auto"/>
            </w:tcBorders>
          </w:tcPr>
          <w:p w14:paraId="78408BEF" w14:textId="0CBC918A" w:rsidR="003A5A4B" w:rsidRPr="00C5124A" w:rsidRDefault="003A5A4B" w:rsidP="003A5A4B">
            <w:pPr>
              <w:suppressAutoHyphens/>
              <w:spacing w:line="276" w:lineRule="auto"/>
              <w:ind w:left="117"/>
              <w:rPr>
                <w:bCs/>
                <w:sz w:val="22"/>
                <w:szCs w:val="22"/>
              </w:rPr>
            </w:pPr>
            <w:r w:rsidRPr="00C5124A">
              <w:rPr>
                <w:bCs/>
                <w:sz w:val="22"/>
                <w:szCs w:val="22"/>
              </w:rPr>
              <w:t xml:space="preserve">§ </w:t>
            </w:r>
            <w:r w:rsidR="001E4B73" w:rsidRPr="00C5124A">
              <w:rPr>
                <w:bCs/>
                <w:sz w:val="22"/>
                <w:szCs w:val="22"/>
              </w:rPr>
              <w:t>7</w:t>
            </w:r>
            <w:r w:rsidRPr="00C5124A">
              <w:rPr>
                <w:bCs/>
                <w:sz w:val="22"/>
                <w:szCs w:val="22"/>
              </w:rPr>
              <w:t xml:space="preserve"> odst. 8</w:t>
            </w:r>
          </w:p>
        </w:tc>
        <w:tc>
          <w:tcPr>
            <w:tcW w:w="1644" w:type="pct"/>
            <w:tcBorders>
              <w:top w:val="single" w:sz="4" w:space="0" w:color="auto"/>
              <w:left w:val="single" w:sz="4" w:space="0" w:color="auto"/>
              <w:bottom w:val="single" w:sz="4" w:space="0" w:color="auto"/>
              <w:right w:val="single" w:sz="4" w:space="0" w:color="auto"/>
            </w:tcBorders>
          </w:tcPr>
          <w:p w14:paraId="78261119" w14:textId="5E95C0FF" w:rsidR="003A5A4B" w:rsidRPr="00C5124A" w:rsidRDefault="001E4B73" w:rsidP="003A5A4B">
            <w:pPr>
              <w:jc w:val="both"/>
              <w:rPr>
                <w:sz w:val="22"/>
                <w:szCs w:val="22"/>
              </w:rPr>
            </w:pPr>
            <w:r w:rsidRPr="00C5124A">
              <w:t xml:space="preserve">(8) Stavebními pracemi omezeného rozsahu podle čl. 6 odst. 2 nařízení Evropského </w:t>
            </w:r>
            <w:r w:rsidRPr="00C5124A">
              <w:lastRenderedPageBreak/>
              <w:t>parlamentu a Rady (EU) 2024/1309 jsou stavební práce podle přílohy 1 stavebního zákona.</w:t>
            </w:r>
          </w:p>
          <w:p w14:paraId="5F454DA1" w14:textId="676AE2FE" w:rsidR="003A5A4B" w:rsidRPr="00C5124A" w:rsidRDefault="003A5A4B" w:rsidP="003A5A4B">
            <w:pPr>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00BFF26F" w14:textId="74724F72"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5EC430BD" w14:textId="1E88C591" w:rsidR="003A5A4B" w:rsidRPr="00C5124A" w:rsidRDefault="003A5A4B" w:rsidP="003A5A4B">
            <w:pPr>
              <w:ind w:left="53"/>
              <w:rPr>
                <w:bCs/>
                <w:sz w:val="22"/>
                <w:szCs w:val="22"/>
              </w:rPr>
            </w:pPr>
            <w:r w:rsidRPr="00C5124A">
              <w:rPr>
                <w:bCs/>
                <w:sz w:val="22"/>
                <w:szCs w:val="22"/>
              </w:rPr>
              <w:t>čl. 6 odst. 2</w:t>
            </w:r>
          </w:p>
        </w:tc>
        <w:tc>
          <w:tcPr>
            <w:tcW w:w="1304" w:type="pct"/>
            <w:tcBorders>
              <w:top w:val="single" w:sz="4" w:space="0" w:color="auto"/>
              <w:left w:val="single" w:sz="4" w:space="0" w:color="auto"/>
              <w:bottom w:val="single" w:sz="4" w:space="0" w:color="auto"/>
              <w:right w:val="single" w:sz="4" w:space="0" w:color="auto"/>
            </w:tcBorders>
          </w:tcPr>
          <w:p w14:paraId="70CFAD5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2.   Členské státy mohou na základě řádně opodstatněných a přiměřených </w:t>
            </w:r>
            <w:r w:rsidRPr="00C5124A">
              <w:rPr>
                <w:color w:val="333333"/>
                <w:sz w:val="22"/>
                <w:szCs w:val="22"/>
              </w:rPr>
              <w:lastRenderedPageBreak/>
              <w:t>důvodů identifikovat druhy stavebních prací považovaných za práce omezeného rozsahu, pokud jde o hodnotu, velikost nebo trvání, nebo týkajících se vnitrostátní kritické infrastruktury, jakož i mimořádné události nebo důvody národní bezpečnosti, které by odůvodňovaly, že by se na ně nevztahovala povinnost poskytovat minimální informace podle odstavce 1. Odůvodnění, kritéria a podmínky pro uplatnění výjimek na tyto druhy stavebních prací se zveřejní prostřednictvím jednotného informačního místa.</w:t>
            </w:r>
          </w:p>
          <w:p w14:paraId="6A3928FC"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2DE631A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rozhodnout, že subjekty veřejného sektoru vlastnící nebo ovládající fyzickou infrastrukturu a provozovatelé sítě neuplatňují odstavec 1 v případě stavebních prací týkajících se vnitrostátní kritické infrastruktury nebo z důvodů národní bezpečnosti zjištěných členskými státy podle prvního pododstavce tohoto odstavce.</w:t>
            </w:r>
          </w:p>
          <w:p w14:paraId="278EA724" w14:textId="730C836D" w:rsidR="003A5A4B" w:rsidRPr="00C5124A" w:rsidRDefault="003A5A4B" w:rsidP="003A5A4B">
            <w:pPr>
              <w:ind w:left="63"/>
              <w:rPr>
                <w:bCs/>
                <w:sz w:val="22"/>
                <w:szCs w:val="22"/>
              </w:rPr>
            </w:pPr>
            <w:r w:rsidRPr="00C5124A">
              <w:rPr>
                <w:color w:val="333333"/>
                <w:sz w:val="22"/>
                <w:szCs w:val="22"/>
              </w:rPr>
              <w:t>Subjekty veřejného sektoru vlastnící nebo ovládající fyzickou infrastrukturu a provozovatelé sítě se mohou rozhodnout neuplatňovat odstavec 1 na stavební práce, které jsou omezeného rozsahu, jakož i z důvodů mimořádné události identifikované členskými státy podle prvního pododstavce tohoto odstavce.</w:t>
            </w:r>
          </w:p>
        </w:tc>
      </w:tr>
      <w:tr w:rsidR="003A5A4B" w:rsidRPr="00C5124A" w14:paraId="1B5CC34F" w14:textId="77777777" w:rsidTr="00B563D5">
        <w:tc>
          <w:tcPr>
            <w:tcW w:w="887" w:type="pct"/>
            <w:tcBorders>
              <w:top w:val="single" w:sz="4" w:space="0" w:color="auto"/>
              <w:left w:val="single" w:sz="4" w:space="0" w:color="auto"/>
              <w:bottom w:val="single" w:sz="4" w:space="0" w:color="auto"/>
              <w:right w:val="single" w:sz="4" w:space="0" w:color="auto"/>
            </w:tcBorders>
          </w:tcPr>
          <w:p w14:paraId="69F231DE" w14:textId="7039FBFD"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7</w:t>
            </w:r>
            <w:r w:rsidRPr="00C5124A">
              <w:rPr>
                <w:bCs/>
                <w:sz w:val="22"/>
                <w:szCs w:val="22"/>
              </w:rPr>
              <w:t xml:space="preserve"> odst. 9</w:t>
            </w:r>
          </w:p>
        </w:tc>
        <w:tc>
          <w:tcPr>
            <w:tcW w:w="1644" w:type="pct"/>
            <w:tcBorders>
              <w:top w:val="single" w:sz="4" w:space="0" w:color="auto"/>
              <w:left w:val="single" w:sz="4" w:space="0" w:color="auto"/>
              <w:bottom w:val="single" w:sz="4" w:space="0" w:color="auto"/>
              <w:right w:val="single" w:sz="4" w:space="0" w:color="auto"/>
            </w:tcBorders>
          </w:tcPr>
          <w:p w14:paraId="5280435A" w14:textId="07BD2FCC" w:rsidR="003A5A4B" w:rsidRPr="00C5124A" w:rsidRDefault="001E4B73" w:rsidP="003A5A4B">
            <w:pPr>
              <w:keepNext/>
              <w:jc w:val="both"/>
              <w:rPr>
                <w:sz w:val="22"/>
                <w:szCs w:val="22"/>
              </w:rPr>
            </w:pPr>
            <w:r w:rsidRPr="00C5124A">
              <w:t>(9) Ministerstvo obrany může stanovit druhy stavebních prací, na které subjekt veřejného sektoru vlastnící nebo ovládající fyzickou infrastrukturu a provozovatel sítě neuplatní čl. 6 odst. 1 nařízení Evropského parlamentu a Rady (EU) 2024/1309 z důvodů obrany nebo bezpečnosti státu, a to postupem podle čl. 6 odst. 2 nařízení Evropského parlamentu a Rady (EU) 2024/1309.</w:t>
            </w:r>
          </w:p>
          <w:p w14:paraId="0B6FFD79" w14:textId="1DA4BEB2" w:rsidR="003A5A4B" w:rsidRPr="00C5124A" w:rsidRDefault="003A5A4B" w:rsidP="003A5A4B">
            <w:pPr>
              <w:keepNext/>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625BCD0B" w14:textId="64340B26"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6D600C6" w14:textId="13D1E316" w:rsidR="003A5A4B" w:rsidRPr="00C5124A" w:rsidRDefault="003A5A4B" w:rsidP="003A5A4B">
            <w:pPr>
              <w:ind w:left="53"/>
              <w:rPr>
                <w:bCs/>
                <w:sz w:val="22"/>
                <w:szCs w:val="22"/>
              </w:rPr>
            </w:pPr>
            <w:r w:rsidRPr="00C5124A">
              <w:rPr>
                <w:bCs/>
                <w:sz w:val="22"/>
                <w:szCs w:val="22"/>
              </w:rPr>
              <w:t>čl. 6 odst. 1</w:t>
            </w:r>
          </w:p>
        </w:tc>
        <w:tc>
          <w:tcPr>
            <w:tcW w:w="1304" w:type="pct"/>
            <w:tcBorders>
              <w:top w:val="single" w:sz="4" w:space="0" w:color="auto"/>
              <w:left w:val="single" w:sz="4" w:space="0" w:color="auto"/>
              <w:bottom w:val="single" w:sz="4" w:space="0" w:color="auto"/>
              <w:right w:val="single" w:sz="4" w:space="0" w:color="auto"/>
            </w:tcBorders>
          </w:tcPr>
          <w:p w14:paraId="0FF443EC"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S cílem umožnit sjednávání dohod o koordinaci stavebních prací uvedených v článku 5 zpřístupní kterýkoli provozovatel sítě a subjekty veřejného sektoru vlastnící nebo ovládající fyzickou infrastrukturu následující minimální informace v elektronické podobě prostřednictvím jednotného informačního místa:</w:t>
            </w:r>
          </w:p>
          <w:tbl>
            <w:tblPr>
              <w:tblW w:w="5000" w:type="pct"/>
              <w:shd w:val="clear" w:color="auto" w:fill="FFFFFF"/>
              <w:tblCellMar>
                <w:left w:w="0" w:type="dxa"/>
                <w:right w:w="0" w:type="dxa"/>
              </w:tblCellMar>
              <w:tblLook w:val="04A0" w:firstRow="1" w:lastRow="0" w:firstColumn="1" w:lastColumn="0" w:noHBand="0" w:noVBand="1"/>
            </w:tblPr>
            <w:tblGrid>
              <w:gridCol w:w="235"/>
              <w:gridCol w:w="3405"/>
            </w:tblGrid>
            <w:tr w:rsidR="003A5A4B" w:rsidRPr="00C5124A" w14:paraId="6557FE60" w14:textId="77777777" w:rsidTr="000361A5">
              <w:tc>
                <w:tcPr>
                  <w:tcW w:w="418" w:type="dxa"/>
                  <w:shd w:val="clear" w:color="auto" w:fill="FFFFFF"/>
                  <w:hideMark/>
                </w:tcPr>
                <w:p w14:paraId="28DE7AA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654" w:type="dxa"/>
                  <w:shd w:val="clear" w:color="auto" w:fill="FFFFFF"/>
                  <w:hideMark/>
                </w:tcPr>
                <w:p w14:paraId="7A13D179"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druh prací;</w:t>
                  </w:r>
                </w:p>
              </w:tc>
            </w:tr>
          </w:tbl>
          <w:p w14:paraId="7BC6869B"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9"/>
              <w:gridCol w:w="3371"/>
            </w:tblGrid>
            <w:tr w:rsidR="003A5A4B" w:rsidRPr="00C5124A" w14:paraId="5387CB75" w14:textId="77777777" w:rsidTr="000361A5">
              <w:tc>
                <w:tcPr>
                  <w:tcW w:w="480" w:type="dxa"/>
                  <w:shd w:val="clear" w:color="auto" w:fill="FFFFFF"/>
                  <w:hideMark/>
                </w:tcPr>
                <w:p w14:paraId="0A26F16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592" w:type="dxa"/>
                  <w:shd w:val="clear" w:color="auto" w:fill="FFFFFF"/>
                  <w:hideMark/>
                </w:tcPr>
                <w:p w14:paraId="1308CC0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dotčené prvky fyzické infrastruktury;</w:t>
                  </w:r>
                </w:p>
              </w:tc>
            </w:tr>
          </w:tbl>
          <w:p w14:paraId="1B953A12"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07"/>
              <w:gridCol w:w="3433"/>
            </w:tblGrid>
            <w:tr w:rsidR="003A5A4B" w:rsidRPr="00C5124A" w14:paraId="3E0B053B" w14:textId="77777777" w:rsidTr="000361A5">
              <w:tc>
                <w:tcPr>
                  <w:tcW w:w="298" w:type="dxa"/>
                  <w:shd w:val="clear" w:color="auto" w:fill="FFFFFF"/>
                  <w:hideMark/>
                </w:tcPr>
                <w:p w14:paraId="46E193F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774" w:type="dxa"/>
                  <w:shd w:val="clear" w:color="auto" w:fill="FFFFFF"/>
                  <w:hideMark/>
                </w:tcPr>
                <w:p w14:paraId="56F632E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zahájení prací a dobu jejich trvání;</w:t>
                  </w:r>
                </w:p>
              </w:tc>
            </w:tr>
          </w:tbl>
          <w:p w14:paraId="47D48F4F"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3A5A4B" w:rsidRPr="00C5124A" w14:paraId="28AAFA40" w14:textId="77777777" w:rsidTr="000361A5">
              <w:tc>
                <w:tcPr>
                  <w:tcW w:w="225" w:type="dxa"/>
                  <w:shd w:val="clear" w:color="auto" w:fill="FFFFFF"/>
                  <w:hideMark/>
                </w:tcPr>
                <w:p w14:paraId="408AB29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23F27CD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předložení konečného projektu příslušným orgánům pro udělení povolení, je-li to relevantní;</w:t>
                  </w:r>
                </w:p>
              </w:tc>
            </w:tr>
          </w:tbl>
          <w:p w14:paraId="424F360D"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3039FFD8" w14:textId="77777777" w:rsidTr="000361A5">
              <w:tc>
                <w:tcPr>
                  <w:tcW w:w="970" w:type="dxa"/>
                  <w:shd w:val="clear" w:color="auto" w:fill="FFFFFF"/>
                  <w:hideMark/>
                </w:tcPr>
                <w:p w14:paraId="73D9718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102" w:type="dxa"/>
                  <w:shd w:val="clear" w:color="auto" w:fill="FFFFFF"/>
                  <w:hideMark/>
                </w:tcPr>
                <w:p w14:paraId="77E53BF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3C18D337"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Provozovatel sítě a subjekt veřejného sektoru vlastnící nebo ovládající fyzickou infrastrukturu zajistí, aby informace uvedené v prvním pododstavci pro plánované stavební práce související s jeho fyzickou infrastrukturou byly správné a aktuální a byly neprodleně zpřístupněny prostřednictvím jednotného informačního místa, jakmile má provozovatel sítě tyto informace k dispozici pro své stavební práce plánované na následujících šest měsíců a v každém případě tehdy, když se předpokládá udělení povolení, nejpozději dva měsíce před prvním podáním žádosti o povolení příslušným orgánům.</w:t>
            </w:r>
          </w:p>
          <w:p w14:paraId="0AE8ADB6" w14:textId="1F6BC55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lastRenderedPageBreak/>
              <w:t>Operátoři mají na základě odůvodněné žádosti právo na přístup k minimálním informacím uvedeným v prvním pododstavci v elektronické podobě prostřednictvím jednotného informačního místa, přičemž specifikují oblast, v níž plánují budování prvků sítí VHCN nebo přiřazených zařízení. Požadované informace musí být poskytnuty do deseti pracovních dnů ode dne obdržení žádosti o přístup k informacím za přiměřených, nediskriminačních a transparentních podmínek. V řádně odůvodněných případech může být tato lhůta jednorázově prodloužena o pět pracovních dnů. Přístup k minimálním informacím lze omezit nebo zamítnout pouze tehdy, je-li to nezbytné k zajištění bezpečnosti a integrity sítí, národní bezpečnosti, zabezpečení kritické infrastruktury, veřejného zdraví nebo bezpečnosti, nebo z důvodů důvěrnosti nebo provozního či obchodního tajemství.</w:t>
            </w:r>
          </w:p>
        </w:tc>
      </w:tr>
      <w:tr w:rsidR="003A5A4B" w:rsidRPr="00C5124A" w14:paraId="3D845D8D" w14:textId="77777777" w:rsidTr="00B563D5">
        <w:tc>
          <w:tcPr>
            <w:tcW w:w="887" w:type="pct"/>
            <w:tcBorders>
              <w:top w:val="single" w:sz="4" w:space="0" w:color="auto"/>
              <w:left w:val="single" w:sz="4" w:space="0" w:color="auto"/>
              <w:bottom w:val="single" w:sz="4" w:space="0" w:color="auto"/>
              <w:right w:val="single" w:sz="4" w:space="0" w:color="auto"/>
            </w:tcBorders>
          </w:tcPr>
          <w:p w14:paraId="2F00B9AE" w14:textId="0F0E6901"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7</w:t>
            </w:r>
            <w:r w:rsidRPr="00C5124A">
              <w:rPr>
                <w:bCs/>
                <w:sz w:val="22"/>
                <w:szCs w:val="22"/>
              </w:rPr>
              <w:t xml:space="preserve"> odst. 9</w:t>
            </w:r>
          </w:p>
        </w:tc>
        <w:tc>
          <w:tcPr>
            <w:tcW w:w="1644" w:type="pct"/>
            <w:tcBorders>
              <w:top w:val="single" w:sz="4" w:space="0" w:color="auto"/>
              <w:left w:val="single" w:sz="4" w:space="0" w:color="auto"/>
              <w:bottom w:val="single" w:sz="4" w:space="0" w:color="auto"/>
              <w:right w:val="single" w:sz="4" w:space="0" w:color="auto"/>
            </w:tcBorders>
          </w:tcPr>
          <w:p w14:paraId="49E0110A" w14:textId="36DEFFE4" w:rsidR="003A5A4B" w:rsidRPr="00C5124A" w:rsidRDefault="001E4B73" w:rsidP="003A5A4B">
            <w:pPr>
              <w:keepNext/>
              <w:jc w:val="both"/>
              <w:rPr>
                <w:bCs/>
                <w:sz w:val="22"/>
                <w:szCs w:val="22"/>
              </w:rPr>
            </w:pPr>
            <w:r w:rsidRPr="00C5124A">
              <w:t>(9) Ministerstvo obrany může stanovit druhy stavebních prací, na které subjekt veřejného sektoru vlastnící nebo ovládající fyzickou infrastrukturu a provozovatel sítě neuplatní čl. 6 odst. 1 nařízení Evropského parlamentu a Rady (EU) 2024/1309 z důvodů obrany nebo bezpečnosti státu, a to postupem podle čl. 6 odst. 2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33FA9BC1" w14:textId="605EB210"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3035FCE7" w14:textId="5A51B724" w:rsidR="003A5A4B" w:rsidRPr="00C5124A" w:rsidRDefault="003A5A4B" w:rsidP="003A5A4B">
            <w:pPr>
              <w:ind w:left="53"/>
              <w:rPr>
                <w:bCs/>
                <w:sz w:val="22"/>
                <w:szCs w:val="22"/>
              </w:rPr>
            </w:pPr>
            <w:r w:rsidRPr="00C5124A">
              <w:rPr>
                <w:bCs/>
                <w:sz w:val="22"/>
                <w:szCs w:val="22"/>
              </w:rPr>
              <w:t>čl. 6 odst. 2</w:t>
            </w:r>
          </w:p>
        </w:tc>
        <w:tc>
          <w:tcPr>
            <w:tcW w:w="1304" w:type="pct"/>
            <w:tcBorders>
              <w:top w:val="single" w:sz="4" w:space="0" w:color="auto"/>
              <w:left w:val="single" w:sz="4" w:space="0" w:color="auto"/>
              <w:bottom w:val="single" w:sz="4" w:space="0" w:color="auto"/>
              <w:right w:val="single" w:sz="4" w:space="0" w:color="auto"/>
            </w:tcBorders>
          </w:tcPr>
          <w:p w14:paraId="4C26475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2.   Členské státy mohou na základě řádně opodstatněných a přiměřených důvodů identifikovat druhy stavebních prací považovaných za práce omezeného rozsahu, pokud jde o hodnotu, velikost nebo trvání, nebo týkajících se vnitrostátní kritické infrastruktury, jakož i mimořádné události nebo důvody národní bezpečnosti, které by odůvodňovaly, že by se na ně nevztahovala povinnost poskytovat </w:t>
            </w:r>
            <w:r w:rsidRPr="00C5124A">
              <w:rPr>
                <w:color w:val="333333"/>
                <w:sz w:val="22"/>
                <w:szCs w:val="22"/>
              </w:rPr>
              <w:lastRenderedPageBreak/>
              <w:t>minimální informace podle odstavce 1. Odůvodnění, kritéria a podmínky pro uplatnění výjimek na tyto druhy stavebních prací se zveřejní prostřednictvím jednotného informačního místa.</w:t>
            </w:r>
          </w:p>
          <w:p w14:paraId="738B006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369AA983"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mohou rozhodnout, že subjekty veřejného sektoru vlastnící nebo ovládající fyzickou infrastrukturu a provozovatelé sítě neuplatňují odstavec 1 v případě stavebních prací týkajících se vnitrostátní kritické infrastruktury nebo z důvodů národní bezpečnosti zjištěných členskými státy podle prvního pododstavce tohoto odstavce.</w:t>
            </w:r>
          </w:p>
          <w:p w14:paraId="2233EFD4" w14:textId="6665CE72" w:rsidR="003A5A4B" w:rsidRPr="00C5124A" w:rsidRDefault="003A5A4B" w:rsidP="003A5A4B">
            <w:pPr>
              <w:ind w:left="63"/>
              <w:rPr>
                <w:bCs/>
                <w:sz w:val="22"/>
                <w:szCs w:val="22"/>
              </w:rPr>
            </w:pPr>
            <w:r w:rsidRPr="00C5124A">
              <w:rPr>
                <w:color w:val="333333"/>
                <w:sz w:val="22"/>
                <w:szCs w:val="22"/>
              </w:rPr>
              <w:t>Subjekty veřejného sektoru vlastnící nebo ovládající fyzickou infrastrukturu a provozovatelé sítě se mohou rozhodnout neuplatňovat odstavec 1 na stavební práce, které jsou omezeného rozsahu, jakož i z důvodů mimořádné události identifikované členskými státy podle prvního pododstavce tohoto odstavce.</w:t>
            </w:r>
          </w:p>
        </w:tc>
      </w:tr>
      <w:tr w:rsidR="003A5A4B" w:rsidRPr="00C5124A" w14:paraId="5EBD788B" w14:textId="77777777" w:rsidTr="00B563D5">
        <w:tc>
          <w:tcPr>
            <w:tcW w:w="887" w:type="pct"/>
            <w:tcBorders>
              <w:top w:val="single" w:sz="4" w:space="0" w:color="auto"/>
              <w:left w:val="single" w:sz="4" w:space="0" w:color="auto"/>
              <w:bottom w:val="single" w:sz="4" w:space="0" w:color="auto"/>
              <w:right w:val="single" w:sz="4" w:space="0" w:color="auto"/>
            </w:tcBorders>
          </w:tcPr>
          <w:p w14:paraId="6C2BCA8A" w14:textId="7016A463"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7</w:t>
            </w:r>
            <w:r w:rsidRPr="00C5124A">
              <w:rPr>
                <w:bCs/>
                <w:sz w:val="22"/>
                <w:szCs w:val="22"/>
              </w:rPr>
              <w:t xml:space="preserve"> odst. 10</w:t>
            </w:r>
          </w:p>
        </w:tc>
        <w:tc>
          <w:tcPr>
            <w:tcW w:w="1644" w:type="pct"/>
            <w:tcBorders>
              <w:top w:val="single" w:sz="4" w:space="0" w:color="auto"/>
              <w:left w:val="single" w:sz="4" w:space="0" w:color="auto"/>
              <w:bottom w:val="single" w:sz="4" w:space="0" w:color="auto"/>
              <w:right w:val="single" w:sz="4" w:space="0" w:color="auto"/>
            </w:tcBorders>
          </w:tcPr>
          <w:p w14:paraId="3035B0B2" w14:textId="7FB4BCE6" w:rsidR="003A5A4B" w:rsidRPr="00C5124A" w:rsidRDefault="001E4B73" w:rsidP="003A5A4B">
            <w:pPr>
              <w:keepNext/>
              <w:jc w:val="both"/>
              <w:rPr>
                <w:bCs/>
                <w:sz w:val="22"/>
                <w:szCs w:val="22"/>
              </w:rPr>
            </w:pPr>
            <w:r w:rsidRPr="00C5124A">
              <w:rPr>
                <w:bCs/>
              </w:rPr>
              <w:t xml:space="preserve">(10) Ministerstvo vnitra může stanovit druhy stavebních prací, na které subjekt veřejného sektoru vlastnící nebo ovládající fyzickou infrastrukturu a provozovatel sítě neuplatní čl. 6 odst. 1 nařízení Evropského parlamentu a Rady (EU) 2024/1309, jde-li o kritickou infrastrukturu, a to postupem podle čl.| 6 odst. 2 </w:t>
            </w:r>
            <w:r w:rsidRPr="00C5124A">
              <w:rPr>
                <w:bCs/>
              </w:rPr>
              <w:lastRenderedPageBreak/>
              <w:t>nařízení Evropského parlamentu a Rady (EU) 2024/1309.</w:t>
            </w:r>
          </w:p>
          <w:p w14:paraId="6706101C" w14:textId="16F781A7" w:rsidR="003A5A4B" w:rsidRPr="00C5124A" w:rsidRDefault="003A5A4B" w:rsidP="003A5A4B">
            <w:pPr>
              <w:keepNext/>
              <w:ind w:firstLine="708"/>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6EA4E54D" w14:textId="6D673564"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46FDA0BA" w14:textId="46AA234F" w:rsidR="003A5A4B" w:rsidRPr="00C5124A" w:rsidRDefault="003A5A4B" w:rsidP="003A5A4B">
            <w:pPr>
              <w:ind w:left="53"/>
              <w:rPr>
                <w:bCs/>
                <w:sz w:val="22"/>
                <w:szCs w:val="22"/>
              </w:rPr>
            </w:pPr>
            <w:r w:rsidRPr="00C5124A">
              <w:rPr>
                <w:bCs/>
                <w:sz w:val="22"/>
                <w:szCs w:val="22"/>
              </w:rPr>
              <w:t>čl. 6 odst. 1</w:t>
            </w:r>
          </w:p>
        </w:tc>
        <w:tc>
          <w:tcPr>
            <w:tcW w:w="1304" w:type="pct"/>
            <w:tcBorders>
              <w:top w:val="single" w:sz="4" w:space="0" w:color="auto"/>
              <w:left w:val="single" w:sz="4" w:space="0" w:color="auto"/>
              <w:bottom w:val="single" w:sz="4" w:space="0" w:color="auto"/>
              <w:right w:val="single" w:sz="4" w:space="0" w:color="auto"/>
            </w:tcBorders>
          </w:tcPr>
          <w:p w14:paraId="0B1C29F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S cílem umožnit sjednávání dohod o koordinaci stavebních prací uvedených v článku 5 zpřístupní kterýkoli provozovatel sítě a subjekty veřejného sektoru vlastnící nebo ovládající fyzickou infrastrukturu následující minimální informace v elektronické podobě prostřednictvím jednotného informačního místa:</w:t>
            </w:r>
          </w:p>
          <w:tbl>
            <w:tblPr>
              <w:tblW w:w="5000" w:type="pct"/>
              <w:shd w:val="clear" w:color="auto" w:fill="FFFFFF"/>
              <w:tblCellMar>
                <w:left w:w="0" w:type="dxa"/>
                <w:right w:w="0" w:type="dxa"/>
              </w:tblCellMar>
              <w:tblLook w:val="04A0" w:firstRow="1" w:lastRow="0" w:firstColumn="1" w:lastColumn="0" w:noHBand="0" w:noVBand="1"/>
            </w:tblPr>
            <w:tblGrid>
              <w:gridCol w:w="235"/>
              <w:gridCol w:w="3405"/>
            </w:tblGrid>
            <w:tr w:rsidR="003A5A4B" w:rsidRPr="00C5124A" w14:paraId="268DE562" w14:textId="77777777" w:rsidTr="008830BE">
              <w:tc>
                <w:tcPr>
                  <w:tcW w:w="418" w:type="dxa"/>
                  <w:shd w:val="clear" w:color="auto" w:fill="FFFFFF"/>
                  <w:hideMark/>
                </w:tcPr>
                <w:p w14:paraId="528378F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lastRenderedPageBreak/>
                    <w:t>a)</w:t>
                  </w:r>
                </w:p>
              </w:tc>
              <w:tc>
                <w:tcPr>
                  <w:tcW w:w="8654" w:type="dxa"/>
                  <w:shd w:val="clear" w:color="auto" w:fill="FFFFFF"/>
                  <w:hideMark/>
                </w:tcPr>
                <w:p w14:paraId="18C3B1EF" w14:textId="77777777" w:rsidR="003A5A4B" w:rsidRPr="00C5124A" w:rsidRDefault="003A5A4B" w:rsidP="003A5A4B">
                  <w:pPr>
                    <w:pStyle w:val="oj-normal"/>
                    <w:spacing w:before="0" w:beforeAutospacing="0" w:after="0" w:afterAutospacing="0"/>
                    <w:jc w:val="both"/>
                    <w:rPr>
                      <w:color w:val="333333"/>
                      <w:sz w:val="22"/>
                      <w:szCs w:val="22"/>
                    </w:rPr>
                  </w:pPr>
                  <w:proofErr w:type="spellStart"/>
                  <w:r w:rsidRPr="00C5124A">
                    <w:rPr>
                      <w:color w:val="333333"/>
                      <w:sz w:val="22"/>
                      <w:szCs w:val="22"/>
                    </w:rPr>
                    <w:t>georeferencované</w:t>
                  </w:r>
                  <w:proofErr w:type="spellEnd"/>
                  <w:r w:rsidRPr="00C5124A">
                    <w:rPr>
                      <w:color w:val="333333"/>
                      <w:sz w:val="22"/>
                      <w:szCs w:val="22"/>
                    </w:rPr>
                    <w:t xml:space="preserve"> umístění a druh prací;</w:t>
                  </w:r>
                </w:p>
              </w:tc>
            </w:tr>
          </w:tbl>
          <w:p w14:paraId="2CA5A5FD"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69"/>
              <w:gridCol w:w="3371"/>
            </w:tblGrid>
            <w:tr w:rsidR="003A5A4B" w:rsidRPr="00C5124A" w14:paraId="21D3A074" w14:textId="77777777" w:rsidTr="008830BE">
              <w:tc>
                <w:tcPr>
                  <w:tcW w:w="480" w:type="dxa"/>
                  <w:shd w:val="clear" w:color="auto" w:fill="FFFFFF"/>
                  <w:hideMark/>
                </w:tcPr>
                <w:p w14:paraId="69DD960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592" w:type="dxa"/>
                  <w:shd w:val="clear" w:color="auto" w:fill="FFFFFF"/>
                  <w:hideMark/>
                </w:tcPr>
                <w:p w14:paraId="74D17071"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dotčené prvky fyzické infrastruktury;</w:t>
                  </w:r>
                </w:p>
              </w:tc>
            </w:tr>
          </w:tbl>
          <w:p w14:paraId="4EBF504A"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207"/>
              <w:gridCol w:w="3433"/>
            </w:tblGrid>
            <w:tr w:rsidR="003A5A4B" w:rsidRPr="00C5124A" w14:paraId="71263FDE" w14:textId="77777777" w:rsidTr="008830BE">
              <w:tc>
                <w:tcPr>
                  <w:tcW w:w="298" w:type="dxa"/>
                  <w:shd w:val="clear" w:color="auto" w:fill="FFFFFF"/>
                  <w:hideMark/>
                </w:tcPr>
                <w:p w14:paraId="1C78120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774" w:type="dxa"/>
                  <w:shd w:val="clear" w:color="auto" w:fill="FFFFFF"/>
                  <w:hideMark/>
                </w:tcPr>
                <w:p w14:paraId="45588D01"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zahájení prací a dobu jejich trvání;</w:t>
                  </w:r>
                </w:p>
              </w:tc>
            </w:tr>
          </w:tbl>
          <w:p w14:paraId="636D260D"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3"/>
              <w:gridCol w:w="3497"/>
            </w:tblGrid>
            <w:tr w:rsidR="003A5A4B" w:rsidRPr="00C5124A" w14:paraId="3E3E3808" w14:textId="77777777" w:rsidTr="008830BE">
              <w:tc>
                <w:tcPr>
                  <w:tcW w:w="225" w:type="dxa"/>
                  <w:shd w:val="clear" w:color="auto" w:fill="FFFFFF"/>
                  <w:hideMark/>
                </w:tcPr>
                <w:p w14:paraId="6D59AB0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2403BB8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předpokládaný termín předložení konečného projektu příslušným orgánům pro udělení povolení, je-li to relevantní;</w:t>
                  </w:r>
                </w:p>
              </w:tc>
            </w:tr>
          </w:tbl>
          <w:p w14:paraId="73F86CC2"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432"/>
              <w:gridCol w:w="3208"/>
            </w:tblGrid>
            <w:tr w:rsidR="003A5A4B" w:rsidRPr="00C5124A" w14:paraId="0711D0E7" w14:textId="77777777" w:rsidTr="008830BE">
              <w:tc>
                <w:tcPr>
                  <w:tcW w:w="970" w:type="dxa"/>
                  <w:shd w:val="clear" w:color="auto" w:fill="FFFFFF"/>
                  <w:hideMark/>
                </w:tcPr>
                <w:p w14:paraId="1C71573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e)</w:t>
                  </w:r>
                </w:p>
              </w:tc>
              <w:tc>
                <w:tcPr>
                  <w:tcW w:w="8102" w:type="dxa"/>
                  <w:shd w:val="clear" w:color="auto" w:fill="FFFFFF"/>
                  <w:hideMark/>
                </w:tcPr>
                <w:p w14:paraId="432BEC3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kontaktní místo.</w:t>
                  </w:r>
                </w:p>
              </w:tc>
            </w:tr>
          </w:tbl>
          <w:p w14:paraId="5187D601"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Provozovatel sítě a subjekt veřejného sektoru vlastnící nebo ovládající fyzickou infrastrukturu zajistí, aby informace uvedené v prvním pododstavci pro plánované stavební práce související s jeho fyzickou infrastrukturou byly správné a aktuální a byly neprodleně zpřístupněny prostřednictvím jednotného informačního místa, jakmile má provozovatel sítě tyto informace k dispozici pro své stavební práce plánované na následujících šest měsíců a v každém případě tehdy, když se předpokládá udělení povolení, nejpozději dva měsíce před prvním podáním žádosti o povolení příslušným orgánům.</w:t>
            </w:r>
          </w:p>
          <w:p w14:paraId="0B0BCCD3" w14:textId="6329C505"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Operátoři mají na základě odůvodněné žádosti právo na přístup k minimálním informacím uvedeným v prvním pododstavci v elektronické podobě prostřednictvím jednotného informačního místa, přičemž specifikují oblast, v níž plánují budování prvků sítí VHCN nebo přiřazených zařízení. Požadované informace musí být poskytnuty do deseti </w:t>
            </w:r>
            <w:r w:rsidRPr="00C5124A">
              <w:rPr>
                <w:color w:val="333333"/>
                <w:sz w:val="22"/>
                <w:szCs w:val="22"/>
              </w:rPr>
              <w:lastRenderedPageBreak/>
              <w:t>pracovních dnů ode dne obdržení žádosti o přístup k informacím za přiměřených, nediskriminačních a transparentních podmínek. V řádně odůvodněných případech může být tato lhůta jednorázově prodloužena o pět pracovních dnů. Přístup k minimálním informacím lze omezit nebo zamítnout pouze tehdy, je-li to nezbytné k zajištění bezpečnosti a integrity sítí, národní bezpečnosti, zabezpečení kritické infrastruktury, veřejného zdraví nebo bezpečnosti, nebo z důvodů důvěrnosti nebo provozního či obchodního tajemství.</w:t>
            </w:r>
          </w:p>
        </w:tc>
      </w:tr>
      <w:tr w:rsidR="003A5A4B" w:rsidRPr="00C5124A" w14:paraId="48732187" w14:textId="77777777" w:rsidTr="00B563D5">
        <w:tc>
          <w:tcPr>
            <w:tcW w:w="887" w:type="pct"/>
            <w:tcBorders>
              <w:top w:val="single" w:sz="4" w:space="0" w:color="auto"/>
              <w:left w:val="single" w:sz="4" w:space="0" w:color="auto"/>
              <w:bottom w:val="single" w:sz="4" w:space="0" w:color="auto"/>
              <w:right w:val="single" w:sz="4" w:space="0" w:color="auto"/>
            </w:tcBorders>
          </w:tcPr>
          <w:p w14:paraId="7E14169C" w14:textId="44DA9D40"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7</w:t>
            </w:r>
            <w:r w:rsidRPr="00C5124A">
              <w:rPr>
                <w:bCs/>
                <w:sz w:val="22"/>
                <w:szCs w:val="22"/>
              </w:rPr>
              <w:t xml:space="preserve"> odst. 10</w:t>
            </w:r>
          </w:p>
        </w:tc>
        <w:tc>
          <w:tcPr>
            <w:tcW w:w="1644" w:type="pct"/>
            <w:tcBorders>
              <w:top w:val="single" w:sz="4" w:space="0" w:color="auto"/>
              <w:left w:val="single" w:sz="4" w:space="0" w:color="auto"/>
              <w:bottom w:val="single" w:sz="4" w:space="0" w:color="auto"/>
              <w:right w:val="single" w:sz="4" w:space="0" w:color="auto"/>
            </w:tcBorders>
          </w:tcPr>
          <w:p w14:paraId="6BB301B3" w14:textId="6154A176" w:rsidR="003A5A4B" w:rsidRPr="00C5124A" w:rsidRDefault="001E4B73" w:rsidP="003A5A4B">
            <w:pPr>
              <w:keepNext/>
              <w:jc w:val="both"/>
              <w:rPr>
                <w:bCs/>
                <w:sz w:val="22"/>
                <w:szCs w:val="22"/>
              </w:rPr>
            </w:pPr>
            <w:r w:rsidRPr="00C5124A">
              <w:rPr>
                <w:bCs/>
              </w:rPr>
              <w:t>(10) Ministerstvo vnitra může stanovit druhy stavebních prací, na které subjekt veřejného sektoru vlastnící nebo ovládající fyzickou infrastrukturu a provozovatel sítě neuplatní čl. 6 odst. 1 nařízení Evropského parlamentu a Rady (EU) 2024/1309, jde-li o kritickou infrastrukturu, a to postupem podle čl.| 6 odst. 2 nařízení Evropského parlamentu a Rady (EU) 2024/1309.</w:t>
            </w:r>
          </w:p>
          <w:p w14:paraId="63B44D1D" w14:textId="77777777" w:rsidR="003A5A4B" w:rsidRPr="00C5124A" w:rsidRDefault="003A5A4B" w:rsidP="003A5A4B">
            <w:pPr>
              <w:keepNext/>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16FF47DA" w14:textId="2B78355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5A742267" w14:textId="11C51844" w:rsidR="003A5A4B" w:rsidRPr="00C5124A" w:rsidRDefault="003A5A4B" w:rsidP="003A5A4B">
            <w:pPr>
              <w:ind w:left="53"/>
              <w:rPr>
                <w:bCs/>
                <w:sz w:val="22"/>
                <w:szCs w:val="22"/>
              </w:rPr>
            </w:pPr>
            <w:r w:rsidRPr="00C5124A">
              <w:rPr>
                <w:bCs/>
                <w:sz w:val="22"/>
                <w:szCs w:val="22"/>
              </w:rPr>
              <w:t>čl. 6 odst. 2</w:t>
            </w:r>
          </w:p>
        </w:tc>
        <w:tc>
          <w:tcPr>
            <w:tcW w:w="1304" w:type="pct"/>
            <w:tcBorders>
              <w:top w:val="single" w:sz="4" w:space="0" w:color="auto"/>
              <w:left w:val="single" w:sz="4" w:space="0" w:color="auto"/>
              <w:bottom w:val="single" w:sz="4" w:space="0" w:color="auto"/>
              <w:right w:val="single" w:sz="4" w:space="0" w:color="auto"/>
            </w:tcBorders>
          </w:tcPr>
          <w:p w14:paraId="547F26A9"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2.   Členské státy mohou na základě řádně opodstatněných a přiměřených důvodů identifikovat druhy stavebních prací považovaných za práce omezeného rozsahu, pokud jde o hodnotu, velikost nebo trvání, nebo týkajících se vnitrostátní kritické infrastruktury, jakož i mimořádné události nebo důvody národní bezpečnosti, které by odůvodňovaly, že by se na ně nevztahovala povinnost poskytovat minimální informace podle odstavce 1. Odůvodnění, kritéria a podmínky pro uplatnění výjimek na tyto druhy stavebních prací se zveřejní prostřednictvím jednotného informačního místa.</w:t>
            </w:r>
          </w:p>
          <w:p w14:paraId="2CFB0ECB"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p w14:paraId="36733CB7"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 xml:space="preserve">Členské státy mohou rozhodnout, že subjekty veřejného sektoru vlastnící nebo </w:t>
            </w:r>
            <w:r w:rsidRPr="00C5124A">
              <w:rPr>
                <w:color w:val="333333"/>
                <w:sz w:val="22"/>
                <w:szCs w:val="22"/>
              </w:rPr>
              <w:lastRenderedPageBreak/>
              <w:t>ovládající fyzickou infrastrukturu a provozovatelé sítě neuplatňují odstavec 1 v případě stavebních prací týkajících se vnitrostátní kritické infrastruktury nebo z důvodů národní bezpečnosti zjištěných členskými státy podle prvního pododstavce tohoto odstavce.</w:t>
            </w:r>
          </w:p>
          <w:p w14:paraId="3458A9B4" w14:textId="7DED1071"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Subjekty veřejného sektoru vlastnící nebo ovládající fyzickou infrastrukturu a provozovatelé sítě se mohou rozhodnout neuplatňovat odstavec 1 na stavební práce, které jsou omezeného rozsahu, jakož i z důvodů mimořádné události identifikované členskými státy podle prvního pododstavce tohoto odstavce.</w:t>
            </w:r>
          </w:p>
        </w:tc>
      </w:tr>
      <w:tr w:rsidR="003A5A4B" w:rsidRPr="00C5124A" w14:paraId="0EFE3BE4" w14:textId="77777777" w:rsidTr="00B563D5">
        <w:tc>
          <w:tcPr>
            <w:tcW w:w="887" w:type="pct"/>
            <w:tcBorders>
              <w:top w:val="single" w:sz="4" w:space="0" w:color="auto"/>
              <w:left w:val="single" w:sz="4" w:space="0" w:color="auto"/>
              <w:bottom w:val="single" w:sz="4" w:space="0" w:color="auto"/>
              <w:right w:val="single" w:sz="4" w:space="0" w:color="auto"/>
            </w:tcBorders>
          </w:tcPr>
          <w:p w14:paraId="293CA46E" w14:textId="023E6E6D" w:rsidR="003A5A4B" w:rsidRPr="00C5124A" w:rsidRDefault="003A5A4B" w:rsidP="003A5A4B">
            <w:pPr>
              <w:suppressAutoHyphens/>
              <w:spacing w:line="276" w:lineRule="auto"/>
              <w:ind w:left="117"/>
              <w:rPr>
                <w:bCs/>
                <w:sz w:val="22"/>
                <w:szCs w:val="22"/>
              </w:rPr>
            </w:pPr>
            <w:r w:rsidRPr="00C5124A">
              <w:rPr>
                <w:bCs/>
                <w:sz w:val="22"/>
                <w:szCs w:val="22"/>
              </w:rPr>
              <w:lastRenderedPageBreak/>
              <w:t xml:space="preserve">§ </w:t>
            </w:r>
            <w:r w:rsidR="001E4B73" w:rsidRPr="00C5124A">
              <w:rPr>
                <w:bCs/>
                <w:sz w:val="22"/>
                <w:szCs w:val="22"/>
              </w:rPr>
              <w:t>9</w:t>
            </w:r>
          </w:p>
        </w:tc>
        <w:tc>
          <w:tcPr>
            <w:tcW w:w="1644" w:type="pct"/>
            <w:tcBorders>
              <w:top w:val="single" w:sz="4" w:space="0" w:color="auto"/>
              <w:left w:val="single" w:sz="4" w:space="0" w:color="auto"/>
              <w:bottom w:val="single" w:sz="4" w:space="0" w:color="auto"/>
              <w:right w:val="single" w:sz="4" w:space="0" w:color="auto"/>
            </w:tcBorders>
          </w:tcPr>
          <w:p w14:paraId="62BCB9CC" w14:textId="44F66927" w:rsidR="001E4B73" w:rsidRPr="00C5124A" w:rsidRDefault="001E4B73" w:rsidP="001E4B73">
            <w:pPr>
              <w:jc w:val="both"/>
              <w:rPr>
                <w:color w:val="000000" w:themeColor="text1"/>
              </w:rPr>
            </w:pPr>
            <w:r w:rsidRPr="00C5124A">
              <w:t xml:space="preserve">(1) V případě fikce rozhodnutí </w:t>
            </w:r>
            <w:bookmarkStart w:id="15" w:name="_Hlk191023890"/>
            <w:r w:rsidRPr="00C5124A">
              <w:t xml:space="preserve">podle </w:t>
            </w:r>
            <w:r w:rsidRPr="00C5124A">
              <w:rPr>
                <w:color w:val="000000" w:themeColor="text1"/>
              </w:rPr>
              <w:t>čl. 8 odst. 1 nařízení Evropského parlamentu a Rady (EU) 2024/1309</w:t>
            </w:r>
            <w:bookmarkEnd w:id="15"/>
            <w:r w:rsidRPr="00C5124A">
              <w:rPr>
                <w:color w:val="000000" w:themeColor="text1"/>
              </w:rPr>
              <w:t xml:space="preserve"> se ustanovení správního řádu o náležitostech rozhodnutí</w:t>
            </w:r>
            <w:r w:rsidRPr="00C5124A">
              <w:rPr>
                <w:color w:val="000000" w:themeColor="text1"/>
                <w:vertAlign w:val="superscript"/>
              </w:rPr>
              <w:t>9</w:t>
            </w:r>
            <w:r w:rsidRPr="00C5124A">
              <w:rPr>
                <w:rStyle w:val="Znakapoznpodarou"/>
                <w:color w:val="000000" w:themeColor="text1"/>
              </w:rPr>
              <w:t>)</w:t>
            </w:r>
            <w:r w:rsidRPr="00C5124A">
              <w:rPr>
                <w:color w:val="000000" w:themeColor="text1"/>
              </w:rPr>
              <w:t xml:space="preserve"> nepoužijí.</w:t>
            </w:r>
          </w:p>
          <w:p w14:paraId="7D30C283" w14:textId="5866F7B8" w:rsidR="001E4B73" w:rsidRPr="00C5124A" w:rsidRDefault="001E4B73" w:rsidP="001E4B73">
            <w:pPr>
              <w:jc w:val="both"/>
              <w:rPr>
                <w:color w:val="000000" w:themeColor="text1"/>
              </w:rPr>
            </w:pPr>
            <w:r w:rsidRPr="00C5124A">
              <w:rPr>
                <w:color w:val="000000" w:themeColor="text1"/>
              </w:rPr>
              <w:t>(2) Nastane-li fikce</w:t>
            </w:r>
            <w:r w:rsidRPr="00C5124A">
              <w:t xml:space="preserve"> rozhodnutí podle </w:t>
            </w:r>
            <w:r w:rsidRPr="00C5124A">
              <w:rPr>
                <w:color w:val="000000" w:themeColor="text1"/>
              </w:rPr>
              <w:t>čl. 8 odst. 1 nařízení Evropského parlamentu a Rady (EU) 2024/1309, příslušný orgán o tom informuje účastníky řízení a veřejnou vyhláškou</w:t>
            </w:r>
            <w:r w:rsidRPr="00C5124A">
              <w:rPr>
                <w:vertAlign w:val="superscript"/>
              </w:rPr>
              <w:t>10)</w:t>
            </w:r>
            <w:r w:rsidRPr="00C5124A">
              <w:rPr>
                <w:color w:val="000000" w:themeColor="text1"/>
              </w:rPr>
              <w:t>. Podání odvolání nebo rozkladu nemá odkladný účinek a lhůta pro odvolání nebo rozklad činí 30 dnů od doručení informace podle věty první.</w:t>
            </w:r>
          </w:p>
          <w:p w14:paraId="158B89A8" w14:textId="7BEAA380" w:rsidR="003A5A4B" w:rsidRPr="00C5124A" w:rsidRDefault="001E4B73" w:rsidP="001E4B73">
            <w:pPr>
              <w:jc w:val="both"/>
              <w:rPr>
                <w:sz w:val="22"/>
                <w:szCs w:val="22"/>
              </w:rPr>
            </w:pPr>
            <w:r w:rsidRPr="00C5124A">
              <w:rPr>
                <w:color w:val="000000" w:themeColor="text1"/>
              </w:rPr>
              <w:t>(3) Proti fikci rozhodnutí</w:t>
            </w:r>
            <w:r w:rsidRPr="00C5124A">
              <w:t xml:space="preserve"> </w:t>
            </w:r>
            <w:r w:rsidRPr="00C5124A">
              <w:rPr>
                <w:color w:val="000000" w:themeColor="text1"/>
              </w:rPr>
              <w:t>podle čl. 8 odst. 1 nařízení Evropského parlamentu a Rady (EU) 2024/1309 nejsou přípustné přezkumné řízení ani obnova řízení.</w:t>
            </w:r>
            <w:r w:rsidR="003A5A4B" w:rsidRPr="00C5124A">
              <w:rPr>
                <w:color w:val="000000" w:themeColor="text1"/>
                <w:sz w:val="22"/>
                <w:szCs w:val="22"/>
              </w:rPr>
              <w:t xml:space="preserve"> </w:t>
            </w:r>
          </w:p>
          <w:p w14:paraId="215591AA" w14:textId="77777777" w:rsidR="003A5A4B" w:rsidRPr="00C5124A" w:rsidRDefault="001E4B73" w:rsidP="003A5A4B">
            <w:pPr>
              <w:jc w:val="both"/>
            </w:pPr>
            <w:r w:rsidRPr="00C5124A">
              <w:rPr>
                <w:sz w:val="22"/>
                <w:szCs w:val="22"/>
                <w:vertAlign w:val="superscript"/>
              </w:rPr>
              <w:t xml:space="preserve">9) </w:t>
            </w:r>
            <w:r w:rsidRPr="00C5124A">
              <w:rPr>
                <w:sz w:val="20"/>
                <w:szCs w:val="20"/>
              </w:rPr>
              <w:t>§ 68 zákona č. 500/2004 Sb., správní řád, ve znění pozdějších předpisů.</w:t>
            </w:r>
          </w:p>
          <w:p w14:paraId="167CE109" w14:textId="1A75A5F2" w:rsidR="001E4B73" w:rsidRPr="00C5124A" w:rsidRDefault="001E4B73" w:rsidP="003A5A4B">
            <w:pPr>
              <w:jc w:val="both"/>
              <w:rPr>
                <w:sz w:val="22"/>
                <w:szCs w:val="22"/>
              </w:rPr>
            </w:pPr>
            <w:r w:rsidRPr="00C5124A">
              <w:rPr>
                <w:vertAlign w:val="superscript"/>
              </w:rPr>
              <w:lastRenderedPageBreak/>
              <w:t xml:space="preserve">10) </w:t>
            </w:r>
            <w:r w:rsidRPr="00C5124A">
              <w:rPr>
                <w:sz w:val="20"/>
                <w:szCs w:val="20"/>
              </w:rPr>
              <w:t>§ 25 zákona č. 500/2004 Sb., správní řád, ve znění pozdějších předpisů.</w:t>
            </w:r>
          </w:p>
        </w:tc>
        <w:tc>
          <w:tcPr>
            <w:tcW w:w="589" w:type="pct"/>
            <w:tcBorders>
              <w:top w:val="single" w:sz="4" w:space="0" w:color="auto"/>
              <w:left w:val="single" w:sz="4" w:space="0" w:color="auto"/>
              <w:bottom w:val="single" w:sz="4" w:space="0" w:color="auto"/>
              <w:right w:val="single" w:sz="4" w:space="0" w:color="auto"/>
            </w:tcBorders>
          </w:tcPr>
          <w:p w14:paraId="4FD1DE46" w14:textId="1E1B7AEE"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414912A0" w14:textId="18DF4ADF" w:rsidR="003A5A4B" w:rsidRPr="00C5124A" w:rsidRDefault="003A5A4B" w:rsidP="003A5A4B">
            <w:pPr>
              <w:ind w:left="53"/>
              <w:rPr>
                <w:bCs/>
                <w:sz w:val="22"/>
                <w:szCs w:val="22"/>
              </w:rPr>
            </w:pPr>
            <w:r w:rsidRPr="00C5124A">
              <w:rPr>
                <w:bCs/>
                <w:sz w:val="22"/>
                <w:szCs w:val="22"/>
              </w:rPr>
              <w:t>čl. 8 odst. 1</w:t>
            </w:r>
          </w:p>
        </w:tc>
        <w:tc>
          <w:tcPr>
            <w:tcW w:w="1304" w:type="pct"/>
            <w:tcBorders>
              <w:top w:val="single" w:sz="4" w:space="0" w:color="auto"/>
              <w:left w:val="single" w:sz="4" w:space="0" w:color="auto"/>
              <w:bottom w:val="single" w:sz="4" w:space="0" w:color="auto"/>
              <w:right w:val="single" w:sz="4" w:space="0" w:color="auto"/>
            </w:tcBorders>
          </w:tcPr>
          <w:p w14:paraId="540DC054"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Pokud příslušný orgán nevydal rozhodnutí v platné lhůtě uvedené v čl. 7 odst. 5, považuje se povolení po uplynutí této lhůty za udělené.</w:t>
            </w:r>
          </w:p>
          <w:p w14:paraId="2E9840EA"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První pododstavec se použije v případě, že se postup udělování povolení netýká omezení vlastnických práv třetích osob. Operátor nebo kterákoli dotčená strana má právo v příslušných případech obdržet na požádání písemné potvrzení příslušného orgánu, že povolení bylo implicitně uděleno.</w:t>
            </w:r>
          </w:p>
          <w:p w14:paraId="2B5C4CE2" w14:textId="21FF282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Členské státy zajistí, aby kterákoli dotčená třetí osoba měla právo do administrativního postupu zasáhnout a proti rozhodnutí o povolení se odvolat.</w:t>
            </w:r>
          </w:p>
        </w:tc>
      </w:tr>
      <w:tr w:rsidR="003A5A4B" w:rsidRPr="00C5124A" w14:paraId="400801DC" w14:textId="77777777" w:rsidTr="00B563D5">
        <w:tc>
          <w:tcPr>
            <w:tcW w:w="887" w:type="pct"/>
            <w:tcBorders>
              <w:top w:val="single" w:sz="4" w:space="0" w:color="auto"/>
              <w:left w:val="single" w:sz="4" w:space="0" w:color="auto"/>
              <w:bottom w:val="single" w:sz="4" w:space="0" w:color="auto"/>
              <w:right w:val="single" w:sz="4" w:space="0" w:color="auto"/>
            </w:tcBorders>
          </w:tcPr>
          <w:p w14:paraId="0F82466F" w14:textId="2225DE6C" w:rsidR="003A5A4B" w:rsidRPr="00C5124A" w:rsidRDefault="003A5A4B" w:rsidP="003A5A4B">
            <w:pPr>
              <w:suppressAutoHyphens/>
              <w:spacing w:line="276" w:lineRule="auto"/>
              <w:ind w:left="117"/>
              <w:rPr>
                <w:bCs/>
                <w:sz w:val="22"/>
                <w:szCs w:val="22"/>
              </w:rPr>
            </w:pPr>
            <w:r w:rsidRPr="00C5124A">
              <w:rPr>
                <w:bCs/>
                <w:sz w:val="22"/>
                <w:szCs w:val="22"/>
              </w:rPr>
              <w:t xml:space="preserve">§ </w:t>
            </w:r>
            <w:r w:rsidR="001E4B73" w:rsidRPr="00C5124A">
              <w:rPr>
                <w:bCs/>
                <w:sz w:val="22"/>
                <w:szCs w:val="22"/>
              </w:rPr>
              <w:t>10</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13D4C8D3" w14:textId="23D3B4FA" w:rsidR="003A5A4B" w:rsidRPr="00C5124A" w:rsidRDefault="001E4B73" w:rsidP="001E4B73">
            <w:pPr>
              <w:jc w:val="both"/>
              <w:rPr>
                <w:color w:val="000000" w:themeColor="text1"/>
                <w:sz w:val="22"/>
                <w:szCs w:val="22"/>
              </w:rPr>
            </w:pPr>
            <w:r w:rsidRPr="00C5124A">
              <w:rPr>
                <w:color w:val="000000" w:themeColor="text1"/>
              </w:rPr>
              <w:t xml:space="preserve">(1) Stavebními pracemi </w:t>
            </w:r>
            <w:bookmarkStart w:id="16" w:name="_Hlk193976236"/>
            <w:r w:rsidRPr="00C5124A">
              <w:rPr>
                <w:color w:val="000000" w:themeColor="text1"/>
              </w:rPr>
              <w:t>podle č</w:t>
            </w:r>
            <w:bookmarkStart w:id="17" w:name="_Hlk191994002"/>
            <w:r w:rsidRPr="00C5124A">
              <w:rPr>
                <w:color w:val="000000" w:themeColor="text1"/>
              </w:rPr>
              <w:t>l. 9 odst. 1 nařízení Evropského parlamentu a Rady (EU) 2024/1309</w:t>
            </w:r>
            <w:bookmarkEnd w:id="16"/>
            <w:r w:rsidRPr="00C5124A">
              <w:rPr>
                <w:color w:val="000000" w:themeColor="text1"/>
              </w:rPr>
              <w:t xml:space="preserve"> jsou stavební práce podle </w:t>
            </w:r>
            <w:bookmarkEnd w:id="17"/>
            <w:r w:rsidRPr="00C5124A">
              <w:rPr>
                <w:color w:val="000000" w:themeColor="text1"/>
              </w:rPr>
              <w:t>přílohy 1 stavebního zákona.</w:t>
            </w:r>
          </w:p>
        </w:tc>
        <w:tc>
          <w:tcPr>
            <w:tcW w:w="589" w:type="pct"/>
            <w:tcBorders>
              <w:top w:val="single" w:sz="4" w:space="0" w:color="auto"/>
              <w:left w:val="single" w:sz="4" w:space="0" w:color="auto"/>
              <w:bottom w:val="single" w:sz="4" w:space="0" w:color="auto"/>
              <w:right w:val="single" w:sz="4" w:space="0" w:color="auto"/>
            </w:tcBorders>
          </w:tcPr>
          <w:p w14:paraId="6528F87A" w14:textId="75C4DCB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FD15881" w14:textId="412BED64" w:rsidR="003A5A4B" w:rsidRPr="00C5124A" w:rsidRDefault="003A5A4B" w:rsidP="003A5A4B">
            <w:pPr>
              <w:ind w:left="53"/>
              <w:rPr>
                <w:bCs/>
                <w:sz w:val="22"/>
                <w:szCs w:val="22"/>
              </w:rPr>
            </w:pPr>
            <w:r w:rsidRPr="00C5124A">
              <w:rPr>
                <w:bCs/>
                <w:sz w:val="22"/>
                <w:szCs w:val="22"/>
              </w:rPr>
              <w:t>čl. 9 odst. 3</w:t>
            </w:r>
          </w:p>
        </w:tc>
        <w:tc>
          <w:tcPr>
            <w:tcW w:w="1304" w:type="pct"/>
            <w:tcBorders>
              <w:top w:val="single" w:sz="4" w:space="0" w:color="auto"/>
              <w:left w:val="single" w:sz="4" w:space="0" w:color="auto"/>
              <w:bottom w:val="single" w:sz="4" w:space="0" w:color="auto"/>
              <w:right w:val="single" w:sz="4" w:space="0" w:color="auto"/>
            </w:tcBorders>
          </w:tcPr>
          <w:p w14:paraId="68ECE4F6"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3.   Odchylně od odstavce 1 a v souladu s postupem podle odstavce 2 mohou příslušné orgány požadovat povolení pro budování prvků sítí VHCN nebo přiřazených zařízení v těchto situacích:</w:t>
            </w:r>
          </w:p>
          <w:tbl>
            <w:tblPr>
              <w:tblW w:w="5000" w:type="pct"/>
              <w:shd w:val="clear" w:color="auto" w:fill="FFFFFF"/>
              <w:tblCellMar>
                <w:left w:w="0" w:type="dxa"/>
                <w:right w:w="0" w:type="dxa"/>
              </w:tblCellMar>
              <w:tblLook w:val="04A0" w:firstRow="1" w:lastRow="0" w:firstColumn="1" w:lastColumn="0" w:noHBand="0" w:noVBand="1"/>
            </w:tblPr>
            <w:tblGrid>
              <w:gridCol w:w="129"/>
              <w:gridCol w:w="3511"/>
            </w:tblGrid>
            <w:tr w:rsidR="003A5A4B" w:rsidRPr="00C5124A" w14:paraId="4143AC6D" w14:textId="77777777" w:rsidTr="00A2069C">
              <w:trPr>
                <w:cantSplit/>
                <w:tblHeader/>
              </w:trPr>
              <w:tc>
                <w:tcPr>
                  <w:tcW w:w="210" w:type="dxa"/>
                  <w:shd w:val="clear" w:color="auto" w:fill="FFFFFF"/>
                  <w:hideMark/>
                </w:tcPr>
                <w:p w14:paraId="6318A96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4427ADC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případě fyzické infrastruktury nebo některých kategorií fyzické infrastruktury chráněných z důvodu architektonické, historické, náboženské nebo environmentální hodnoty nebo jinak chráněných podle vnitrostátního práva, nebo</w:t>
                  </w:r>
                </w:p>
              </w:tc>
            </w:tr>
          </w:tbl>
          <w:p w14:paraId="5C3A9D59"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0"/>
              <w:gridCol w:w="3500"/>
            </w:tblGrid>
            <w:tr w:rsidR="003A5A4B" w:rsidRPr="00C5124A" w14:paraId="1A872EAC" w14:textId="77777777" w:rsidTr="00A2069C">
              <w:tc>
                <w:tcPr>
                  <w:tcW w:w="225" w:type="dxa"/>
                  <w:shd w:val="clear" w:color="auto" w:fill="FFFFFF"/>
                  <w:hideMark/>
                </w:tcPr>
                <w:p w14:paraId="4FB351A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2D51145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je to nutné z důvodů veřejného pořádku, obrany, bezpečnosti, environmentálních důvodů nebo důvodů veřejného zdraví nebo pro ochranu bezpečnosti kritické infrastruktury.</w:t>
                  </w:r>
                </w:p>
              </w:tc>
            </w:tr>
          </w:tbl>
          <w:p w14:paraId="4D3D3430"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tc>
      </w:tr>
      <w:tr w:rsidR="003A5A4B" w:rsidRPr="00C5124A" w14:paraId="08FB82E0" w14:textId="77777777" w:rsidTr="00B563D5">
        <w:tc>
          <w:tcPr>
            <w:tcW w:w="887" w:type="pct"/>
            <w:tcBorders>
              <w:top w:val="single" w:sz="4" w:space="0" w:color="auto"/>
              <w:left w:val="single" w:sz="4" w:space="0" w:color="auto"/>
              <w:bottom w:val="single" w:sz="4" w:space="0" w:color="auto"/>
              <w:right w:val="single" w:sz="4" w:space="0" w:color="auto"/>
            </w:tcBorders>
          </w:tcPr>
          <w:p w14:paraId="173DCE72" w14:textId="39D6C073" w:rsidR="003A5A4B" w:rsidRPr="00C5124A" w:rsidRDefault="003A5A4B" w:rsidP="003A5A4B">
            <w:pPr>
              <w:suppressAutoHyphens/>
              <w:spacing w:line="276" w:lineRule="auto"/>
              <w:ind w:left="117"/>
              <w:rPr>
                <w:bCs/>
                <w:sz w:val="22"/>
                <w:szCs w:val="22"/>
              </w:rPr>
            </w:pPr>
            <w:r w:rsidRPr="00C5124A">
              <w:rPr>
                <w:bCs/>
                <w:sz w:val="22"/>
                <w:szCs w:val="22"/>
              </w:rPr>
              <w:t xml:space="preserve">§ </w:t>
            </w:r>
            <w:r w:rsidR="009C1F57" w:rsidRPr="00C5124A">
              <w:rPr>
                <w:bCs/>
                <w:sz w:val="22"/>
                <w:szCs w:val="22"/>
              </w:rPr>
              <w:t>10</w:t>
            </w:r>
            <w:r w:rsidRPr="00C5124A">
              <w:rPr>
                <w:bCs/>
                <w:sz w:val="22"/>
                <w:szCs w:val="22"/>
              </w:rPr>
              <w:t xml:space="preserve"> odst. 2 </w:t>
            </w:r>
          </w:p>
        </w:tc>
        <w:tc>
          <w:tcPr>
            <w:tcW w:w="1644" w:type="pct"/>
            <w:tcBorders>
              <w:top w:val="single" w:sz="4" w:space="0" w:color="auto"/>
              <w:left w:val="single" w:sz="4" w:space="0" w:color="auto"/>
              <w:bottom w:val="single" w:sz="4" w:space="0" w:color="auto"/>
              <w:right w:val="single" w:sz="4" w:space="0" w:color="auto"/>
            </w:tcBorders>
          </w:tcPr>
          <w:p w14:paraId="3925AA48" w14:textId="15B024F6" w:rsidR="003A5A4B" w:rsidRPr="00C5124A" w:rsidRDefault="009C1F57" w:rsidP="003A5A4B">
            <w:pPr>
              <w:jc w:val="both"/>
              <w:rPr>
                <w:sz w:val="22"/>
                <w:szCs w:val="22"/>
              </w:rPr>
            </w:pPr>
            <w:r w:rsidRPr="00C5124A">
              <w:rPr>
                <w:color w:val="000000" w:themeColor="text1"/>
              </w:rPr>
              <w:t>(2) V ochranných pásmech a vymezených územích, zřízených pro ochranu zájmů zajišťovaných Ministerstvem obrany, je záměrem, s povinností respektovat závazné stanovisko Ministerstva obrany, veškerá výstavba infrastruktury, její modernizace a změny technických parametrů bezdrátových komunikací.</w:t>
            </w:r>
          </w:p>
        </w:tc>
        <w:tc>
          <w:tcPr>
            <w:tcW w:w="589" w:type="pct"/>
            <w:tcBorders>
              <w:top w:val="single" w:sz="4" w:space="0" w:color="auto"/>
              <w:left w:val="single" w:sz="4" w:space="0" w:color="auto"/>
              <w:bottom w:val="single" w:sz="4" w:space="0" w:color="auto"/>
              <w:right w:val="single" w:sz="4" w:space="0" w:color="auto"/>
            </w:tcBorders>
          </w:tcPr>
          <w:p w14:paraId="75024ED7" w14:textId="1C50987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4978144" w14:textId="4401C95D" w:rsidR="003A5A4B" w:rsidRPr="00C5124A" w:rsidRDefault="003A5A4B" w:rsidP="003A5A4B">
            <w:pPr>
              <w:ind w:left="53"/>
              <w:rPr>
                <w:bCs/>
                <w:sz w:val="22"/>
                <w:szCs w:val="22"/>
              </w:rPr>
            </w:pPr>
            <w:r w:rsidRPr="00C5124A">
              <w:rPr>
                <w:bCs/>
                <w:sz w:val="22"/>
                <w:szCs w:val="22"/>
              </w:rPr>
              <w:t>čl. 9 odst. 3</w:t>
            </w:r>
          </w:p>
        </w:tc>
        <w:tc>
          <w:tcPr>
            <w:tcW w:w="1304" w:type="pct"/>
            <w:tcBorders>
              <w:top w:val="single" w:sz="4" w:space="0" w:color="auto"/>
              <w:left w:val="single" w:sz="4" w:space="0" w:color="auto"/>
              <w:bottom w:val="single" w:sz="4" w:space="0" w:color="auto"/>
              <w:right w:val="single" w:sz="4" w:space="0" w:color="auto"/>
            </w:tcBorders>
          </w:tcPr>
          <w:p w14:paraId="2A0C2D09"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3.   Odchylně od odstavce 1 a v souladu s postupem podle odstavce 2 mohou příslušné orgány požadovat povolení pro budování prvků sítí VHCN nebo přiřazených zařízení v těchto situacích:</w:t>
            </w:r>
          </w:p>
          <w:tbl>
            <w:tblPr>
              <w:tblW w:w="5000" w:type="pct"/>
              <w:shd w:val="clear" w:color="auto" w:fill="FFFFFF"/>
              <w:tblCellMar>
                <w:left w:w="0" w:type="dxa"/>
                <w:right w:w="0" w:type="dxa"/>
              </w:tblCellMar>
              <w:tblLook w:val="04A0" w:firstRow="1" w:lastRow="0" w:firstColumn="1" w:lastColumn="0" w:noHBand="0" w:noVBand="1"/>
            </w:tblPr>
            <w:tblGrid>
              <w:gridCol w:w="129"/>
              <w:gridCol w:w="3511"/>
            </w:tblGrid>
            <w:tr w:rsidR="003A5A4B" w:rsidRPr="00C5124A" w14:paraId="67DF9367" w14:textId="77777777" w:rsidTr="000A1C75">
              <w:trPr>
                <w:cantSplit/>
                <w:tblHeader/>
              </w:trPr>
              <w:tc>
                <w:tcPr>
                  <w:tcW w:w="210" w:type="dxa"/>
                  <w:shd w:val="clear" w:color="auto" w:fill="FFFFFF"/>
                  <w:hideMark/>
                </w:tcPr>
                <w:p w14:paraId="30286AD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19979944"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případě fyzické infrastruktury nebo některých kategorií fyzické infrastruktury chráněných z důvodu architektonické, historické, náboženské nebo environmentální hodnoty nebo jinak chráněných podle vnitrostátního práva, nebo</w:t>
                  </w:r>
                </w:p>
              </w:tc>
            </w:tr>
          </w:tbl>
          <w:p w14:paraId="0726BE1F"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0"/>
              <w:gridCol w:w="3500"/>
            </w:tblGrid>
            <w:tr w:rsidR="003A5A4B" w:rsidRPr="00C5124A" w14:paraId="742E328C" w14:textId="77777777" w:rsidTr="000A1C75">
              <w:tc>
                <w:tcPr>
                  <w:tcW w:w="225" w:type="dxa"/>
                  <w:shd w:val="clear" w:color="auto" w:fill="FFFFFF"/>
                  <w:hideMark/>
                </w:tcPr>
                <w:p w14:paraId="74586DB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7F76307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xml:space="preserve">) pokud je to nutné z důvodů veřejného pořádku, obrany, bezpečnosti, environmentálních důvodů nebo </w:t>
                  </w:r>
                  <w:r w:rsidRPr="00C5124A">
                    <w:rPr>
                      <w:color w:val="333333"/>
                      <w:sz w:val="22"/>
                      <w:szCs w:val="22"/>
                    </w:rPr>
                    <w:lastRenderedPageBreak/>
                    <w:t>důvodů veřejného zdraví nebo pro ochranu bezpečnosti kritické infrastruktury.</w:t>
                  </w:r>
                </w:p>
              </w:tc>
            </w:tr>
          </w:tbl>
          <w:p w14:paraId="734714F2"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p>
        </w:tc>
      </w:tr>
      <w:tr w:rsidR="003A5A4B" w:rsidRPr="00C5124A" w14:paraId="3D76E2B2" w14:textId="77777777" w:rsidTr="00B563D5">
        <w:tc>
          <w:tcPr>
            <w:tcW w:w="887" w:type="pct"/>
            <w:tcBorders>
              <w:top w:val="single" w:sz="4" w:space="0" w:color="auto"/>
              <w:left w:val="single" w:sz="4" w:space="0" w:color="auto"/>
              <w:bottom w:val="single" w:sz="4" w:space="0" w:color="auto"/>
              <w:right w:val="single" w:sz="4" w:space="0" w:color="auto"/>
            </w:tcBorders>
          </w:tcPr>
          <w:p w14:paraId="685EACC7" w14:textId="7A3AFDB9"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C1F57" w:rsidRPr="00C5124A">
              <w:rPr>
                <w:bCs/>
                <w:sz w:val="22"/>
                <w:szCs w:val="22"/>
              </w:rPr>
              <w:t>1</w:t>
            </w:r>
          </w:p>
        </w:tc>
        <w:tc>
          <w:tcPr>
            <w:tcW w:w="1644" w:type="pct"/>
            <w:tcBorders>
              <w:top w:val="single" w:sz="4" w:space="0" w:color="auto"/>
              <w:left w:val="single" w:sz="4" w:space="0" w:color="auto"/>
              <w:bottom w:val="single" w:sz="4" w:space="0" w:color="auto"/>
              <w:right w:val="single" w:sz="4" w:space="0" w:color="auto"/>
            </w:tcBorders>
          </w:tcPr>
          <w:p w14:paraId="1AA9D756" w14:textId="77777777" w:rsidR="009C1F57" w:rsidRPr="00C5124A" w:rsidRDefault="009C1F57" w:rsidP="009C1F57">
            <w:pPr>
              <w:jc w:val="both"/>
            </w:pPr>
            <w:r w:rsidRPr="00C5124A">
              <w:t xml:space="preserve">(1) Přílohou žádosti o přístup k fyzické infrastruktuře uvnitř budovy podle čl. 11 odst. 3 nařízení Evropského parlamentu a Rady (EU) 2024/1309 musí být též návrh na uzavření smlouvy </w:t>
            </w:r>
            <w:bookmarkStart w:id="18" w:name="_Hlk183697368"/>
            <w:r w:rsidRPr="00C5124A">
              <w:t>o přístupu k fyzické infrastruktuře uvnitř budovy</w:t>
            </w:r>
            <w:bookmarkEnd w:id="18"/>
            <w:r w:rsidRPr="00C5124A">
              <w:t xml:space="preserve">, který vymezí fyzickou infrastrukturu uvnitř budovy, ke které provozovatel veřejné sítě elektronických komunikací žádá přístup, podmínky požadovaného přístupu a návrh práv a povinností smluvních stran týkající se trvalého umístění prvku sítě s velmi vysokou kapacitou ve fyzické infrastruktuře uvnitř budovy. </w:t>
            </w:r>
          </w:p>
          <w:p w14:paraId="13174090" w14:textId="00B6CF18" w:rsidR="003A5A4B" w:rsidRPr="00C5124A" w:rsidRDefault="009C1F57" w:rsidP="009C1F57">
            <w:pPr>
              <w:jc w:val="both"/>
              <w:rPr>
                <w:bCs/>
                <w:sz w:val="22"/>
                <w:szCs w:val="22"/>
              </w:rPr>
            </w:pPr>
            <w:r w:rsidRPr="00C5124A">
              <w:rPr>
                <w:bCs/>
              </w:rPr>
              <w:t>(2) Prováděcí předpis stanoví, které technické normy a v jakém rozsahu jsou závazné pro všechny nové budovy a významné renovace budov z hlediska fyzické infrastruktury uvnitř budovy.</w:t>
            </w:r>
          </w:p>
        </w:tc>
        <w:tc>
          <w:tcPr>
            <w:tcW w:w="589" w:type="pct"/>
            <w:tcBorders>
              <w:top w:val="single" w:sz="4" w:space="0" w:color="auto"/>
              <w:left w:val="single" w:sz="4" w:space="0" w:color="auto"/>
              <w:bottom w:val="single" w:sz="4" w:space="0" w:color="auto"/>
              <w:right w:val="single" w:sz="4" w:space="0" w:color="auto"/>
            </w:tcBorders>
          </w:tcPr>
          <w:p w14:paraId="7E1487DC" w14:textId="79544087"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4AD01EC" w14:textId="552C5109" w:rsidR="003A5A4B" w:rsidRPr="00C5124A" w:rsidRDefault="003A5A4B" w:rsidP="003A5A4B">
            <w:pPr>
              <w:ind w:left="53"/>
              <w:rPr>
                <w:bCs/>
                <w:sz w:val="22"/>
                <w:szCs w:val="22"/>
              </w:rPr>
            </w:pPr>
            <w:r w:rsidRPr="00C5124A">
              <w:rPr>
                <w:bCs/>
                <w:sz w:val="22"/>
                <w:szCs w:val="22"/>
              </w:rPr>
              <w:t>čl. 11 odst. 5</w:t>
            </w:r>
          </w:p>
        </w:tc>
        <w:tc>
          <w:tcPr>
            <w:tcW w:w="1304" w:type="pct"/>
            <w:tcBorders>
              <w:top w:val="single" w:sz="4" w:space="0" w:color="auto"/>
              <w:left w:val="single" w:sz="4" w:space="0" w:color="auto"/>
              <w:bottom w:val="single" w:sz="4" w:space="0" w:color="auto"/>
              <w:right w:val="single" w:sz="4" w:space="0" w:color="auto"/>
            </w:tcBorders>
          </w:tcPr>
          <w:p w14:paraId="2C2FB671" w14:textId="6FB6F228" w:rsidR="003A5A4B" w:rsidRPr="00C5124A" w:rsidRDefault="003A5A4B" w:rsidP="003A5A4B">
            <w:pPr>
              <w:ind w:left="63"/>
              <w:rPr>
                <w:color w:val="333333"/>
                <w:sz w:val="22"/>
                <w:szCs w:val="22"/>
                <w:shd w:val="clear" w:color="auto" w:fill="FFFFFF"/>
              </w:rPr>
            </w:pPr>
            <w:r w:rsidRPr="00C5124A">
              <w:rPr>
                <w:color w:val="333333"/>
                <w:sz w:val="22"/>
                <w:szCs w:val="22"/>
                <w:shd w:val="clear" w:color="auto" w:fill="FFFFFF"/>
              </w:rPr>
              <w:t>5.   Tímto článkem není dotčeno vlastnické právo vlastníka přístupového bodu nebo fyzické infrastruktury uvnitř budovy, pokud držitel práva k užívání této infrastruktury nebo přístupového bodu není jejich vlastníkem, ani vlastnické právo jakýchkoliv třetích stran, jako jsou vlastníci pozemků a vlastníci budov.</w:t>
            </w:r>
          </w:p>
        </w:tc>
      </w:tr>
      <w:tr w:rsidR="003A5A4B" w:rsidRPr="00C5124A" w14:paraId="7D146021" w14:textId="77777777" w:rsidTr="00B563D5">
        <w:tc>
          <w:tcPr>
            <w:tcW w:w="887" w:type="pct"/>
            <w:tcBorders>
              <w:top w:val="single" w:sz="4" w:space="0" w:color="auto"/>
              <w:left w:val="single" w:sz="4" w:space="0" w:color="auto"/>
              <w:bottom w:val="single" w:sz="4" w:space="0" w:color="auto"/>
              <w:right w:val="single" w:sz="4" w:space="0" w:color="auto"/>
            </w:tcBorders>
          </w:tcPr>
          <w:p w14:paraId="2A353E13" w14:textId="105E7489" w:rsidR="003A5A4B" w:rsidRPr="00C5124A" w:rsidRDefault="003A5A4B" w:rsidP="003A5A4B">
            <w:pPr>
              <w:suppressAutoHyphens/>
              <w:spacing w:line="276" w:lineRule="auto"/>
              <w:ind w:left="117"/>
              <w:rPr>
                <w:bCs/>
                <w:sz w:val="22"/>
                <w:szCs w:val="22"/>
              </w:rPr>
            </w:pPr>
            <w:r w:rsidRPr="00C5124A">
              <w:rPr>
                <w:bCs/>
                <w:sz w:val="22"/>
                <w:szCs w:val="22"/>
              </w:rPr>
              <w:t>§ 1</w:t>
            </w:r>
            <w:r w:rsidR="009C1F57" w:rsidRPr="00C5124A">
              <w:rPr>
                <w:bCs/>
                <w:sz w:val="22"/>
                <w:szCs w:val="22"/>
              </w:rPr>
              <w:t>1</w:t>
            </w:r>
          </w:p>
        </w:tc>
        <w:tc>
          <w:tcPr>
            <w:tcW w:w="1644" w:type="pct"/>
            <w:tcBorders>
              <w:top w:val="single" w:sz="4" w:space="0" w:color="auto"/>
              <w:left w:val="single" w:sz="4" w:space="0" w:color="auto"/>
              <w:bottom w:val="single" w:sz="4" w:space="0" w:color="auto"/>
              <w:right w:val="single" w:sz="4" w:space="0" w:color="auto"/>
            </w:tcBorders>
          </w:tcPr>
          <w:p w14:paraId="0A275DFD" w14:textId="77777777" w:rsidR="009C1F57" w:rsidRPr="00C5124A" w:rsidRDefault="009C1F57" w:rsidP="009C1F57">
            <w:pPr>
              <w:jc w:val="both"/>
            </w:pPr>
            <w:r w:rsidRPr="00C5124A">
              <w:t xml:space="preserve">(1) Přílohou žádosti o přístup k fyzické infrastruktuře uvnitř budovy podle čl. 11 odst. 3 nařízení Evropského parlamentu a Rady (EU) 2024/1309 musí být též návrh na uzavření smlouvy o přístupu k fyzické infrastruktuře uvnitř budovy, který vymezí fyzickou infrastrukturu uvnitř budovy, ke které provozovatel veřejné sítě elektronických komunikací žádá přístup, podmínky požadovaného přístupu a návrh práv a povinností smluvních stran týkající se trvalého </w:t>
            </w:r>
            <w:r w:rsidRPr="00C5124A">
              <w:lastRenderedPageBreak/>
              <w:t xml:space="preserve">umístění prvku sítě s velmi vysokou kapacitou ve fyzické infrastruktuře uvnitř budovy. </w:t>
            </w:r>
          </w:p>
          <w:p w14:paraId="579B2077" w14:textId="234D6AE2" w:rsidR="003A5A4B" w:rsidRPr="00C5124A" w:rsidRDefault="009C1F57" w:rsidP="009C1F57">
            <w:pPr>
              <w:jc w:val="both"/>
              <w:rPr>
                <w:bCs/>
                <w:sz w:val="22"/>
                <w:szCs w:val="22"/>
              </w:rPr>
            </w:pPr>
            <w:r w:rsidRPr="00C5124A">
              <w:rPr>
                <w:bCs/>
              </w:rPr>
              <w:t>(2) Prováděcí předpis stanoví, které technické normy a v jakém rozsahu jsou závazné pro všechny nové budovy a významné renovace budov z hlediska fyzické infrastruktury uvnitř budovy.</w:t>
            </w:r>
          </w:p>
        </w:tc>
        <w:tc>
          <w:tcPr>
            <w:tcW w:w="589" w:type="pct"/>
            <w:tcBorders>
              <w:top w:val="single" w:sz="4" w:space="0" w:color="auto"/>
              <w:left w:val="single" w:sz="4" w:space="0" w:color="auto"/>
              <w:bottom w:val="single" w:sz="4" w:space="0" w:color="auto"/>
              <w:right w:val="single" w:sz="4" w:space="0" w:color="auto"/>
            </w:tcBorders>
          </w:tcPr>
          <w:p w14:paraId="75394C98" w14:textId="303C7D32"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323C5B7B" w14:textId="30B8E038" w:rsidR="003A5A4B" w:rsidRPr="00C5124A" w:rsidRDefault="003A5A4B" w:rsidP="003A5A4B">
            <w:pPr>
              <w:ind w:left="53"/>
              <w:rPr>
                <w:bCs/>
                <w:sz w:val="22"/>
                <w:szCs w:val="22"/>
              </w:rPr>
            </w:pPr>
            <w:r w:rsidRPr="00C5124A">
              <w:rPr>
                <w:bCs/>
                <w:sz w:val="22"/>
                <w:szCs w:val="22"/>
              </w:rPr>
              <w:t>čl. 11 odst. 1</w:t>
            </w:r>
          </w:p>
        </w:tc>
        <w:tc>
          <w:tcPr>
            <w:tcW w:w="1304" w:type="pct"/>
            <w:tcBorders>
              <w:top w:val="single" w:sz="4" w:space="0" w:color="auto"/>
              <w:left w:val="single" w:sz="4" w:space="0" w:color="auto"/>
              <w:bottom w:val="single" w:sz="4" w:space="0" w:color="auto"/>
              <w:right w:val="single" w:sz="4" w:space="0" w:color="auto"/>
            </w:tcBorders>
          </w:tcPr>
          <w:p w14:paraId="508E45B0" w14:textId="11B8C11C" w:rsidR="003A5A4B" w:rsidRPr="00C5124A" w:rsidRDefault="003A5A4B" w:rsidP="003A5A4B">
            <w:pPr>
              <w:ind w:left="63"/>
              <w:rPr>
                <w:color w:val="333333"/>
                <w:sz w:val="22"/>
                <w:szCs w:val="22"/>
                <w:shd w:val="clear" w:color="auto" w:fill="FFFFFF"/>
              </w:rPr>
            </w:pPr>
            <w:r w:rsidRPr="00C5124A">
              <w:rPr>
                <w:color w:val="333333"/>
                <w:sz w:val="22"/>
                <w:szCs w:val="22"/>
                <w:shd w:val="clear" w:color="auto" w:fill="FFFFFF"/>
              </w:rPr>
              <w:t>1.   S výhradou odstavce 3, a aniž jsou dotčena vlastnická práva, je každý poskytovatel veřejné sítě elektronických komunikací oprávněn zavést svou síť na vlastní náklady až k přístupovému bodu.</w:t>
            </w:r>
          </w:p>
        </w:tc>
      </w:tr>
      <w:tr w:rsidR="003A5A4B" w:rsidRPr="00C5124A" w14:paraId="1E2FEDE8" w14:textId="77777777" w:rsidTr="00B563D5">
        <w:tc>
          <w:tcPr>
            <w:tcW w:w="887" w:type="pct"/>
            <w:tcBorders>
              <w:top w:val="single" w:sz="4" w:space="0" w:color="auto"/>
              <w:left w:val="single" w:sz="4" w:space="0" w:color="auto"/>
              <w:bottom w:val="single" w:sz="4" w:space="0" w:color="auto"/>
              <w:right w:val="single" w:sz="4" w:space="0" w:color="auto"/>
            </w:tcBorders>
          </w:tcPr>
          <w:p w14:paraId="5318C166" w14:textId="63C0A26E" w:rsidR="003A5A4B" w:rsidRPr="00C5124A" w:rsidRDefault="003A5A4B" w:rsidP="003A5A4B">
            <w:pPr>
              <w:suppressAutoHyphens/>
              <w:spacing w:line="276" w:lineRule="auto"/>
              <w:ind w:left="117"/>
              <w:rPr>
                <w:bCs/>
                <w:sz w:val="22"/>
                <w:szCs w:val="22"/>
              </w:rPr>
            </w:pPr>
            <w:r w:rsidRPr="00C5124A">
              <w:rPr>
                <w:bCs/>
                <w:sz w:val="22"/>
                <w:szCs w:val="22"/>
              </w:rPr>
              <w:t>§ 1</w:t>
            </w:r>
            <w:r w:rsidR="009C1F57" w:rsidRPr="00C5124A">
              <w:rPr>
                <w:bCs/>
                <w:sz w:val="22"/>
                <w:szCs w:val="22"/>
              </w:rPr>
              <w:t>1</w:t>
            </w:r>
          </w:p>
        </w:tc>
        <w:tc>
          <w:tcPr>
            <w:tcW w:w="1644" w:type="pct"/>
            <w:tcBorders>
              <w:top w:val="single" w:sz="4" w:space="0" w:color="auto"/>
              <w:left w:val="single" w:sz="4" w:space="0" w:color="auto"/>
              <w:bottom w:val="single" w:sz="4" w:space="0" w:color="auto"/>
              <w:right w:val="single" w:sz="4" w:space="0" w:color="auto"/>
            </w:tcBorders>
          </w:tcPr>
          <w:p w14:paraId="39F99E3C" w14:textId="77777777" w:rsidR="009C1F57" w:rsidRPr="00C5124A" w:rsidRDefault="009C1F57" w:rsidP="009C1F57">
            <w:pPr>
              <w:jc w:val="both"/>
            </w:pPr>
            <w:r w:rsidRPr="00C5124A">
              <w:t xml:space="preserve">(1) Přílohou žádosti o přístup k fyzické infrastruktuře uvnitř budovy podle čl. 11 odst. 3 nařízení Evropského parlamentu a Rady (EU) 2024/1309 musí být též návrh na uzavření smlouvy o přístupu k fyzické infrastruktuře uvnitř budovy, který vymezí fyzickou infrastrukturu uvnitř budovy, ke které provozovatel veřejné sítě elektronických komunikací žádá přístup, podmínky požadovaného přístupu a návrh práv a povinností smluvních stran týkající se trvalého umístění prvku sítě s velmi vysokou kapacitou ve fyzické infrastruktuře uvnitř budovy. </w:t>
            </w:r>
          </w:p>
          <w:p w14:paraId="77C0529F" w14:textId="383849C6" w:rsidR="003A5A4B" w:rsidRPr="00C5124A" w:rsidRDefault="009C1F57" w:rsidP="009C1F57">
            <w:pPr>
              <w:jc w:val="both"/>
              <w:rPr>
                <w:bCs/>
                <w:sz w:val="22"/>
                <w:szCs w:val="22"/>
              </w:rPr>
            </w:pPr>
            <w:r w:rsidRPr="00C5124A">
              <w:rPr>
                <w:bCs/>
              </w:rPr>
              <w:t>(2) Prováděcí předpis stanoví, které technické normy a v jakém rozsahu jsou závazné pro všechny nové budovy a významné renovace budov z hlediska fyzické infrastruktury uvnitř budovy.</w:t>
            </w:r>
          </w:p>
        </w:tc>
        <w:tc>
          <w:tcPr>
            <w:tcW w:w="589" w:type="pct"/>
            <w:tcBorders>
              <w:top w:val="single" w:sz="4" w:space="0" w:color="auto"/>
              <w:left w:val="single" w:sz="4" w:space="0" w:color="auto"/>
              <w:bottom w:val="single" w:sz="4" w:space="0" w:color="auto"/>
              <w:right w:val="single" w:sz="4" w:space="0" w:color="auto"/>
            </w:tcBorders>
          </w:tcPr>
          <w:p w14:paraId="282EA589" w14:textId="1B9BAE46"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0913158" w14:textId="0929919B" w:rsidR="003A5A4B" w:rsidRPr="00C5124A" w:rsidRDefault="003A5A4B" w:rsidP="003A5A4B">
            <w:pPr>
              <w:ind w:left="53"/>
              <w:rPr>
                <w:bCs/>
                <w:sz w:val="22"/>
                <w:szCs w:val="22"/>
              </w:rPr>
            </w:pPr>
            <w:r w:rsidRPr="00C5124A">
              <w:rPr>
                <w:bCs/>
                <w:sz w:val="22"/>
                <w:szCs w:val="22"/>
              </w:rPr>
              <w:t>čl. 11 odst. 2</w:t>
            </w:r>
          </w:p>
        </w:tc>
        <w:tc>
          <w:tcPr>
            <w:tcW w:w="1304" w:type="pct"/>
            <w:tcBorders>
              <w:top w:val="single" w:sz="4" w:space="0" w:color="auto"/>
              <w:left w:val="single" w:sz="4" w:space="0" w:color="auto"/>
              <w:bottom w:val="single" w:sz="4" w:space="0" w:color="auto"/>
              <w:right w:val="single" w:sz="4" w:space="0" w:color="auto"/>
            </w:tcBorders>
          </w:tcPr>
          <w:p w14:paraId="7D1EB5C3" w14:textId="1AC38D00" w:rsidR="003A5A4B" w:rsidRPr="00C5124A" w:rsidRDefault="003A5A4B" w:rsidP="003A5A4B">
            <w:pPr>
              <w:ind w:left="63"/>
              <w:rPr>
                <w:bCs/>
                <w:sz w:val="22"/>
                <w:szCs w:val="22"/>
              </w:rPr>
            </w:pPr>
            <w:r w:rsidRPr="00C5124A">
              <w:rPr>
                <w:color w:val="333333"/>
                <w:sz w:val="22"/>
                <w:szCs w:val="22"/>
                <w:shd w:val="clear" w:color="auto" w:fill="FFFFFF"/>
              </w:rPr>
              <w:t>2.   S výhradou odstavce 3 má každý poskytovatel veřejné sítě elektronických komunikací právo na přístup ke kterékoli existující fyzické infrastruktuře uvnitř budovy za účelem budování prvků sítí VHCN, pokud je duplikace technicky nemožná nebo ekonomicky neefektivní.</w:t>
            </w:r>
          </w:p>
        </w:tc>
      </w:tr>
      <w:tr w:rsidR="003A5A4B" w:rsidRPr="00C5124A" w14:paraId="5EABFFD7" w14:textId="77777777" w:rsidTr="00B563D5">
        <w:tc>
          <w:tcPr>
            <w:tcW w:w="887" w:type="pct"/>
            <w:tcBorders>
              <w:top w:val="single" w:sz="4" w:space="0" w:color="auto"/>
              <w:left w:val="single" w:sz="4" w:space="0" w:color="auto"/>
              <w:bottom w:val="single" w:sz="4" w:space="0" w:color="auto"/>
              <w:right w:val="single" w:sz="4" w:space="0" w:color="auto"/>
            </w:tcBorders>
          </w:tcPr>
          <w:p w14:paraId="18ED7719" w14:textId="6AAFC560" w:rsidR="003A5A4B" w:rsidRPr="00C5124A" w:rsidRDefault="003A5A4B" w:rsidP="003A5A4B">
            <w:pPr>
              <w:suppressAutoHyphens/>
              <w:spacing w:line="276" w:lineRule="auto"/>
              <w:ind w:left="117"/>
              <w:rPr>
                <w:bCs/>
                <w:sz w:val="22"/>
                <w:szCs w:val="22"/>
              </w:rPr>
            </w:pPr>
            <w:r w:rsidRPr="00C5124A">
              <w:rPr>
                <w:bCs/>
                <w:sz w:val="22"/>
                <w:szCs w:val="22"/>
              </w:rPr>
              <w:t>§ 1</w:t>
            </w:r>
            <w:r w:rsidR="009C1F57" w:rsidRPr="00C5124A">
              <w:rPr>
                <w:bCs/>
                <w:sz w:val="22"/>
                <w:szCs w:val="22"/>
              </w:rPr>
              <w:t>1</w:t>
            </w:r>
          </w:p>
        </w:tc>
        <w:tc>
          <w:tcPr>
            <w:tcW w:w="1644" w:type="pct"/>
            <w:tcBorders>
              <w:top w:val="single" w:sz="4" w:space="0" w:color="auto"/>
              <w:left w:val="single" w:sz="4" w:space="0" w:color="auto"/>
              <w:bottom w:val="single" w:sz="4" w:space="0" w:color="auto"/>
              <w:right w:val="single" w:sz="4" w:space="0" w:color="auto"/>
            </w:tcBorders>
          </w:tcPr>
          <w:p w14:paraId="057B53B9" w14:textId="77777777" w:rsidR="009C1F57" w:rsidRPr="00C5124A" w:rsidRDefault="009C1F57" w:rsidP="009C1F57">
            <w:pPr>
              <w:jc w:val="both"/>
            </w:pPr>
            <w:r w:rsidRPr="00C5124A">
              <w:t xml:space="preserve">(1) Přílohou žádosti o přístup k fyzické infrastruktuře uvnitř budovy podle čl. 11 odst. 3 nařízení Evropského parlamentu a Rady (EU) 2024/1309 musí být též návrh na uzavření smlouvy o přístupu k fyzické infrastruktuře uvnitř budovy, který vymezí fyzickou infrastrukturu uvnitř budovy, ke které </w:t>
            </w:r>
            <w:r w:rsidRPr="00C5124A">
              <w:lastRenderedPageBreak/>
              <w:t xml:space="preserve">provozovatel veřejné sítě elektronických komunikací žádá přístup, podmínky požadovaného přístupu a návrh práv a povinností smluvních stran týkající se trvalého umístění prvku sítě s velmi vysokou kapacitou ve fyzické infrastruktuře uvnitř budovy. </w:t>
            </w:r>
          </w:p>
          <w:p w14:paraId="68FEB832" w14:textId="67478299" w:rsidR="003A5A4B" w:rsidRPr="00C5124A" w:rsidRDefault="009C1F57" w:rsidP="009C1F57">
            <w:pPr>
              <w:jc w:val="both"/>
              <w:rPr>
                <w:bCs/>
                <w:sz w:val="22"/>
                <w:szCs w:val="22"/>
              </w:rPr>
            </w:pPr>
            <w:r w:rsidRPr="00C5124A">
              <w:rPr>
                <w:bCs/>
              </w:rPr>
              <w:t>(2) Prováděcí předpis stanoví, které technické normy a v jakém rozsahu jsou závazné pro všechny nové budovy a významné renovace budov z hlediska fyzické infrastruktury uvnitř budovy.</w:t>
            </w:r>
          </w:p>
        </w:tc>
        <w:tc>
          <w:tcPr>
            <w:tcW w:w="589" w:type="pct"/>
            <w:tcBorders>
              <w:top w:val="single" w:sz="4" w:space="0" w:color="auto"/>
              <w:left w:val="single" w:sz="4" w:space="0" w:color="auto"/>
              <w:bottom w:val="single" w:sz="4" w:space="0" w:color="auto"/>
              <w:right w:val="single" w:sz="4" w:space="0" w:color="auto"/>
            </w:tcBorders>
          </w:tcPr>
          <w:p w14:paraId="0EED4643" w14:textId="3E79755E"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3FAD21A0" w14:textId="2E024CA9" w:rsidR="003A5A4B" w:rsidRPr="00C5124A" w:rsidRDefault="003A5A4B" w:rsidP="003A5A4B">
            <w:pPr>
              <w:ind w:left="53"/>
              <w:rPr>
                <w:bCs/>
                <w:sz w:val="22"/>
                <w:szCs w:val="22"/>
              </w:rPr>
            </w:pPr>
            <w:r w:rsidRPr="00C5124A">
              <w:rPr>
                <w:bCs/>
                <w:sz w:val="22"/>
                <w:szCs w:val="22"/>
              </w:rPr>
              <w:t>čl. 11 odst. 3</w:t>
            </w:r>
          </w:p>
        </w:tc>
        <w:tc>
          <w:tcPr>
            <w:tcW w:w="1304" w:type="pct"/>
            <w:tcBorders>
              <w:top w:val="single" w:sz="4" w:space="0" w:color="auto"/>
              <w:left w:val="single" w:sz="4" w:space="0" w:color="auto"/>
              <w:bottom w:val="single" w:sz="4" w:space="0" w:color="auto"/>
              <w:right w:val="single" w:sz="4" w:space="0" w:color="auto"/>
            </w:tcBorders>
          </w:tcPr>
          <w:p w14:paraId="6FEFD42F" w14:textId="2943B2C2" w:rsidR="003A5A4B" w:rsidRPr="00C5124A" w:rsidRDefault="003A5A4B" w:rsidP="003A5A4B">
            <w:pPr>
              <w:ind w:left="63"/>
              <w:rPr>
                <w:bCs/>
                <w:sz w:val="22"/>
                <w:szCs w:val="22"/>
              </w:rPr>
            </w:pPr>
            <w:r w:rsidRPr="00C5124A">
              <w:rPr>
                <w:color w:val="333333"/>
                <w:sz w:val="22"/>
                <w:szCs w:val="22"/>
                <w:shd w:val="clear" w:color="auto" w:fill="FFFFFF"/>
              </w:rPr>
              <w:t xml:space="preserve">3.   Držitel práva na užívání přístupového bodu a fyzické infrastruktury uvnitř budovy vyhoví všem přiměřeným písemným žádostem o přístup k přístupovému bodu a fyzické infrastruktuře uvnitř budovy ze strany poskytovatelů veřejné sítě elektronických komunikací </w:t>
            </w:r>
            <w:r w:rsidRPr="00C5124A">
              <w:rPr>
                <w:color w:val="333333"/>
                <w:sz w:val="22"/>
                <w:szCs w:val="22"/>
                <w:shd w:val="clear" w:color="auto" w:fill="FFFFFF"/>
              </w:rPr>
              <w:lastRenderedPageBreak/>
              <w:t>za spravedlivých, přiměřených a nediskriminačních podmínek, včetně ceny, je-li to na místě. Členské státy mohou upřesnit náležitosti týkající se administrativních aspektů žádosti.</w:t>
            </w:r>
          </w:p>
        </w:tc>
      </w:tr>
      <w:tr w:rsidR="003A5A4B" w:rsidRPr="00C5124A" w14:paraId="4DC16562" w14:textId="77777777" w:rsidTr="00B563D5">
        <w:tc>
          <w:tcPr>
            <w:tcW w:w="887" w:type="pct"/>
            <w:tcBorders>
              <w:top w:val="single" w:sz="4" w:space="0" w:color="auto"/>
              <w:left w:val="single" w:sz="4" w:space="0" w:color="auto"/>
              <w:bottom w:val="single" w:sz="4" w:space="0" w:color="auto"/>
              <w:right w:val="single" w:sz="4" w:space="0" w:color="auto"/>
            </w:tcBorders>
          </w:tcPr>
          <w:p w14:paraId="173A28E9" w14:textId="30F2F75E"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C1F57" w:rsidRPr="00C5124A">
              <w:rPr>
                <w:bCs/>
                <w:sz w:val="22"/>
                <w:szCs w:val="22"/>
              </w:rPr>
              <w:t>1</w:t>
            </w:r>
            <w:r w:rsidRPr="00C5124A">
              <w:rPr>
                <w:bCs/>
                <w:sz w:val="22"/>
                <w:szCs w:val="22"/>
              </w:rPr>
              <w:t xml:space="preserve"> odst. 2</w:t>
            </w:r>
          </w:p>
        </w:tc>
        <w:tc>
          <w:tcPr>
            <w:tcW w:w="1644" w:type="pct"/>
            <w:tcBorders>
              <w:top w:val="single" w:sz="4" w:space="0" w:color="auto"/>
              <w:left w:val="single" w:sz="4" w:space="0" w:color="auto"/>
              <w:bottom w:val="single" w:sz="4" w:space="0" w:color="auto"/>
              <w:right w:val="single" w:sz="4" w:space="0" w:color="auto"/>
            </w:tcBorders>
          </w:tcPr>
          <w:p w14:paraId="2D402DEA" w14:textId="304AC63B" w:rsidR="003A5A4B" w:rsidRPr="00C5124A" w:rsidRDefault="00944D3A" w:rsidP="003A5A4B">
            <w:pPr>
              <w:jc w:val="both"/>
              <w:rPr>
                <w:sz w:val="22"/>
                <w:szCs w:val="22"/>
              </w:rPr>
            </w:pPr>
            <w:r w:rsidRPr="00C5124A">
              <w:rPr>
                <w:bCs/>
              </w:rPr>
              <w:t>(2) Prováděcí předpis stanoví, které technické normy a v jakém rozsahu jsou závazné pro všechny nové budovy a významné renovace budov z hlediska fyzické infrastruktury uvnitř budovy.</w:t>
            </w:r>
          </w:p>
        </w:tc>
        <w:tc>
          <w:tcPr>
            <w:tcW w:w="589" w:type="pct"/>
            <w:tcBorders>
              <w:top w:val="single" w:sz="4" w:space="0" w:color="auto"/>
              <w:left w:val="single" w:sz="4" w:space="0" w:color="auto"/>
              <w:bottom w:val="single" w:sz="4" w:space="0" w:color="auto"/>
              <w:right w:val="single" w:sz="4" w:space="0" w:color="auto"/>
            </w:tcBorders>
          </w:tcPr>
          <w:p w14:paraId="122E377D" w14:textId="77DD3498"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21362D9" w14:textId="45D4714A" w:rsidR="003A5A4B" w:rsidRPr="00C5124A" w:rsidRDefault="003A5A4B" w:rsidP="003A5A4B">
            <w:pPr>
              <w:ind w:left="53"/>
              <w:rPr>
                <w:bCs/>
                <w:sz w:val="22"/>
                <w:szCs w:val="22"/>
              </w:rPr>
            </w:pPr>
            <w:r w:rsidRPr="00C5124A">
              <w:rPr>
                <w:bCs/>
                <w:sz w:val="22"/>
                <w:szCs w:val="22"/>
              </w:rPr>
              <w:t>čl. 10 odst. 4</w:t>
            </w:r>
          </w:p>
        </w:tc>
        <w:tc>
          <w:tcPr>
            <w:tcW w:w="1304" w:type="pct"/>
            <w:tcBorders>
              <w:top w:val="single" w:sz="4" w:space="0" w:color="auto"/>
              <w:left w:val="single" w:sz="4" w:space="0" w:color="auto"/>
              <w:bottom w:val="single" w:sz="4" w:space="0" w:color="auto"/>
              <w:right w:val="single" w:sz="4" w:space="0" w:color="auto"/>
            </w:tcBorders>
          </w:tcPr>
          <w:p w14:paraId="5300318C"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4.Do 12. listopadu 2025 členské státy po konzultaci se zainteresovanými stranami a na základě osvědčených postupů v daném odvětví přijmou příslušné normy nebo technické specifikace, které jsou nezbytné k provedení odstavců 1, 2 a 3. Tyto normy nebo technické specifikace snadno umožňují běžné údržbářské činnosti pro jednotlivé optické rozvody, které každý operátor používá k poskytování služeb sítě VHCN, a stanoví alespoň:</w:t>
            </w:r>
          </w:p>
          <w:p w14:paraId="4979A465" w14:textId="77777777" w:rsidR="003A5A4B" w:rsidRPr="00C5124A" w:rsidRDefault="003A5A4B" w:rsidP="003A5A4B">
            <w:pPr>
              <w:pStyle w:val="Default"/>
              <w:numPr>
                <w:ilvl w:val="0"/>
                <w:numId w:val="4"/>
              </w:numPr>
              <w:rPr>
                <w:rFonts w:ascii="Times New Roman" w:hAnsi="Times New Roman" w:cs="Times New Roman"/>
                <w:sz w:val="22"/>
                <w:szCs w:val="22"/>
              </w:rPr>
            </w:pPr>
          </w:p>
          <w:p w14:paraId="5AA49D0B"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specifikace přístupových bodů budovy a specifikace optických rozhraní;</w:t>
            </w:r>
          </w:p>
          <w:p w14:paraId="6D258365" w14:textId="77777777" w:rsidR="003A5A4B" w:rsidRPr="00C5124A" w:rsidRDefault="003A5A4B" w:rsidP="003A5A4B">
            <w:pPr>
              <w:pStyle w:val="Default"/>
              <w:rPr>
                <w:rFonts w:ascii="Times New Roman" w:hAnsi="Times New Roman" w:cs="Times New Roman"/>
                <w:sz w:val="22"/>
                <w:szCs w:val="22"/>
              </w:rPr>
            </w:pPr>
          </w:p>
          <w:p w14:paraId="532EA01E"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specifikace kabelů;</w:t>
            </w:r>
          </w:p>
          <w:p w14:paraId="21022829" w14:textId="77777777" w:rsidR="003A5A4B" w:rsidRPr="00C5124A" w:rsidRDefault="003A5A4B" w:rsidP="003A5A4B">
            <w:pPr>
              <w:pStyle w:val="Default"/>
              <w:rPr>
                <w:rFonts w:ascii="Times New Roman" w:hAnsi="Times New Roman" w:cs="Times New Roman"/>
                <w:sz w:val="22"/>
                <w:szCs w:val="22"/>
              </w:rPr>
            </w:pPr>
          </w:p>
          <w:p w14:paraId="6ACB6936"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specifikace zásuvek;</w:t>
            </w:r>
          </w:p>
          <w:p w14:paraId="6BFF298F" w14:textId="77777777" w:rsidR="003A5A4B" w:rsidRPr="00C5124A" w:rsidRDefault="003A5A4B" w:rsidP="003A5A4B">
            <w:pPr>
              <w:pStyle w:val="Default"/>
              <w:rPr>
                <w:rFonts w:ascii="Times New Roman" w:hAnsi="Times New Roman" w:cs="Times New Roman"/>
                <w:sz w:val="22"/>
                <w:szCs w:val="22"/>
              </w:rPr>
            </w:pPr>
          </w:p>
          <w:p w14:paraId="36EA4D62"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 xml:space="preserve">specifikace potrubí nebo </w:t>
            </w:r>
            <w:proofErr w:type="spellStart"/>
            <w:r w:rsidRPr="00C5124A">
              <w:rPr>
                <w:rFonts w:ascii="Times New Roman" w:hAnsi="Times New Roman" w:cs="Times New Roman"/>
                <w:sz w:val="22"/>
                <w:szCs w:val="22"/>
              </w:rPr>
              <w:t>mikrotrubiček</w:t>
            </w:r>
            <w:proofErr w:type="spellEnd"/>
            <w:r w:rsidRPr="00C5124A">
              <w:rPr>
                <w:rFonts w:ascii="Times New Roman" w:hAnsi="Times New Roman" w:cs="Times New Roman"/>
                <w:sz w:val="22"/>
                <w:szCs w:val="22"/>
              </w:rPr>
              <w:t>;</w:t>
            </w:r>
          </w:p>
          <w:p w14:paraId="152487A8" w14:textId="77777777" w:rsidR="003A5A4B" w:rsidRPr="00C5124A" w:rsidRDefault="003A5A4B" w:rsidP="003A5A4B">
            <w:pPr>
              <w:pStyle w:val="Default"/>
              <w:rPr>
                <w:rFonts w:ascii="Times New Roman" w:hAnsi="Times New Roman" w:cs="Times New Roman"/>
                <w:sz w:val="22"/>
                <w:szCs w:val="22"/>
              </w:rPr>
            </w:pPr>
          </w:p>
          <w:p w14:paraId="35750788"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lastRenderedPageBreak/>
              <w:t>technické specifikace potřebné k zabránění interferenci s elektrickým vedením;</w:t>
            </w:r>
          </w:p>
          <w:p w14:paraId="7B5D230D" w14:textId="77777777" w:rsidR="003A5A4B" w:rsidRPr="00C5124A" w:rsidRDefault="003A5A4B" w:rsidP="003A5A4B">
            <w:pPr>
              <w:pStyle w:val="Default"/>
              <w:rPr>
                <w:rFonts w:ascii="Times New Roman" w:hAnsi="Times New Roman" w:cs="Times New Roman"/>
                <w:sz w:val="22"/>
                <w:szCs w:val="22"/>
              </w:rPr>
            </w:pPr>
          </w:p>
          <w:p w14:paraId="3F1690F9" w14:textId="77777777"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minimální poloměr ohybu;</w:t>
            </w:r>
          </w:p>
          <w:p w14:paraId="1154F31C" w14:textId="77777777" w:rsidR="003A5A4B" w:rsidRPr="00C5124A" w:rsidRDefault="003A5A4B" w:rsidP="003A5A4B">
            <w:pPr>
              <w:pStyle w:val="Default"/>
              <w:rPr>
                <w:rFonts w:ascii="Times New Roman" w:hAnsi="Times New Roman" w:cs="Times New Roman"/>
                <w:sz w:val="22"/>
                <w:szCs w:val="22"/>
              </w:rPr>
            </w:pPr>
          </w:p>
          <w:p w14:paraId="0CC3C74C" w14:textId="34BDCB49" w:rsidR="003A5A4B" w:rsidRPr="00C5124A" w:rsidRDefault="003A5A4B" w:rsidP="003A5A4B">
            <w:pPr>
              <w:pStyle w:val="Default"/>
              <w:rPr>
                <w:rFonts w:ascii="Times New Roman" w:hAnsi="Times New Roman" w:cs="Times New Roman"/>
                <w:sz w:val="22"/>
                <w:szCs w:val="22"/>
              </w:rPr>
            </w:pPr>
            <w:r w:rsidRPr="00C5124A">
              <w:rPr>
                <w:rFonts w:ascii="Times New Roman" w:hAnsi="Times New Roman" w:cs="Times New Roman"/>
                <w:sz w:val="22"/>
                <w:szCs w:val="22"/>
              </w:rPr>
              <w:t>technické specifikace kabeláže.</w:t>
            </w:r>
          </w:p>
        </w:tc>
      </w:tr>
      <w:tr w:rsidR="003A5A4B" w:rsidRPr="00C5124A" w14:paraId="73580530" w14:textId="77777777" w:rsidTr="00B563D5">
        <w:tc>
          <w:tcPr>
            <w:tcW w:w="887" w:type="pct"/>
            <w:tcBorders>
              <w:top w:val="single" w:sz="4" w:space="0" w:color="auto"/>
              <w:left w:val="single" w:sz="4" w:space="0" w:color="auto"/>
              <w:bottom w:val="single" w:sz="4" w:space="0" w:color="auto"/>
              <w:right w:val="single" w:sz="4" w:space="0" w:color="auto"/>
            </w:tcBorders>
          </w:tcPr>
          <w:p w14:paraId="5E9E0ACF" w14:textId="50E2EEC5"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70119E8F" w14:textId="1067FEE9" w:rsidR="003A5A4B" w:rsidRPr="00C5124A" w:rsidRDefault="00944D3A" w:rsidP="00944D3A">
            <w:pPr>
              <w:jc w:val="both"/>
              <w:rPr>
                <w:sz w:val="22"/>
                <w:szCs w:val="22"/>
              </w:rPr>
            </w:pPr>
            <w:r w:rsidRPr="00C5124A">
              <w:t xml:space="preserve">(1) Úřad rozhoduje spory podle </w:t>
            </w:r>
            <w:bookmarkStart w:id="19" w:name="_Hlk190694956"/>
            <w:r w:rsidRPr="00C5124A">
              <w:t>čl. 13 odst. 1 písm. a) až d) nařízení Evropského parlamentu a Rady (EU) 2024/1309</w:t>
            </w:r>
            <w:bookmarkEnd w:id="19"/>
            <w:r w:rsidRPr="00C5124A">
              <w:t>.</w:t>
            </w:r>
          </w:p>
        </w:tc>
        <w:tc>
          <w:tcPr>
            <w:tcW w:w="589" w:type="pct"/>
            <w:tcBorders>
              <w:top w:val="single" w:sz="4" w:space="0" w:color="auto"/>
              <w:left w:val="single" w:sz="4" w:space="0" w:color="auto"/>
              <w:bottom w:val="single" w:sz="4" w:space="0" w:color="auto"/>
              <w:right w:val="single" w:sz="4" w:space="0" w:color="auto"/>
            </w:tcBorders>
          </w:tcPr>
          <w:p w14:paraId="6EFCBB59" w14:textId="08682EB5"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70AC38A5" w14:textId="5FFFD8C3" w:rsidR="003A5A4B" w:rsidRPr="00C5124A" w:rsidRDefault="003A5A4B" w:rsidP="003A5A4B">
            <w:pPr>
              <w:ind w:left="53"/>
              <w:rPr>
                <w:bCs/>
                <w:sz w:val="22"/>
                <w:szCs w:val="22"/>
              </w:rPr>
            </w:pPr>
            <w:r w:rsidRPr="00C5124A">
              <w:rPr>
                <w:bCs/>
                <w:sz w:val="22"/>
                <w:szCs w:val="22"/>
              </w:rPr>
              <w:t>čl. 13 odst. 5</w:t>
            </w:r>
          </w:p>
        </w:tc>
        <w:tc>
          <w:tcPr>
            <w:tcW w:w="1304" w:type="pct"/>
            <w:tcBorders>
              <w:top w:val="single" w:sz="4" w:space="0" w:color="auto"/>
              <w:left w:val="single" w:sz="4" w:space="0" w:color="auto"/>
              <w:bottom w:val="single" w:sz="4" w:space="0" w:color="auto"/>
              <w:right w:val="single" w:sz="4" w:space="0" w:color="auto"/>
            </w:tcBorders>
          </w:tcPr>
          <w:p w14:paraId="1A0600C3" w14:textId="4145F255"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5.   Tento článek doplňuje soudní opravné prostředky a postupy v souladu s článkem 47 Listiny základních práv Evropské unie, aniž by jimi byly tyto soudní opravné prostředky a postupy dotčeny.</w:t>
            </w:r>
          </w:p>
        </w:tc>
      </w:tr>
      <w:tr w:rsidR="003A5A4B" w:rsidRPr="00C5124A" w14:paraId="29569FA4" w14:textId="77777777" w:rsidTr="00B563D5">
        <w:tc>
          <w:tcPr>
            <w:tcW w:w="887" w:type="pct"/>
            <w:tcBorders>
              <w:top w:val="single" w:sz="4" w:space="0" w:color="auto"/>
              <w:left w:val="single" w:sz="4" w:space="0" w:color="auto"/>
              <w:bottom w:val="single" w:sz="4" w:space="0" w:color="auto"/>
              <w:right w:val="single" w:sz="4" w:space="0" w:color="auto"/>
            </w:tcBorders>
          </w:tcPr>
          <w:p w14:paraId="678F63D9" w14:textId="538B1E1B" w:rsidR="003A5A4B" w:rsidRPr="00C5124A" w:rsidRDefault="003A5A4B" w:rsidP="003A5A4B">
            <w:pPr>
              <w:suppressAutoHyphens/>
              <w:spacing w:line="276" w:lineRule="auto"/>
              <w:ind w:left="117"/>
              <w:rPr>
                <w:bCs/>
                <w:sz w:val="22"/>
                <w:szCs w:val="22"/>
              </w:rPr>
            </w:pPr>
            <w:r w:rsidRPr="00C5124A">
              <w:rPr>
                <w:bCs/>
                <w:sz w:val="22"/>
                <w:szCs w:val="22"/>
              </w:rPr>
              <w:t>§ 1</w:t>
            </w:r>
            <w:r w:rsidR="00944D3A" w:rsidRPr="00C5124A">
              <w:rPr>
                <w:bCs/>
                <w:sz w:val="22"/>
                <w:szCs w:val="22"/>
              </w:rPr>
              <w:t>2</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02F65DD8" w14:textId="21AD30B8" w:rsidR="003A5A4B" w:rsidRPr="00C5124A" w:rsidRDefault="00944D3A" w:rsidP="003A5A4B">
            <w:pPr>
              <w:jc w:val="both"/>
              <w:rPr>
                <w:sz w:val="22"/>
                <w:szCs w:val="22"/>
              </w:rPr>
            </w:pPr>
            <w:r w:rsidRPr="00C5124A">
              <w:t>(1) Úřad rozhoduje spory podle čl. 13 odst. 1 písm. a) až d)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407ACB0F" w14:textId="0A1B0866"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41CCE301" w14:textId="01BDCD3B" w:rsidR="003A5A4B" w:rsidRPr="00C5124A" w:rsidRDefault="003A5A4B" w:rsidP="003A5A4B">
            <w:pPr>
              <w:ind w:left="53"/>
              <w:rPr>
                <w:bCs/>
                <w:sz w:val="22"/>
                <w:szCs w:val="22"/>
              </w:rPr>
            </w:pPr>
            <w:r w:rsidRPr="00C5124A">
              <w:rPr>
                <w:bCs/>
                <w:sz w:val="22"/>
                <w:szCs w:val="22"/>
              </w:rPr>
              <w:t>čl. 13 odst. 4</w:t>
            </w:r>
          </w:p>
        </w:tc>
        <w:tc>
          <w:tcPr>
            <w:tcW w:w="1304" w:type="pct"/>
            <w:tcBorders>
              <w:top w:val="single" w:sz="4" w:space="0" w:color="auto"/>
              <w:left w:val="single" w:sz="4" w:space="0" w:color="auto"/>
              <w:bottom w:val="single" w:sz="4" w:space="0" w:color="auto"/>
              <w:right w:val="single" w:sz="4" w:space="0" w:color="auto"/>
            </w:tcBorders>
          </w:tcPr>
          <w:p w14:paraId="258F05B7"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4.   Orgány pro řešení sporů zveřejní svá rozhodnutí, přičemž dodrží zásady důvěrnosti a ochrany obchodního tajemství. Jednotné informační místo zajistí přístup k rozhodnutím zveřejněným orgány pro řešení sporů.</w:t>
            </w:r>
          </w:p>
          <w:p w14:paraId="6C2D8510" w14:textId="7ADAFEE4"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Pokud se spor týká přístupu operátora k infrastruktuře a vnitrostátním orgánem pro řešení sporů je vnitrostátní regulační orgán, zohlední se případně cíle stanovené v článku 3 směrnice (EU) 2018/1972.</w:t>
            </w:r>
          </w:p>
        </w:tc>
      </w:tr>
      <w:tr w:rsidR="003A5A4B" w:rsidRPr="00C5124A" w14:paraId="38373ED5" w14:textId="77777777" w:rsidTr="00B563D5">
        <w:tc>
          <w:tcPr>
            <w:tcW w:w="887" w:type="pct"/>
            <w:tcBorders>
              <w:top w:val="single" w:sz="4" w:space="0" w:color="auto"/>
              <w:left w:val="single" w:sz="4" w:space="0" w:color="auto"/>
              <w:bottom w:val="single" w:sz="4" w:space="0" w:color="auto"/>
              <w:right w:val="single" w:sz="4" w:space="0" w:color="auto"/>
            </w:tcBorders>
          </w:tcPr>
          <w:p w14:paraId="0BAB178E" w14:textId="693CEB7F" w:rsidR="003A5A4B" w:rsidRPr="00C5124A" w:rsidRDefault="003A5A4B" w:rsidP="003A5A4B">
            <w:pPr>
              <w:suppressAutoHyphens/>
              <w:spacing w:line="276" w:lineRule="auto"/>
              <w:ind w:left="117"/>
              <w:rPr>
                <w:bCs/>
                <w:sz w:val="22"/>
                <w:szCs w:val="22"/>
              </w:rPr>
            </w:pPr>
            <w:r w:rsidRPr="00C5124A">
              <w:rPr>
                <w:bCs/>
                <w:sz w:val="22"/>
                <w:szCs w:val="22"/>
              </w:rPr>
              <w:t>§ 1</w:t>
            </w:r>
            <w:r w:rsidR="00944D3A" w:rsidRPr="00C5124A">
              <w:rPr>
                <w:bCs/>
                <w:sz w:val="22"/>
                <w:szCs w:val="22"/>
              </w:rPr>
              <w:t>2</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3DB3584F" w14:textId="221E75DF" w:rsidR="003A5A4B" w:rsidRPr="00C5124A" w:rsidRDefault="00944D3A" w:rsidP="003A5A4B">
            <w:pPr>
              <w:suppressAutoHyphens/>
              <w:spacing w:line="276" w:lineRule="auto"/>
              <w:ind w:left="46"/>
              <w:rPr>
                <w:bCs/>
                <w:sz w:val="22"/>
                <w:szCs w:val="22"/>
              </w:rPr>
            </w:pPr>
            <w:r w:rsidRPr="00C5124A">
              <w:t xml:space="preserve">(1) Úřad rozhoduje spory podle čl. 13 odst. 1 písm. a) až d) </w:t>
            </w:r>
            <w:bookmarkStart w:id="20" w:name="_Hlk180756623"/>
            <w:r w:rsidRPr="00C5124A">
              <w:t>nařízení Evropského parlamentu a Rady (EU) 2024/1309</w:t>
            </w:r>
            <w:bookmarkEnd w:id="20"/>
            <w:r w:rsidRPr="00C5124A">
              <w:t>.</w:t>
            </w:r>
          </w:p>
        </w:tc>
        <w:tc>
          <w:tcPr>
            <w:tcW w:w="589" w:type="pct"/>
            <w:tcBorders>
              <w:top w:val="single" w:sz="4" w:space="0" w:color="auto"/>
              <w:left w:val="single" w:sz="4" w:space="0" w:color="auto"/>
              <w:bottom w:val="single" w:sz="4" w:space="0" w:color="auto"/>
              <w:right w:val="single" w:sz="4" w:space="0" w:color="auto"/>
            </w:tcBorders>
          </w:tcPr>
          <w:p w14:paraId="244FB19B" w14:textId="4A1DEA99"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205D5829" w14:textId="4C108B54" w:rsidR="003A5A4B" w:rsidRPr="00C5124A" w:rsidRDefault="003A5A4B" w:rsidP="003A5A4B">
            <w:pPr>
              <w:ind w:left="53"/>
              <w:rPr>
                <w:bCs/>
                <w:sz w:val="22"/>
                <w:szCs w:val="22"/>
              </w:rPr>
            </w:pPr>
            <w:r w:rsidRPr="00C5124A">
              <w:rPr>
                <w:bCs/>
                <w:sz w:val="22"/>
                <w:szCs w:val="22"/>
              </w:rPr>
              <w:t>čl. 13 odst. 1</w:t>
            </w:r>
          </w:p>
        </w:tc>
        <w:tc>
          <w:tcPr>
            <w:tcW w:w="1304" w:type="pct"/>
            <w:tcBorders>
              <w:top w:val="single" w:sz="4" w:space="0" w:color="auto"/>
              <w:left w:val="single" w:sz="4" w:space="0" w:color="auto"/>
              <w:bottom w:val="single" w:sz="4" w:space="0" w:color="auto"/>
              <w:right w:val="single" w:sz="4" w:space="0" w:color="auto"/>
            </w:tcBorders>
          </w:tcPr>
          <w:p w14:paraId="3673C23D"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Aniž je dotčena možnost předložit věc soudu, každá strana má právo předložit příslušnému vnitrostátnímu orgánu pro řešení sporů zřízenému podle článku 14 spor, který může vzniknout:</w:t>
            </w:r>
          </w:p>
          <w:tbl>
            <w:tblPr>
              <w:tblW w:w="5000" w:type="pct"/>
              <w:shd w:val="clear" w:color="auto" w:fill="FFFFFF"/>
              <w:tblCellMar>
                <w:left w:w="0" w:type="dxa"/>
                <w:right w:w="0" w:type="dxa"/>
              </w:tblCellMar>
              <w:tblLook w:val="04A0" w:firstRow="1" w:lastRow="0" w:firstColumn="1" w:lastColumn="0" w:noHBand="0" w:noVBand="1"/>
            </w:tblPr>
            <w:tblGrid>
              <w:gridCol w:w="132"/>
              <w:gridCol w:w="3508"/>
            </w:tblGrid>
            <w:tr w:rsidR="003A5A4B" w:rsidRPr="00C5124A" w14:paraId="7DBC8D0D" w14:textId="77777777" w:rsidTr="0080519F">
              <w:tc>
                <w:tcPr>
                  <w:tcW w:w="210" w:type="dxa"/>
                  <w:shd w:val="clear" w:color="auto" w:fill="FFFFFF"/>
                  <w:hideMark/>
                </w:tcPr>
                <w:p w14:paraId="11EF6CE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2931FCD0"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xml:space="preserve">) pokud je odmítnut přístup k existující infrastruktuře nebo nebylo dosaženo dohody o konkrétních podmínkách včetně ceny do jednoho měsíce ode dne </w:t>
                  </w:r>
                  <w:r w:rsidRPr="00C5124A">
                    <w:rPr>
                      <w:color w:val="333333"/>
                      <w:sz w:val="22"/>
                      <w:szCs w:val="22"/>
                    </w:rPr>
                    <w:lastRenderedPageBreak/>
                    <w:t>obdržení žádosti o přístup podle článku 3;</w:t>
                  </w:r>
                </w:p>
              </w:tc>
            </w:tr>
          </w:tbl>
          <w:p w14:paraId="457C3597"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2DB6A963" w14:textId="77777777" w:rsidTr="0080519F">
              <w:tc>
                <w:tcPr>
                  <w:tcW w:w="225" w:type="dxa"/>
                  <w:shd w:val="clear" w:color="auto" w:fill="FFFFFF"/>
                  <w:hideMark/>
                </w:tcPr>
                <w:p w14:paraId="4920C41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090F5ED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souvislosti s právy a povinnostmi stanovenými v článcích 4 a 6 včetně případů, kdy požadované informace nejsou poskytnuty v příslušných lhůtách;</w:t>
                  </w:r>
                </w:p>
              </w:tc>
            </w:tr>
          </w:tbl>
          <w:p w14:paraId="538D0CC9"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3A5A4B" w:rsidRPr="00C5124A" w14:paraId="1D140DEE" w14:textId="77777777" w:rsidTr="0080519F">
              <w:tc>
                <w:tcPr>
                  <w:tcW w:w="210" w:type="dxa"/>
                  <w:shd w:val="clear" w:color="auto" w:fill="FFFFFF"/>
                  <w:hideMark/>
                </w:tcPr>
                <w:p w14:paraId="6530625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0C39B65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koordinaci stavebních prací podle čl. 5 odst. 2 do jednoho měsíce ode dne obdržení formální žádosti o koordinaci stavebních prací, nebo</w:t>
                  </w:r>
                </w:p>
              </w:tc>
            </w:tr>
          </w:tbl>
          <w:p w14:paraId="25672866"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5"/>
              <w:gridCol w:w="3495"/>
            </w:tblGrid>
            <w:tr w:rsidR="003A5A4B" w:rsidRPr="00C5124A" w14:paraId="43612D89" w14:textId="77777777" w:rsidTr="0080519F">
              <w:tc>
                <w:tcPr>
                  <w:tcW w:w="225" w:type="dxa"/>
                  <w:shd w:val="clear" w:color="auto" w:fill="FFFFFF"/>
                  <w:hideMark/>
                </w:tcPr>
                <w:p w14:paraId="018588BB"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7ADB1FD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přístupu k fyzické infrastruktuře uvnitř budovy podle čl. 11 odst. 2 nebo 3 do jednoho měsíce ode dne obdržení formální žádosti o přístup.</w:t>
                  </w:r>
                </w:p>
              </w:tc>
            </w:tr>
          </w:tbl>
          <w:p w14:paraId="380BCFFF" w14:textId="4FBA6C0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V případě sporů uvedených v odst. 1 písm. a) a d), je-li subjekt, od něhož operátor požádal o přístup, zároveň subjektem oprávněným k omezení vlastnických práv třetích osob k nemovitosti, na níž, v níž nebo pod níž se nachází předmět žádosti o přístup, mohou členské státy stanovit, že příslušný vnitrostátní orgán pro řešení sporů může rovněž řešit spory ohledně omezení vlastnických práv třetích osob.</w:t>
            </w:r>
          </w:p>
        </w:tc>
      </w:tr>
      <w:tr w:rsidR="003A5A4B" w:rsidRPr="00C5124A" w14:paraId="35E676F7" w14:textId="77777777" w:rsidTr="00B563D5">
        <w:tc>
          <w:tcPr>
            <w:tcW w:w="887" w:type="pct"/>
            <w:tcBorders>
              <w:top w:val="single" w:sz="4" w:space="0" w:color="auto"/>
              <w:left w:val="single" w:sz="4" w:space="0" w:color="auto"/>
              <w:bottom w:val="single" w:sz="4" w:space="0" w:color="auto"/>
              <w:right w:val="single" w:sz="4" w:space="0" w:color="auto"/>
            </w:tcBorders>
          </w:tcPr>
          <w:p w14:paraId="56E59511" w14:textId="3B538B95"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40949507" w14:textId="243DD608" w:rsidR="003A5A4B" w:rsidRPr="00C5124A" w:rsidRDefault="00944D3A" w:rsidP="003A5A4B">
            <w:pPr>
              <w:suppressAutoHyphens/>
              <w:spacing w:line="276" w:lineRule="auto"/>
              <w:ind w:left="46"/>
              <w:rPr>
                <w:sz w:val="22"/>
                <w:szCs w:val="22"/>
              </w:rPr>
            </w:pPr>
            <w:r w:rsidRPr="00C5124A">
              <w:t>(1) Úřad rozhoduje spory podle čl. 13 odst. 1 písm. a) až d)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1F25FDF1" w14:textId="78BDDC99"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F8BDC92" w14:textId="296C751E" w:rsidR="003A5A4B" w:rsidRPr="00C5124A" w:rsidRDefault="003A5A4B" w:rsidP="003A5A4B">
            <w:pPr>
              <w:ind w:left="53"/>
              <w:rPr>
                <w:bCs/>
                <w:sz w:val="22"/>
                <w:szCs w:val="22"/>
              </w:rPr>
            </w:pPr>
            <w:r w:rsidRPr="00C5124A">
              <w:rPr>
                <w:bCs/>
                <w:sz w:val="22"/>
                <w:szCs w:val="22"/>
              </w:rPr>
              <w:t>čl. 14 odst. 3</w:t>
            </w:r>
          </w:p>
        </w:tc>
        <w:tc>
          <w:tcPr>
            <w:tcW w:w="1304" w:type="pct"/>
            <w:tcBorders>
              <w:top w:val="single" w:sz="4" w:space="0" w:color="auto"/>
              <w:left w:val="single" w:sz="4" w:space="0" w:color="auto"/>
              <w:bottom w:val="single" w:sz="4" w:space="0" w:color="auto"/>
              <w:right w:val="single" w:sz="4" w:space="0" w:color="auto"/>
            </w:tcBorders>
          </w:tcPr>
          <w:p w14:paraId="03999499" w14:textId="37A9B7C1" w:rsidR="003A5A4B" w:rsidRPr="00C5124A" w:rsidRDefault="003A5A4B" w:rsidP="003A5A4B">
            <w:pPr>
              <w:pStyle w:val="oj-normal"/>
              <w:shd w:val="clear" w:color="auto" w:fill="FFFFFF"/>
              <w:spacing w:before="0" w:beforeAutospacing="0" w:after="0" w:afterAutospacing="0"/>
              <w:jc w:val="both"/>
              <w:rPr>
                <w:color w:val="333333"/>
                <w:sz w:val="22"/>
                <w:szCs w:val="22"/>
                <w:shd w:val="clear" w:color="auto" w:fill="FFFFFF"/>
              </w:rPr>
            </w:pPr>
            <w:r w:rsidRPr="00C5124A">
              <w:rPr>
                <w:color w:val="333333"/>
                <w:sz w:val="22"/>
                <w:szCs w:val="22"/>
                <w:shd w:val="clear" w:color="auto" w:fill="FFFFFF"/>
              </w:rPr>
              <w:t>3.   Vnitrostátní orgán pro řešení sporů může účtovat poplatky na pokrytí nákladů souvisejících s plněním úkolů, které mu byly svěřeny.</w:t>
            </w:r>
          </w:p>
        </w:tc>
      </w:tr>
      <w:tr w:rsidR="003A5A4B" w:rsidRPr="00C5124A" w14:paraId="5FBDE093" w14:textId="77777777" w:rsidTr="00B563D5">
        <w:tc>
          <w:tcPr>
            <w:tcW w:w="887" w:type="pct"/>
            <w:tcBorders>
              <w:top w:val="single" w:sz="4" w:space="0" w:color="auto"/>
              <w:left w:val="single" w:sz="4" w:space="0" w:color="auto"/>
              <w:bottom w:val="single" w:sz="4" w:space="0" w:color="auto"/>
              <w:right w:val="single" w:sz="4" w:space="0" w:color="auto"/>
            </w:tcBorders>
          </w:tcPr>
          <w:p w14:paraId="763A07E6" w14:textId="3EE4CE3C"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1</w:t>
            </w:r>
          </w:p>
        </w:tc>
        <w:tc>
          <w:tcPr>
            <w:tcW w:w="1644" w:type="pct"/>
            <w:tcBorders>
              <w:top w:val="single" w:sz="4" w:space="0" w:color="auto"/>
              <w:left w:val="single" w:sz="4" w:space="0" w:color="auto"/>
              <w:bottom w:val="single" w:sz="4" w:space="0" w:color="auto"/>
              <w:right w:val="single" w:sz="4" w:space="0" w:color="auto"/>
            </w:tcBorders>
          </w:tcPr>
          <w:p w14:paraId="2B4DF8DE" w14:textId="2D197627" w:rsidR="003A5A4B" w:rsidRPr="00C5124A" w:rsidRDefault="00944D3A" w:rsidP="003A5A4B">
            <w:pPr>
              <w:suppressAutoHyphens/>
              <w:spacing w:line="276" w:lineRule="auto"/>
              <w:ind w:left="46"/>
              <w:rPr>
                <w:sz w:val="22"/>
                <w:szCs w:val="22"/>
              </w:rPr>
            </w:pPr>
            <w:r w:rsidRPr="00C5124A">
              <w:t>(1) Úřad rozhoduje spory podle čl. 13 odst. 1 písm. a) až d) nařízení Evropského parlamentu a Rady (EU) 2024/1309.</w:t>
            </w:r>
          </w:p>
        </w:tc>
        <w:tc>
          <w:tcPr>
            <w:tcW w:w="589" w:type="pct"/>
            <w:tcBorders>
              <w:top w:val="single" w:sz="4" w:space="0" w:color="auto"/>
              <w:left w:val="single" w:sz="4" w:space="0" w:color="auto"/>
              <w:bottom w:val="single" w:sz="4" w:space="0" w:color="auto"/>
              <w:right w:val="single" w:sz="4" w:space="0" w:color="auto"/>
            </w:tcBorders>
          </w:tcPr>
          <w:p w14:paraId="69512F4B" w14:textId="26C4E4CD"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A90377F" w14:textId="1EE45BD8" w:rsidR="003A5A4B" w:rsidRPr="00C5124A" w:rsidRDefault="003A5A4B" w:rsidP="003A5A4B">
            <w:pPr>
              <w:ind w:left="53"/>
              <w:rPr>
                <w:bCs/>
                <w:sz w:val="22"/>
                <w:szCs w:val="22"/>
              </w:rPr>
            </w:pPr>
            <w:r w:rsidRPr="00C5124A">
              <w:rPr>
                <w:bCs/>
                <w:sz w:val="22"/>
                <w:szCs w:val="22"/>
              </w:rPr>
              <w:t>čl. 14 odst. 8</w:t>
            </w:r>
          </w:p>
        </w:tc>
        <w:tc>
          <w:tcPr>
            <w:tcW w:w="1304" w:type="pct"/>
            <w:tcBorders>
              <w:top w:val="single" w:sz="4" w:space="0" w:color="auto"/>
              <w:left w:val="single" w:sz="4" w:space="0" w:color="auto"/>
              <w:bottom w:val="single" w:sz="4" w:space="0" w:color="auto"/>
              <w:right w:val="single" w:sz="4" w:space="0" w:color="auto"/>
            </w:tcBorders>
          </w:tcPr>
          <w:p w14:paraId="39ADE884" w14:textId="39A43001"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shd w:val="clear" w:color="auto" w:fill="FFFFFF"/>
              </w:rPr>
              <w:t>8.   Členské státy prostřednictvím jednotného informačního místa zveřejní úkoly, které má každý příslušný orgán provést, zejména pokud jsou tyto úkoly svěřeny více než jednomu příslušnému orgánu nebo pokud se přidělené úkoly změnily. Příslušné orgány případně provádějí vzájemné konzultace a spolupracují ve věcech společného zájmu.</w:t>
            </w:r>
          </w:p>
        </w:tc>
      </w:tr>
      <w:tr w:rsidR="003A5A4B" w:rsidRPr="00C5124A" w14:paraId="4E6CD063" w14:textId="77777777" w:rsidTr="00B563D5">
        <w:tc>
          <w:tcPr>
            <w:tcW w:w="887" w:type="pct"/>
            <w:tcBorders>
              <w:top w:val="single" w:sz="4" w:space="0" w:color="auto"/>
              <w:left w:val="single" w:sz="4" w:space="0" w:color="auto"/>
              <w:bottom w:val="single" w:sz="4" w:space="0" w:color="auto"/>
              <w:right w:val="single" w:sz="4" w:space="0" w:color="auto"/>
            </w:tcBorders>
          </w:tcPr>
          <w:p w14:paraId="07673596" w14:textId="52F940E0" w:rsidR="003A5A4B" w:rsidRPr="00C5124A" w:rsidRDefault="003A5A4B" w:rsidP="003A5A4B">
            <w:pPr>
              <w:suppressAutoHyphens/>
              <w:spacing w:line="276" w:lineRule="auto"/>
              <w:ind w:left="117"/>
              <w:rPr>
                <w:bCs/>
                <w:sz w:val="22"/>
                <w:szCs w:val="22"/>
              </w:rPr>
            </w:pPr>
            <w:r w:rsidRPr="00C5124A">
              <w:rPr>
                <w:bCs/>
                <w:sz w:val="22"/>
                <w:szCs w:val="22"/>
              </w:rPr>
              <w:t>§ 1</w:t>
            </w:r>
            <w:r w:rsidR="00944D3A" w:rsidRPr="00C5124A">
              <w:rPr>
                <w:bCs/>
                <w:sz w:val="22"/>
                <w:szCs w:val="22"/>
              </w:rPr>
              <w:t>2</w:t>
            </w:r>
            <w:r w:rsidRPr="00C5124A">
              <w:rPr>
                <w:bCs/>
                <w:sz w:val="22"/>
                <w:szCs w:val="22"/>
              </w:rPr>
              <w:t xml:space="preserve"> odst. 4</w:t>
            </w:r>
          </w:p>
        </w:tc>
        <w:tc>
          <w:tcPr>
            <w:tcW w:w="1644" w:type="pct"/>
            <w:tcBorders>
              <w:top w:val="single" w:sz="4" w:space="0" w:color="auto"/>
              <w:left w:val="single" w:sz="4" w:space="0" w:color="auto"/>
              <w:bottom w:val="single" w:sz="4" w:space="0" w:color="auto"/>
              <w:right w:val="single" w:sz="4" w:space="0" w:color="auto"/>
            </w:tcBorders>
          </w:tcPr>
          <w:p w14:paraId="1D7F7B2F" w14:textId="342CD564" w:rsidR="003A5A4B" w:rsidRPr="00C5124A" w:rsidRDefault="00944D3A" w:rsidP="003A5A4B">
            <w:pPr>
              <w:suppressAutoHyphens/>
              <w:spacing w:line="276" w:lineRule="auto"/>
              <w:ind w:left="46"/>
              <w:rPr>
                <w:bCs/>
                <w:sz w:val="22"/>
                <w:szCs w:val="22"/>
              </w:rPr>
            </w:pPr>
            <w:r w:rsidRPr="00C5124A">
              <w:t>(4) Součástí návrhu na rozhodnutí sporu musí být rovněž úplná žádost se všemi náležitostmi podle nařízení Evropského parlamentu a Rady (EU) 2024/1309 a tohoto zákona, a případná reakce na takovou žádost, včetně dokladů o doručení. Součástí návrhu na rozhodnutí sporu o uzavření smlouvy musí být též návrh smlouvy, nebo její změny, se specifikací jeho sporných částí. Lhůta pro vydání rozhodnutí Úřadu podle čl. 13 nařízení Evropského parlamentu a Rady (EU) 2024/1309 začne běžet dnem doručení úplného návrhu na rozhodnutí sporu Úřadu.</w:t>
            </w:r>
          </w:p>
        </w:tc>
        <w:tc>
          <w:tcPr>
            <w:tcW w:w="589" w:type="pct"/>
            <w:tcBorders>
              <w:top w:val="single" w:sz="4" w:space="0" w:color="auto"/>
              <w:left w:val="single" w:sz="4" w:space="0" w:color="auto"/>
              <w:bottom w:val="single" w:sz="4" w:space="0" w:color="auto"/>
              <w:right w:val="single" w:sz="4" w:space="0" w:color="auto"/>
            </w:tcBorders>
          </w:tcPr>
          <w:p w14:paraId="3EA57CB0" w14:textId="6A8A52D4"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6DAD31C5" w14:textId="6278CF6D" w:rsidR="003A5A4B" w:rsidRPr="00C5124A" w:rsidRDefault="003A5A4B" w:rsidP="003A5A4B">
            <w:pPr>
              <w:ind w:left="53"/>
              <w:rPr>
                <w:bCs/>
                <w:sz w:val="22"/>
                <w:szCs w:val="22"/>
              </w:rPr>
            </w:pPr>
            <w:r w:rsidRPr="00C5124A">
              <w:rPr>
                <w:bCs/>
                <w:sz w:val="22"/>
                <w:szCs w:val="22"/>
              </w:rPr>
              <w:t>čl. 13 odst. 1</w:t>
            </w:r>
          </w:p>
        </w:tc>
        <w:tc>
          <w:tcPr>
            <w:tcW w:w="1304" w:type="pct"/>
            <w:tcBorders>
              <w:top w:val="single" w:sz="4" w:space="0" w:color="auto"/>
              <w:left w:val="single" w:sz="4" w:space="0" w:color="auto"/>
              <w:bottom w:val="single" w:sz="4" w:space="0" w:color="auto"/>
              <w:right w:val="single" w:sz="4" w:space="0" w:color="auto"/>
            </w:tcBorders>
          </w:tcPr>
          <w:p w14:paraId="3F0238A9"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Aniž je dotčena možnost předložit věc soudu, každá strana má právo předložit příslušnému vnitrostátnímu orgánu pro řešení sporů zřízenému podle článku 14 spor, který může vzniknout:</w:t>
            </w:r>
          </w:p>
          <w:tbl>
            <w:tblPr>
              <w:tblW w:w="5000" w:type="pct"/>
              <w:shd w:val="clear" w:color="auto" w:fill="FFFFFF"/>
              <w:tblCellMar>
                <w:left w:w="0" w:type="dxa"/>
                <w:right w:w="0" w:type="dxa"/>
              </w:tblCellMar>
              <w:tblLook w:val="04A0" w:firstRow="1" w:lastRow="0" w:firstColumn="1" w:lastColumn="0" w:noHBand="0" w:noVBand="1"/>
            </w:tblPr>
            <w:tblGrid>
              <w:gridCol w:w="132"/>
              <w:gridCol w:w="3508"/>
            </w:tblGrid>
            <w:tr w:rsidR="003A5A4B" w:rsidRPr="00C5124A" w14:paraId="6ECD6012" w14:textId="77777777" w:rsidTr="0080519F">
              <w:tc>
                <w:tcPr>
                  <w:tcW w:w="210" w:type="dxa"/>
                  <w:shd w:val="clear" w:color="auto" w:fill="FFFFFF"/>
                  <w:hideMark/>
                </w:tcPr>
                <w:p w14:paraId="53447AE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052B725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je odmítnut přístup k existující infrastruktuře nebo nebylo dosaženo dohody o konkrétních podmínkách včetně ceny do jednoho měsíce ode dne obdržení žádosti o přístup podle článku 3;</w:t>
                  </w:r>
                </w:p>
              </w:tc>
            </w:tr>
          </w:tbl>
          <w:p w14:paraId="57EB79CA"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054E09BA" w14:textId="77777777" w:rsidTr="0080519F">
              <w:tc>
                <w:tcPr>
                  <w:tcW w:w="225" w:type="dxa"/>
                  <w:shd w:val="clear" w:color="auto" w:fill="FFFFFF"/>
                  <w:hideMark/>
                </w:tcPr>
                <w:p w14:paraId="7FAC1FE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09510C3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souvislosti s právy a povinnostmi stanovenými v článcích 4 a 6 včetně případů, kdy požadované informace nejsou poskytnuty v příslušných lhůtách;</w:t>
                  </w:r>
                </w:p>
              </w:tc>
            </w:tr>
          </w:tbl>
          <w:p w14:paraId="1DD7C817"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3A5A4B" w:rsidRPr="00C5124A" w14:paraId="6F9318A5" w14:textId="77777777" w:rsidTr="0080519F">
              <w:tc>
                <w:tcPr>
                  <w:tcW w:w="210" w:type="dxa"/>
                  <w:shd w:val="clear" w:color="auto" w:fill="FFFFFF"/>
                  <w:hideMark/>
                </w:tcPr>
                <w:p w14:paraId="7A23D19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4B2BEF9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koordinaci stavebních prací podle čl. 5 odst. 2 do jednoho měsíce ode dne obdržení formální žádosti o koordinaci stavebních prací, nebo</w:t>
                  </w:r>
                </w:p>
              </w:tc>
            </w:tr>
          </w:tbl>
          <w:p w14:paraId="792552E5"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5"/>
              <w:gridCol w:w="3495"/>
            </w:tblGrid>
            <w:tr w:rsidR="003A5A4B" w:rsidRPr="00C5124A" w14:paraId="42D56D6C" w14:textId="77777777" w:rsidTr="0080519F">
              <w:tc>
                <w:tcPr>
                  <w:tcW w:w="225" w:type="dxa"/>
                  <w:shd w:val="clear" w:color="auto" w:fill="FFFFFF"/>
                  <w:hideMark/>
                </w:tcPr>
                <w:p w14:paraId="27EA1D3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5B6EC055"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xml:space="preserve">) pokud není dosaženo dohody o přístupu k fyzické infrastruktuře uvnitř budovy podle čl. 11 odst. 2 nebo </w:t>
                  </w:r>
                  <w:r w:rsidRPr="00C5124A">
                    <w:rPr>
                      <w:color w:val="333333"/>
                      <w:sz w:val="22"/>
                      <w:szCs w:val="22"/>
                    </w:rPr>
                    <w:lastRenderedPageBreak/>
                    <w:t>3 do jednoho měsíce ode dne obdržení formální žádosti o přístup.</w:t>
                  </w:r>
                </w:p>
              </w:tc>
            </w:tr>
          </w:tbl>
          <w:p w14:paraId="285B377F" w14:textId="5391B8F4"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lastRenderedPageBreak/>
              <w:t>V případě sporů uvedených v odst. 1 písm. a) a d), je-li subjekt, od něhož operátor požádal o přístup, zároveň subjektem oprávněným k omezení vlastnických práv třetích osob k nemovitosti, na níž, v níž nebo pod níž se nachází předmět žádosti o přístup, mohou členské státy stanovit, že příslušný vnitrostátní orgán pro řešení sporů může rovněž řešit spory ohledně omezení vlastnických práv třetích osob.</w:t>
            </w:r>
          </w:p>
        </w:tc>
      </w:tr>
      <w:tr w:rsidR="003A5A4B" w:rsidRPr="00C5124A" w14:paraId="70ADC049" w14:textId="77777777" w:rsidTr="00B563D5">
        <w:tc>
          <w:tcPr>
            <w:tcW w:w="887" w:type="pct"/>
            <w:tcBorders>
              <w:top w:val="single" w:sz="4" w:space="0" w:color="auto"/>
              <w:left w:val="single" w:sz="4" w:space="0" w:color="auto"/>
              <w:bottom w:val="single" w:sz="4" w:space="0" w:color="auto"/>
              <w:right w:val="single" w:sz="4" w:space="0" w:color="auto"/>
            </w:tcBorders>
          </w:tcPr>
          <w:p w14:paraId="02A4E864" w14:textId="2FBB44C6" w:rsidR="003A5A4B" w:rsidRPr="00C5124A" w:rsidRDefault="003A5A4B" w:rsidP="003A5A4B">
            <w:pPr>
              <w:suppressAutoHyphens/>
              <w:spacing w:line="276" w:lineRule="auto"/>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5</w:t>
            </w:r>
          </w:p>
        </w:tc>
        <w:tc>
          <w:tcPr>
            <w:tcW w:w="1644" w:type="pct"/>
            <w:tcBorders>
              <w:top w:val="single" w:sz="4" w:space="0" w:color="auto"/>
              <w:left w:val="single" w:sz="4" w:space="0" w:color="auto"/>
              <w:bottom w:val="single" w:sz="4" w:space="0" w:color="auto"/>
              <w:right w:val="single" w:sz="4" w:space="0" w:color="auto"/>
            </w:tcBorders>
          </w:tcPr>
          <w:p w14:paraId="0B73FBEE" w14:textId="71F2BD2A" w:rsidR="003A5A4B" w:rsidRPr="00C5124A" w:rsidRDefault="00944D3A" w:rsidP="003A5A4B">
            <w:pPr>
              <w:jc w:val="both"/>
              <w:rPr>
                <w:sz w:val="22"/>
                <w:szCs w:val="22"/>
              </w:rPr>
            </w:pPr>
            <w:r w:rsidRPr="00C5124A">
              <w:t>(5) Je-li předmětem sporu cena, Úřad v rámci rozhodnutí sporu stanoví tuto cenu tak, aby cena zahrnovala náhradu ekonomicky oprávněných nákladů provozovatele sítě nebo subjektu veřejného sektoru, a při jejím stanovení zohlední dopad navrhovaného zásahu na obchodní plán provozovatele sítě nebo subjektu veřejného sektoru včetně jí provedených investic do fyzické infrastruktury využívané k poskytování vysokorychlostních služeb elektronických komunikací.</w:t>
            </w:r>
          </w:p>
        </w:tc>
        <w:tc>
          <w:tcPr>
            <w:tcW w:w="589" w:type="pct"/>
            <w:tcBorders>
              <w:top w:val="single" w:sz="4" w:space="0" w:color="auto"/>
              <w:left w:val="single" w:sz="4" w:space="0" w:color="auto"/>
              <w:bottom w:val="single" w:sz="4" w:space="0" w:color="auto"/>
              <w:right w:val="single" w:sz="4" w:space="0" w:color="auto"/>
            </w:tcBorders>
          </w:tcPr>
          <w:p w14:paraId="7B948465" w14:textId="57987E5C"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0BA80A9A" w14:textId="6724EE69" w:rsidR="003A5A4B" w:rsidRPr="00C5124A" w:rsidRDefault="003A5A4B" w:rsidP="003A5A4B">
            <w:pPr>
              <w:ind w:left="53"/>
              <w:rPr>
                <w:bCs/>
                <w:sz w:val="22"/>
                <w:szCs w:val="22"/>
              </w:rPr>
            </w:pPr>
            <w:r w:rsidRPr="00C5124A">
              <w:rPr>
                <w:bCs/>
                <w:sz w:val="22"/>
                <w:szCs w:val="22"/>
              </w:rPr>
              <w:t>čl. 13 odst. 1</w:t>
            </w:r>
          </w:p>
        </w:tc>
        <w:tc>
          <w:tcPr>
            <w:tcW w:w="1304" w:type="pct"/>
            <w:tcBorders>
              <w:top w:val="single" w:sz="4" w:space="0" w:color="auto"/>
              <w:left w:val="single" w:sz="4" w:space="0" w:color="auto"/>
              <w:bottom w:val="single" w:sz="4" w:space="0" w:color="auto"/>
              <w:right w:val="single" w:sz="4" w:space="0" w:color="auto"/>
            </w:tcBorders>
          </w:tcPr>
          <w:p w14:paraId="5BAD68A4"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Aniž je dotčena možnost předložit věc soudu, každá strana má právo předložit příslušnému vnitrostátnímu orgánu pro řešení sporů zřízenému podle článku 14 spor, který může vzniknout:</w:t>
            </w:r>
          </w:p>
          <w:tbl>
            <w:tblPr>
              <w:tblW w:w="5000" w:type="pct"/>
              <w:shd w:val="clear" w:color="auto" w:fill="FFFFFF"/>
              <w:tblCellMar>
                <w:left w:w="0" w:type="dxa"/>
                <w:right w:w="0" w:type="dxa"/>
              </w:tblCellMar>
              <w:tblLook w:val="04A0" w:firstRow="1" w:lastRow="0" w:firstColumn="1" w:lastColumn="0" w:noHBand="0" w:noVBand="1"/>
            </w:tblPr>
            <w:tblGrid>
              <w:gridCol w:w="132"/>
              <w:gridCol w:w="3508"/>
            </w:tblGrid>
            <w:tr w:rsidR="003A5A4B" w:rsidRPr="00C5124A" w14:paraId="32660500" w14:textId="77777777" w:rsidTr="0080519F">
              <w:tc>
                <w:tcPr>
                  <w:tcW w:w="210" w:type="dxa"/>
                  <w:shd w:val="clear" w:color="auto" w:fill="FFFFFF"/>
                  <w:hideMark/>
                </w:tcPr>
                <w:p w14:paraId="26943EE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203F2B1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je odmítnut přístup k existující infrastruktuře nebo nebylo dosaženo dohody o konkrétních podmínkách včetně ceny do jednoho měsíce ode dne obdržení žádosti o přístup podle článku 3;</w:t>
                  </w:r>
                </w:p>
              </w:tc>
            </w:tr>
          </w:tbl>
          <w:p w14:paraId="0EDAA872"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6F958362" w14:textId="77777777" w:rsidTr="0080519F">
              <w:tc>
                <w:tcPr>
                  <w:tcW w:w="225" w:type="dxa"/>
                  <w:shd w:val="clear" w:color="auto" w:fill="FFFFFF"/>
                  <w:hideMark/>
                </w:tcPr>
                <w:p w14:paraId="757CCFE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50412E2E"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souvislosti s právy a povinnostmi stanovenými v článcích 4 a 6 včetně případů, kdy požadované informace nejsou poskytnuty v příslušných lhůtách;</w:t>
                  </w:r>
                </w:p>
              </w:tc>
            </w:tr>
          </w:tbl>
          <w:p w14:paraId="55DE3D49"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3A5A4B" w:rsidRPr="00C5124A" w14:paraId="0BC3C3E0" w14:textId="77777777" w:rsidTr="0080519F">
              <w:tc>
                <w:tcPr>
                  <w:tcW w:w="210" w:type="dxa"/>
                  <w:shd w:val="clear" w:color="auto" w:fill="FFFFFF"/>
                  <w:hideMark/>
                </w:tcPr>
                <w:p w14:paraId="49E20EEF"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0063B282"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koordinaci stavebních prací podle čl. 5 odst. 2 do jednoho měsíce ode dne obdržení formální žádosti o koordinaci stavebních prací, nebo</w:t>
                  </w:r>
                </w:p>
              </w:tc>
            </w:tr>
          </w:tbl>
          <w:p w14:paraId="703E2704"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5"/>
              <w:gridCol w:w="3495"/>
            </w:tblGrid>
            <w:tr w:rsidR="003A5A4B" w:rsidRPr="00C5124A" w14:paraId="4C472EC3" w14:textId="77777777" w:rsidTr="0080519F">
              <w:tc>
                <w:tcPr>
                  <w:tcW w:w="225" w:type="dxa"/>
                  <w:shd w:val="clear" w:color="auto" w:fill="FFFFFF"/>
                  <w:hideMark/>
                </w:tcPr>
                <w:p w14:paraId="1B6BA6FA"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lastRenderedPageBreak/>
                    <w:t>d</w:t>
                  </w:r>
                </w:p>
              </w:tc>
              <w:tc>
                <w:tcPr>
                  <w:tcW w:w="8847" w:type="dxa"/>
                  <w:shd w:val="clear" w:color="auto" w:fill="FFFFFF"/>
                  <w:hideMark/>
                </w:tcPr>
                <w:p w14:paraId="0BF189F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přístupu k fyzické infrastruktuře uvnitř budovy podle čl. 11 odst. 2 nebo 3 do jednoho měsíce ode dne obdržení formální žádosti o přístup.</w:t>
                  </w:r>
                </w:p>
              </w:tc>
            </w:tr>
          </w:tbl>
          <w:p w14:paraId="48AB5A23" w14:textId="61D9BABE" w:rsidR="003A5A4B" w:rsidRPr="00C5124A" w:rsidRDefault="003A5A4B" w:rsidP="003A5A4B">
            <w:pPr>
              <w:ind w:left="63"/>
              <w:rPr>
                <w:bCs/>
                <w:sz w:val="22"/>
                <w:szCs w:val="22"/>
              </w:rPr>
            </w:pPr>
            <w:r w:rsidRPr="00C5124A">
              <w:rPr>
                <w:color w:val="333333"/>
                <w:sz w:val="22"/>
                <w:szCs w:val="22"/>
              </w:rPr>
              <w:t>V případě sporů uvedených v odst. 1 písm. a) a d), je-li subjekt, od něhož operátor požádal o přístup, zároveň subjektem oprávněným k omezení vlastnických práv třetích osob k nemovitosti, na níž, v níž nebo pod níž se nachází předmět žádosti o přístup, mohou členské státy stanovit, že příslušný vnitrostátní orgán pro řešení sporů může rovněž řešit spory ohledně omezení vlastnických práv třetích osob.</w:t>
            </w:r>
          </w:p>
        </w:tc>
      </w:tr>
      <w:tr w:rsidR="003A5A4B" w:rsidRPr="00C5124A" w14:paraId="559D993A" w14:textId="77777777" w:rsidTr="00B563D5">
        <w:tc>
          <w:tcPr>
            <w:tcW w:w="887" w:type="pct"/>
            <w:tcBorders>
              <w:top w:val="single" w:sz="4" w:space="0" w:color="auto"/>
              <w:left w:val="single" w:sz="4" w:space="0" w:color="auto"/>
              <w:bottom w:val="single" w:sz="4" w:space="0" w:color="auto"/>
              <w:right w:val="single" w:sz="4" w:space="0" w:color="auto"/>
            </w:tcBorders>
          </w:tcPr>
          <w:p w14:paraId="636595E5" w14:textId="45899531" w:rsidR="003A5A4B" w:rsidRPr="00C5124A" w:rsidRDefault="003A5A4B" w:rsidP="003A5A4B">
            <w:pPr>
              <w:suppressAutoHyphens/>
              <w:spacing w:line="276" w:lineRule="auto"/>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5</w:t>
            </w:r>
          </w:p>
        </w:tc>
        <w:tc>
          <w:tcPr>
            <w:tcW w:w="1644" w:type="pct"/>
            <w:tcBorders>
              <w:top w:val="single" w:sz="4" w:space="0" w:color="auto"/>
              <w:left w:val="single" w:sz="4" w:space="0" w:color="auto"/>
              <w:bottom w:val="single" w:sz="4" w:space="0" w:color="auto"/>
              <w:right w:val="single" w:sz="4" w:space="0" w:color="auto"/>
            </w:tcBorders>
          </w:tcPr>
          <w:p w14:paraId="4B344C08" w14:textId="469A5CD4" w:rsidR="003A5A4B" w:rsidRPr="00C5124A" w:rsidRDefault="00944D3A" w:rsidP="003A5A4B">
            <w:pPr>
              <w:jc w:val="both"/>
              <w:rPr>
                <w:sz w:val="22"/>
                <w:szCs w:val="22"/>
              </w:rPr>
            </w:pPr>
            <w:r w:rsidRPr="00C5124A">
              <w:t>(5) Je-li předmětem sporu cena, Úřad v rámci rozhodnutí sporu stanoví tuto cenu tak, aby cena zahrnovala náhradu ekonomicky oprávněných nákladů provozovatele sítě nebo subjektu veřejného sektoru, a při jejím stanovení zohlední dopad navrhovaného zásahu na obchodní plán provozovatele sítě nebo subjektu veřejného sektoru včetně jí provedených investic do fyzické infrastruktury využívané k poskytování vysokorychlostních služeb elektronických komunikací.</w:t>
            </w:r>
          </w:p>
        </w:tc>
        <w:tc>
          <w:tcPr>
            <w:tcW w:w="589" w:type="pct"/>
            <w:tcBorders>
              <w:top w:val="single" w:sz="4" w:space="0" w:color="auto"/>
              <w:left w:val="single" w:sz="4" w:space="0" w:color="auto"/>
              <w:bottom w:val="single" w:sz="4" w:space="0" w:color="auto"/>
              <w:right w:val="single" w:sz="4" w:space="0" w:color="auto"/>
            </w:tcBorders>
          </w:tcPr>
          <w:p w14:paraId="3055A094" w14:textId="1034661E"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5FFE2727" w14:textId="76C45265" w:rsidR="003A5A4B" w:rsidRPr="00C5124A" w:rsidRDefault="003A5A4B" w:rsidP="003A5A4B">
            <w:pPr>
              <w:ind w:left="53"/>
              <w:rPr>
                <w:bCs/>
                <w:sz w:val="22"/>
                <w:szCs w:val="22"/>
              </w:rPr>
            </w:pPr>
            <w:r w:rsidRPr="00C5124A">
              <w:rPr>
                <w:bCs/>
                <w:sz w:val="22"/>
                <w:szCs w:val="22"/>
              </w:rPr>
              <w:t>čl. 13 odst. 3</w:t>
            </w:r>
          </w:p>
        </w:tc>
        <w:tc>
          <w:tcPr>
            <w:tcW w:w="1304" w:type="pct"/>
            <w:tcBorders>
              <w:top w:val="single" w:sz="4" w:space="0" w:color="auto"/>
              <w:left w:val="single" w:sz="4" w:space="0" w:color="auto"/>
              <w:bottom w:val="single" w:sz="4" w:space="0" w:color="auto"/>
              <w:right w:val="single" w:sz="4" w:space="0" w:color="auto"/>
            </w:tcBorders>
          </w:tcPr>
          <w:p w14:paraId="6499E493" w14:textId="77777777" w:rsidR="003A5A4B" w:rsidRPr="00C5124A" w:rsidRDefault="003A5A4B" w:rsidP="003A5A4B">
            <w:pPr>
              <w:ind w:left="63"/>
              <w:rPr>
                <w:bCs/>
                <w:sz w:val="22"/>
                <w:szCs w:val="22"/>
              </w:rPr>
            </w:pPr>
            <w:r w:rsidRPr="00C5124A">
              <w:rPr>
                <w:color w:val="333333"/>
                <w:sz w:val="22"/>
                <w:szCs w:val="22"/>
                <w:shd w:val="clear" w:color="auto" w:fill="FFFFFF"/>
              </w:rPr>
              <w:t>3.   Pokud jde o spory uvedené v odst. 1 písm. a), c) a d), rozhodnutí vnitrostátního orgánu pro řešení sporů může spočívat ve stanovení spravedlivých a přiměřených podmínek, případně včetně ceny.</w:t>
            </w:r>
          </w:p>
          <w:p w14:paraId="3430F7C2" w14:textId="77777777" w:rsidR="003A5A4B" w:rsidRPr="00C5124A" w:rsidRDefault="003A5A4B" w:rsidP="003A5A4B">
            <w:pPr>
              <w:rPr>
                <w:sz w:val="22"/>
                <w:szCs w:val="22"/>
              </w:rPr>
            </w:pPr>
          </w:p>
        </w:tc>
      </w:tr>
      <w:tr w:rsidR="003A5A4B" w:rsidRPr="00C5124A" w14:paraId="2E038BA0" w14:textId="77777777" w:rsidTr="00B563D5">
        <w:tc>
          <w:tcPr>
            <w:tcW w:w="887" w:type="pct"/>
            <w:tcBorders>
              <w:top w:val="single" w:sz="4" w:space="0" w:color="auto"/>
              <w:left w:val="single" w:sz="4" w:space="0" w:color="auto"/>
              <w:bottom w:val="single" w:sz="4" w:space="0" w:color="auto"/>
              <w:right w:val="single" w:sz="4" w:space="0" w:color="auto"/>
            </w:tcBorders>
          </w:tcPr>
          <w:p w14:paraId="6DAB3252" w14:textId="6F8875A7" w:rsidR="003A5A4B" w:rsidRPr="00C5124A" w:rsidRDefault="003A5A4B" w:rsidP="003A5A4B">
            <w:pPr>
              <w:suppressAutoHyphens/>
              <w:spacing w:line="276" w:lineRule="auto"/>
              <w:rPr>
                <w:bCs/>
                <w:sz w:val="22"/>
                <w:szCs w:val="22"/>
              </w:rPr>
            </w:pPr>
            <w:r w:rsidRPr="00C5124A">
              <w:rPr>
                <w:bCs/>
                <w:sz w:val="22"/>
                <w:szCs w:val="22"/>
              </w:rPr>
              <w:t>§ 1</w:t>
            </w:r>
            <w:r w:rsidR="00944D3A" w:rsidRPr="00C5124A">
              <w:rPr>
                <w:bCs/>
                <w:sz w:val="22"/>
                <w:szCs w:val="22"/>
              </w:rPr>
              <w:t>2</w:t>
            </w:r>
            <w:r w:rsidRPr="00C5124A">
              <w:rPr>
                <w:bCs/>
                <w:sz w:val="22"/>
                <w:szCs w:val="22"/>
              </w:rPr>
              <w:t xml:space="preserve"> odst. 6</w:t>
            </w:r>
          </w:p>
        </w:tc>
        <w:tc>
          <w:tcPr>
            <w:tcW w:w="1644" w:type="pct"/>
            <w:tcBorders>
              <w:top w:val="single" w:sz="4" w:space="0" w:color="auto"/>
              <w:left w:val="single" w:sz="4" w:space="0" w:color="auto"/>
              <w:bottom w:val="single" w:sz="4" w:space="0" w:color="auto"/>
              <w:right w:val="single" w:sz="4" w:space="0" w:color="auto"/>
            </w:tcBorders>
          </w:tcPr>
          <w:p w14:paraId="5BB6557F" w14:textId="263630D6" w:rsidR="003A5A4B" w:rsidRPr="00C5124A" w:rsidRDefault="00944D3A" w:rsidP="003A5A4B">
            <w:pPr>
              <w:jc w:val="both"/>
              <w:rPr>
                <w:sz w:val="22"/>
                <w:szCs w:val="22"/>
              </w:rPr>
            </w:pPr>
            <w:r w:rsidRPr="00C5124A">
              <w:t xml:space="preserve">(6) Úřad si může vyžádat pro účely rozhodování podle tohoto zákona závazné stanovisko od správního orgánu, jehož působnosti se předmět sporu týká. Správní orgán v takovém případě vydá závazné stanovisko do Úřadem stanovené lhůty, během které se lhůta podle čl. 13 odst. 2 </w:t>
            </w:r>
            <w:r w:rsidRPr="00C5124A">
              <w:lastRenderedPageBreak/>
              <w:t>písm. b) nařízení Evropského parlamentu a Rady (EU) 2024/1309 přerušuje.</w:t>
            </w:r>
          </w:p>
        </w:tc>
        <w:tc>
          <w:tcPr>
            <w:tcW w:w="589" w:type="pct"/>
            <w:tcBorders>
              <w:top w:val="single" w:sz="4" w:space="0" w:color="auto"/>
              <w:left w:val="single" w:sz="4" w:space="0" w:color="auto"/>
              <w:bottom w:val="single" w:sz="4" w:space="0" w:color="auto"/>
              <w:right w:val="single" w:sz="4" w:space="0" w:color="auto"/>
            </w:tcBorders>
          </w:tcPr>
          <w:p w14:paraId="7CFABD94" w14:textId="453E4672"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3A47CBCE" w14:textId="3B04BDA9" w:rsidR="003A5A4B" w:rsidRPr="00C5124A" w:rsidRDefault="003A5A4B" w:rsidP="003A5A4B">
            <w:pPr>
              <w:ind w:left="53"/>
              <w:rPr>
                <w:bCs/>
                <w:sz w:val="22"/>
                <w:szCs w:val="22"/>
              </w:rPr>
            </w:pPr>
            <w:r w:rsidRPr="00C5124A">
              <w:rPr>
                <w:bCs/>
                <w:sz w:val="22"/>
                <w:szCs w:val="22"/>
              </w:rPr>
              <w:t>čl. 13 odst. 2</w:t>
            </w:r>
          </w:p>
        </w:tc>
        <w:tc>
          <w:tcPr>
            <w:tcW w:w="1304" w:type="pct"/>
            <w:tcBorders>
              <w:top w:val="single" w:sz="4" w:space="0" w:color="auto"/>
              <w:left w:val="single" w:sz="4" w:space="0" w:color="auto"/>
              <w:bottom w:val="single" w:sz="4" w:space="0" w:color="auto"/>
              <w:right w:val="single" w:sz="4" w:space="0" w:color="auto"/>
            </w:tcBorders>
          </w:tcPr>
          <w:p w14:paraId="5DD7FEF2" w14:textId="77777777" w:rsidR="003A5A4B" w:rsidRPr="00C5124A" w:rsidRDefault="003A5A4B" w:rsidP="003A5A4B">
            <w:pPr>
              <w:rPr>
                <w:sz w:val="22"/>
                <w:szCs w:val="22"/>
              </w:rPr>
            </w:pPr>
            <w:r w:rsidRPr="00C5124A">
              <w:rPr>
                <w:sz w:val="22"/>
                <w:szCs w:val="22"/>
              </w:rPr>
              <w:t>2.   Vnitrostátní orgán pro řešení sporů uvedený v odstavci 1 při plném zohlednění zásady proporcionality a zásad stanovených v příslušných pokynech Komise nebo pokynech sdružení BEREC vydá závazné rozhodnutí k vyřešení sporu:</w:t>
            </w:r>
          </w:p>
          <w:tbl>
            <w:tblPr>
              <w:tblW w:w="5000" w:type="pct"/>
              <w:shd w:val="clear" w:color="auto" w:fill="FFFFFF"/>
              <w:tblCellMar>
                <w:left w:w="0" w:type="dxa"/>
                <w:right w:w="0" w:type="dxa"/>
              </w:tblCellMar>
              <w:tblLook w:val="04A0" w:firstRow="1" w:lastRow="0" w:firstColumn="1" w:lastColumn="0" w:noHBand="0" w:noVBand="1"/>
            </w:tblPr>
            <w:tblGrid>
              <w:gridCol w:w="134"/>
              <w:gridCol w:w="3506"/>
            </w:tblGrid>
            <w:tr w:rsidR="003A5A4B" w:rsidRPr="00C5124A" w14:paraId="3E6FFBD5" w14:textId="77777777" w:rsidTr="0080519F">
              <w:tc>
                <w:tcPr>
                  <w:tcW w:w="210" w:type="dxa"/>
                  <w:shd w:val="clear" w:color="auto" w:fill="FFFFFF"/>
                  <w:hideMark/>
                </w:tcPr>
                <w:p w14:paraId="425C62C7" w14:textId="77777777" w:rsidR="003A5A4B" w:rsidRPr="00C5124A" w:rsidRDefault="003A5A4B" w:rsidP="003A5A4B">
                  <w:pPr>
                    <w:rPr>
                      <w:sz w:val="22"/>
                      <w:szCs w:val="22"/>
                    </w:rPr>
                  </w:pPr>
                  <w:r w:rsidRPr="00C5124A">
                    <w:rPr>
                      <w:sz w:val="22"/>
                      <w:szCs w:val="22"/>
                    </w:rPr>
                    <w:lastRenderedPageBreak/>
                    <w:t>a</w:t>
                  </w:r>
                </w:p>
              </w:tc>
              <w:tc>
                <w:tcPr>
                  <w:tcW w:w="8862" w:type="dxa"/>
                  <w:shd w:val="clear" w:color="auto" w:fill="FFFFFF"/>
                  <w:hideMark/>
                </w:tcPr>
                <w:p w14:paraId="6D465677" w14:textId="77777777" w:rsidR="003A5A4B" w:rsidRPr="00C5124A" w:rsidRDefault="003A5A4B" w:rsidP="003A5A4B">
                  <w:pPr>
                    <w:rPr>
                      <w:sz w:val="22"/>
                      <w:szCs w:val="22"/>
                    </w:rPr>
                  </w:pPr>
                  <w:r w:rsidRPr="00C5124A">
                    <w:rPr>
                      <w:sz w:val="22"/>
                      <w:szCs w:val="22"/>
                    </w:rPr>
                    <w:t>) do čtyř měsíců ode dne obdržení žádosti o vyřešení sporu v případě sporů uvedených v odst. 1 písm. a);</w:t>
                  </w:r>
                </w:p>
              </w:tc>
            </w:tr>
          </w:tbl>
          <w:p w14:paraId="691CE3BB" w14:textId="77777777" w:rsidR="003A5A4B" w:rsidRPr="00C5124A" w:rsidRDefault="003A5A4B" w:rsidP="003A5A4B">
            <w:pPr>
              <w:rPr>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7"/>
              <w:gridCol w:w="3493"/>
            </w:tblGrid>
            <w:tr w:rsidR="003A5A4B" w:rsidRPr="00C5124A" w14:paraId="4801233D" w14:textId="77777777" w:rsidTr="0080519F">
              <w:tc>
                <w:tcPr>
                  <w:tcW w:w="225" w:type="dxa"/>
                  <w:shd w:val="clear" w:color="auto" w:fill="FFFFFF"/>
                  <w:hideMark/>
                </w:tcPr>
                <w:p w14:paraId="14597678" w14:textId="77777777" w:rsidR="003A5A4B" w:rsidRPr="00C5124A" w:rsidRDefault="003A5A4B" w:rsidP="003A5A4B">
                  <w:pPr>
                    <w:rPr>
                      <w:sz w:val="22"/>
                      <w:szCs w:val="22"/>
                    </w:rPr>
                  </w:pPr>
                  <w:r w:rsidRPr="00C5124A">
                    <w:rPr>
                      <w:sz w:val="22"/>
                      <w:szCs w:val="22"/>
                    </w:rPr>
                    <w:t>b</w:t>
                  </w:r>
                </w:p>
              </w:tc>
              <w:tc>
                <w:tcPr>
                  <w:tcW w:w="8847" w:type="dxa"/>
                  <w:shd w:val="clear" w:color="auto" w:fill="FFFFFF"/>
                  <w:hideMark/>
                </w:tcPr>
                <w:p w14:paraId="4722A4E6" w14:textId="77777777" w:rsidR="003A5A4B" w:rsidRPr="00C5124A" w:rsidRDefault="003A5A4B" w:rsidP="003A5A4B">
                  <w:pPr>
                    <w:rPr>
                      <w:sz w:val="22"/>
                      <w:szCs w:val="22"/>
                    </w:rPr>
                  </w:pPr>
                  <w:r w:rsidRPr="00C5124A">
                    <w:rPr>
                      <w:sz w:val="22"/>
                      <w:szCs w:val="22"/>
                    </w:rPr>
                    <w:t>) do jednoho měsíce ode dne obdržení žádosti o vyřešení sporu v případě sporů uvedených v odst. 1 písm. b), c) a d).</w:t>
                  </w:r>
                </w:p>
                <w:p w14:paraId="171CD417" w14:textId="77777777" w:rsidR="003A5A4B" w:rsidRPr="00C5124A" w:rsidRDefault="003A5A4B" w:rsidP="003A5A4B">
                  <w:pPr>
                    <w:rPr>
                      <w:sz w:val="22"/>
                      <w:szCs w:val="22"/>
                    </w:rPr>
                  </w:pPr>
                </w:p>
              </w:tc>
            </w:tr>
          </w:tbl>
          <w:p w14:paraId="6F626D2F" w14:textId="6EB1AD6E" w:rsidR="003A5A4B" w:rsidRPr="00C5124A" w:rsidRDefault="003A5A4B" w:rsidP="003A5A4B">
            <w:pPr>
              <w:ind w:left="63"/>
              <w:rPr>
                <w:bCs/>
                <w:sz w:val="22"/>
                <w:szCs w:val="22"/>
              </w:rPr>
            </w:pPr>
            <w:r w:rsidRPr="00C5124A">
              <w:rPr>
                <w:sz w:val="22"/>
                <w:szCs w:val="22"/>
              </w:rPr>
              <w:t>Tyto lhůty lze prodloužit pouze v případě řádně odůvodněných výjimečných okolností.</w:t>
            </w:r>
          </w:p>
        </w:tc>
      </w:tr>
      <w:tr w:rsidR="003A5A4B" w:rsidRPr="00C5124A" w14:paraId="6D8FD6F6" w14:textId="77777777" w:rsidTr="00B563D5">
        <w:tc>
          <w:tcPr>
            <w:tcW w:w="887" w:type="pct"/>
            <w:tcBorders>
              <w:top w:val="single" w:sz="4" w:space="0" w:color="auto"/>
              <w:left w:val="single" w:sz="4" w:space="0" w:color="auto"/>
              <w:bottom w:val="single" w:sz="4" w:space="0" w:color="auto"/>
              <w:right w:val="single" w:sz="4" w:space="0" w:color="auto"/>
            </w:tcBorders>
          </w:tcPr>
          <w:p w14:paraId="41A06056" w14:textId="6F4A0ABE" w:rsidR="003A5A4B" w:rsidRPr="00C5124A" w:rsidRDefault="003A5A4B" w:rsidP="003A5A4B">
            <w:pPr>
              <w:suppressAutoHyphens/>
              <w:spacing w:line="276" w:lineRule="auto"/>
              <w:rPr>
                <w:bCs/>
                <w:sz w:val="22"/>
                <w:szCs w:val="22"/>
              </w:rPr>
            </w:pPr>
            <w:r w:rsidRPr="00C5124A">
              <w:rPr>
                <w:bCs/>
                <w:sz w:val="22"/>
                <w:szCs w:val="22"/>
              </w:rPr>
              <w:lastRenderedPageBreak/>
              <w:t>§ 1</w:t>
            </w:r>
            <w:r w:rsidR="00944D3A" w:rsidRPr="00C5124A">
              <w:rPr>
                <w:bCs/>
                <w:sz w:val="22"/>
                <w:szCs w:val="22"/>
              </w:rPr>
              <w:t>2</w:t>
            </w:r>
            <w:r w:rsidRPr="00C5124A">
              <w:rPr>
                <w:bCs/>
                <w:sz w:val="22"/>
                <w:szCs w:val="22"/>
              </w:rPr>
              <w:t xml:space="preserve"> odst. 7</w:t>
            </w:r>
          </w:p>
        </w:tc>
        <w:tc>
          <w:tcPr>
            <w:tcW w:w="1644" w:type="pct"/>
            <w:tcBorders>
              <w:top w:val="single" w:sz="4" w:space="0" w:color="auto"/>
              <w:left w:val="single" w:sz="4" w:space="0" w:color="auto"/>
              <w:bottom w:val="single" w:sz="4" w:space="0" w:color="auto"/>
              <w:right w:val="single" w:sz="4" w:space="0" w:color="auto"/>
            </w:tcBorders>
          </w:tcPr>
          <w:p w14:paraId="409C9870" w14:textId="51B8E1DB" w:rsidR="003A5A4B" w:rsidRPr="00C5124A" w:rsidRDefault="00944D3A" w:rsidP="003A5A4B">
            <w:pPr>
              <w:spacing w:line="257" w:lineRule="auto"/>
              <w:jc w:val="both"/>
              <w:rPr>
                <w:rFonts w:eastAsia="Calibri"/>
                <w:sz w:val="22"/>
                <w:szCs w:val="22"/>
              </w:rPr>
            </w:pPr>
            <w:r w:rsidRPr="00C5124A">
              <w:rPr>
                <w:rFonts w:eastAsia="Arial"/>
                <w:color w:val="000000" w:themeColor="text1"/>
              </w:rPr>
              <w:t>(7) Proti rozhodnutí Úřadu o sporu podle čl. 13 odst. 1 nařízení Evropského parlamentu a Rady (EU) 2024/1309 a odstavce 2 není přípustný rozklad, přezkumné řízení ani obnova řízení.</w:t>
            </w:r>
          </w:p>
        </w:tc>
        <w:tc>
          <w:tcPr>
            <w:tcW w:w="589" w:type="pct"/>
            <w:tcBorders>
              <w:top w:val="single" w:sz="4" w:space="0" w:color="auto"/>
              <w:left w:val="single" w:sz="4" w:space="0" w:color="auto"/>
              <w:bottom w:val="single" w:sz="4" w:space="0" w:color="auto"/>
              <w:right w:val="single" w:sz="4" w:space="0" w:color="auto"/>
            </w:tcBorders>
          </w:tcPr>
          <w:p w14:paraId="5290C851" w14:textId="428390B1"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1761BE25" w14:textId="640E41E0" w:rsidR="003A5A4B" w:rsidRPr="00C5124A" w:rsidRDefault="003A5A4B" w:rsidP="003A5A4B">
            <w:pPr>
              <w:ind w:left="53"/>
              <w:rPr>
                <w:bCs/>
                <w:sz w:val="22"/>
                <w:szCs w:val="22"/>
              </w:rPr>
            </w:pPr>
            <w:r w:rsidRPr="00C5124A">
              <w:rPr>
                <w:bCs/>
                <w:sz w:val="22"/>
                <w:szCs w:val="22"/>
              </w:rPr>
              <w:t>čl. 13 odst. 1</w:t>
            </w:r>
          </w:p>
        </w:tc>
        <w:tc>
          <w:tcPr>
            <w:tcW w:w="1304" w:type="pct"/>
            <w:tcBorders>
              <w:top w:val="single" w:sz="4" w:space="0" w:color="auto"/>
              <w:left w:val="single" w:sz="4" w:space="0" w:color="auto"/>
              <w:bottom w:val="single" w:sz="4" w:space="0" w:color="auto"/>
              <w:right w:val="single" w:sz="4" w:space="0" w:color="auto"/>
            </w:tcBorders>
          </w:tcPr>
          <w:p w14:paraId="4A369D3C" w14:textId="77777777" w:rsidR="003A5A4B" w:rsidRPr="00C5124A" w:rsidRDefault="003A5A4B" w:rsidP="003A5A4B">
            <w:pPr>
              <w:pStyle w:val="oj-normal"/>
              <w:shd w:val="clear" w:color="auto" w:fill="FFFFFF"/>
              <w:spacing w:before="0" w:beforeAutospacing="0" w:after="0" w:afterAutospacing="0"/>
              <w:jc w:val="both"/>
              <w:rPr>
                <w:color w:val="333333"/>
                <w:sz w:val="22"/>
                <w:szCs w:val="22"/>
              </w:rPr>
            </w:pPr>
            <w:r w:rsidRPr="00C5124A">
              <w:rPr>
                <w:color w:val="333333"/>
                <w:sz w:val="22"/>
                <w:szCs w:val="22"/>
              </w:rPr>
              <w:t>1.   Aniž je dotčena možnost předložit věc soudu, každá strana má právo předložit příslušnému vnitrostátnímu orgánu pro řešení sporů zřízenému podle článku 14 spor, který může vzniknout:</w:t>
            </w:r>
          </w:p>
          <w:tbl>
            <w:tblPr>
              <w:tblW w:w="5000" w:type="pct"/>
              <w:shd w:val="clear" w:color="auto" w:fill="FFFFFF"/>
              <w:tblCellMar>
                <w:left w:w="0" w:type="dxa"/>
                <w:right w:w="0" w:type="dxa"/>
              </w:tblCellMar>
              <w:tblLook w:val="04A0" w:firstRow="1" w:lastRow="0" w:firstColumn="1" w:lastColumn="0" w:noHBand="0" w:noVBand="1"/>
            </w:tblPr>
            <w:tblGrid>
              <w:gridCol w:w="132"/>
              <w:gridCol w:w="3508"/>
            </w:tblGrid>
            <w:tr w:rsidR="003A5A4B" w:rsidRPr="00C5124A" w14:paraId="5DB76AAF" w14:textId="77777777" w:rsidTr="00490726">
              <w:tc>
                <w:tcPr>
                  <w:tcW w:w="210" w:type="dxa"/>
                  <w:shd w:val="clear" w:color="auto" w:fill="FFFFFF"/>
                  <w:hideMark/>
                </w:tcPr>
                <w:p w14:paraId="2C3AE46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a</w:t>
                  </w:r>
                </w:p>
              </w:tc>
              <w:tc>
                <w:tcPr>
                  <w:tcW w:w="8862" w:type="dxa"/>
                  <w:shd w:val="clear" w:color="auto" w:fill="FFFFFF"/>
                  <w:hideMark/>
                </w:tcPr>
                <w:p w14:paraId="6A586F6C"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je odmítnut přístup k existující infrastruktuře nebo nebylo dosaženo dohody o konkrétních podmínkách včetně ceny do jednoho měsíce ode dne obdržení žádosti o přístup podle článku 3;</w:t>
                  </w:r>
                </w:p>
              </w:tc>
            </w:tr>
          </w:tbl>
          <w:p w14:paraId="60849D5B"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4"/>
              <w:gridCol w:w="3496"/>
            </w:tblGrid>
            <w:tr w:rsidR="003A5A4B" w:rsidRPr="00C5124A" w14:paraId="49762C2A" w14:textId="77777777" w:rsidTr="00490726">
              <w:tc>
                <w:tcPr>
                  <w:tcW w:w="225" w:type="dxa"/>
                  <w:shd w:val="clear" w:color="auto" w:fill="FFFFFF"/>
                  <w:hideMark/>
                </w:tcPr>
                <w:p w14:paraId="5A95877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b</w:t>
                  </w:r>
                </w:p>
              </w:tc>
              <w:tc>
                <w:tcPr>
                  <w:tcW w:w="8847" w:type="dxa"/>
                  <w:shd w:val="clear" w:color="auto" w:fill="FFFFFF"/>
                  <w:hideMark/>
                </w:tcPr>
                <w:p w14:paraId="357AF783"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v souvislosti s právy a povinnostmi stanovenými v článcích 4 a 6 včetně případů, kdy požadované informace nejsou poskytnuty v příslušných lhůtách;</w:t>
                  </w:r>
                </w:p>
              </w:tc>
            </w:tr>
          </w:tbl>
          <w:p w14:paraId="55891D59"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33"/>
              <w:gridCol w:w="3507"/>
            </w:tblGrid>
            <w:tr w:rsidR="003A5A4B" w:rsidRPr="00C5124A" w14:paraId="7269BEF3" w14:textId="77777777" w:rsidTr="00490726">
              <w:tc>
                <w:tcPr>
                  <w:tcW w:w="210" w:type="dxa"/>
                  <w:shd w:val="clear" w:color="auto" w:fill="FFFFFF"/>
                  <w:hideMark/>
                </w:tcPr>
                <w:p w14:paraId="0837D439"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c</w:t>
                  </w:r>
                </w:p>
              </w:tc>
              <w:tc>
                <w:tcPr>
                  <w:tcW w:w="8862" w:type="dxa"/>
                  <w:shd w:val="clear" w:color="auto" w:fill="FFFFFF"/>
                  <w:hideMark/>
                </w:tcPr>
                <w:p w14:paraId="60D54FF8"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pokud není dosaženo dohody o koordinaci stavebních prací podle čl. 5 odst. 2 do jednoho měsíce ode dne obdržení formální žádosti o koordinaci stavebních prací, nebo</w:t>
                  </w:r>
                </w:p>
              </w:tc>
            </w:tr>
          </w:tbl>
          <w:p w14:paraId="5DCF52A8" w14:textId="77777777" w:rsidR="003A5A4B" w:rsidRPr="00C5124A" w:rsidRDefault="003A5A4B" w:rsidP="003A5A4B">
            <w:pPr>
              <w:rPr>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145"/>
              <w:gridCol w:w="3495"/>
            </w:tblGrid>
            <w:tr w:rsidR="003A5A4B" w:rsidRPr="00C5124A" w14:paraId="021D3F32" w14:textId="77777777" w:rsidTr="00490726">
              <w:tc>
                <w:tcPr>
                  <w:tcW w:w="225" w:type="dxa"/>
                  <w:shd w:val="clear" w:color="auto" w:fill="FFFFFF"/>
                  <w:hideMark/>
                </w:tcPr>
                <w:p w14:paraId="75A2E3E6"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d</w:t>
                  </w:r>
                </w:p>
              </w:tc>
              <w:tc>
                <w:tcPr>
                  <w:tcW w:w="8847" w:type="dxa"/>
                  <w:shd w:val="clear" w:color="auto" w:fill="FFFFFF"/>
                  <w:hideMark/>
                </w:tcPr>
                <w:p w14:paraId="050DEBD7" w14:textId="77777777" w:rsidR="003A5A4B" w:rsidRPr="00C5124A" w:rsidRDefault="003A5A4B" w:rsidP="003A5A4B">
                  <w:pPr>
                    <w:pStyle w:val="oj-normal"/>
                    <w:spacing w:before="0" w:beforeAutospacing="0" w:after="0" w:afterAutospacing="0"/>
                    <w:jc w:val="both"/>
                    <w:rPr>
                      <w:color w:val="333333"/>
                      <w:sz w:val="22"/>
                      <w:szCs w:val="22"/>
                    </w:rPr>
                  </w:pPr>
                  <w:r w:rsidRPr="00C5124A">
                    <w:rPr>
                      <w:color w:val="333333"/>
                      <w:sz w:val="22"/>
                      <w:szCs w:val="22"/>
                    </w:rPr>
                    <w:t xml:space="preserve">) pokud není dosaženo dohody o přístupu k fyzické infrastruktuře uvnitř budovy podle čl. 11 odst. 2 nebo </w:t>
                  </w:r>
                  <w:r w:rsidRPr="00C5124A">
                    <w:rPr>
                      <w:color w:val="333333"/>
                      <w:sz w:val="22"/>
                      <w:szCs w:val="22"/>
                    </w:rPr>
                    <w:lastRenderedPageBreak/>
                    <w:t>3 do jednoho měsíce ode dne obdržení formální žádosti o přístup.</w:t>
                  </w:r>
                </w:p>
              </w:tc>
            </w:tr>
          </w:tbl>
          <w:p w14:paraId="1BC84871" w14:textId="370E1B76" w:rsidR="003A5A4B" w:rsidRPr="00C5124A" w:rsidRDefault="003A5A4B" w:rsidP="003A5A4B">
            <w:pPr>
              <w:rPr>
                <w:sz w:val="22"/>
                <w:szCs w:val="22"/>
              </w:rPr>
            </w:pPr>
            <w:r w:rsidRPr="00C5124A">
              <w:rPr>
                <w:color w:val="333333"/>
                <w:sz w:val="22"/>
                <w:szCs w:val="22"/>
              </w:rPr>
              <w:lastRenderedPageBreak/>
              <w:t>V případě sporů uvedených v odst. 1 písm. a) a d), je-li subjekt, od něhož operátor požádal o přístup, zároveň subjektem oprávněným k omezení vlastnických práv třetích osob k nemovitosti, na níž, v níž nebo pod níž se nachází předmět žádosti o přístup, mohou členské státy stanovit, že příslušný vnitrostátní orgán pro řešení sporů může rovněž řešit spory ohledně omezení vlastnických práv třetích osob.</w:t>
            </w:r>
          </w:p>
        </w:tc>
      </w:tr>
      <w:tr w:rsidR="003A5A4B" w:rsidRPr="00C5124A" w14:paraId="4E32DA9E" w14:textId="77777777" w:rsidTr="00B563D5">
        <w:tc>
          <w:tcPr>
            <w:tcW w:w="887" w:type="pct"/>
            <w:tcBorders>
              <w:top w:val="single" w:sz="4" w:space="0" w:color="auto"/>
              <w:left w:val="single" w:sz="4" w:space="0" w:color="auto"/>
              <w:bottom w:val="single" w:sz="4" w:space="0" w:color="auto"/>
              <w:right w:val="single" w:sz="4" w:space="0" w:color="auto"/>
            </w:tcBorders>
          </w:tcPr>
          <w:p w14:paraId="67F5D133" w14:textId="5FDB0E9A" w:rsidR="003A5A4B" w:rsidRPr="00C5124A" w:rsidRDefault="003A5A4B" w:rsidP="003A5A4B">
            <w:pPr>
              <w:suppressAutoHyphens/>
              <w:spacing w:line="276" w:lineRule="auto"/>
              <w:ind w:left="117"/>
              <w:rPr>
                <w:bCs/>
                <w:sz w:val="22"/>
                <w:szCs w:val="22"/>
              </w:rPr>
            </w:pPr>
            <w:r w:rsidRPr="00C5124A">
              <w:rPr>
                <w:bCs/>
                <w:sz w:val="22"/>
                <w:szCs w:val="22"/>
              </w:rPr>
              <w:lastRenderedPageBreak/>
              <w:t>§ 1</w:t>
            </w:r>
            <w:r w:rsidR="00944D3A" w:rsidRPr="00C5124A">
              <w:rPr>
                <w:bCs/>
                <w:sz w:val="22"/>
                <w:szCs w:val="22"/>
              </w:rPr>
              <w:t>3</w:t>
            </w:r>
          </w:p>
        </w:tc>
        <w:tc>
          <w:tcPr>
            <w:tcW w:w="1644" w:type="pct"/>
            <w:tcBorders>
              <w:top w:val="single" w:sz="4" w:space="0" w:color="auto"/>
              <w:left w:val="single" w:sz="4" w:space="0" w:color="auto"/>
              <w:bottom w:val="single" w:sz="4" w:space="0" w:color="auto"/>
              <w:right w:val="single" w:sz="4" w:space="0" w:color="auto"/>
            </w:tcBorders>
          </w:tcPr>
          <w:p w14:paraId="0F8DFD25" w14:textId="77777777" w:rsidR="00944D3A" w:rsidRPr="00C5124A" w:rsidRDefault="00944D3A" w:rsidP="00944D3A">
            <w:pPr>
              <w:jc w:val="both"/>
            </w:pPr>
            <w:r w:rsidRPr="00C5124A">
              <w:t xml:space="preserve">(1) Provozovatel sítě a subjekt veřejného sektoru vlastnící nebo ovládající fyzickou infrastrukturu se dopustí přestupku tím, že nevyhoví přiměřeným žádostem o průzkum na místě podle čl. 4 odst. 5 nařízení </w:t>
            </w:r>
            <w:r w:rsidRPr="00C5124A">
              <w:rPr>
                <w:bCs/>
              </w:rPr>
              <w:t xml:space="preserve">Evropského parlamentu a Rady (EU) </w:t>
            </w:r>
            <w:r w:rsidRPr="00C5124A">
              <w:t>2024/1309.</w:t>
            </w:r>
          </w:p>
          <w:p w14:paraId="55353734" w14:textId="77777777" w:rsidR="00944D3A" w:rsidRPr="00C5124A" w:rsidRDefault="00944D3A" w:rsidP="00944D3A">
            <w:pPr>
              <w:jc w:val="both"/>
            </w:pPr>
            <w:r w:rsidRPr="00C5124A">
              <w:t xml:space="preserve">(2) Právnická osoba uvedená v čl. 3 odst. 2 nařízení </w:t>
            </w:r>
            <w:r w:rsidRPr="00C5124A">
              <w:rPr>
                <w:bCs/>
              </w:rPr>
              <w:t xml:space="preserve">Evropského parlamentu a Rady (EU) </w:t>
            </w:r>
            <w:r w:rsidRPr="00C5124A">
              <w:t>2024/1309 se dopustí přestupku tím, že</w:t>
            </w:r>
          </w:p>
          <w:p w14:paraId="759399A8" w14:textId="77777777" w:rsidR="00944D3A" w:rsidRPr="00C5124A" w:rsidRDefault="00944D3A" w:rsidP="00944D3A">
            <w:pPr>
              <w:jc w:val="both"/>
            </w:pPr>
            <w:r w:rsidRPr="00C5124A">
              <w:t xml:space="preserve">a) nejednala s operátorem o přístupu podle čl. 3 odst. 2 nařízení </w:t>
            </w:r>
            <w:r w:rsidRPr="00C5124A">
              <w:rPr>
                <w:bCs/>
              </w:rPr>
              <w:t xml:space="preserve">Evropského parlamentu a Rady (EU) </w:t>
            </w:r>
            <w:r w:rsidRPr="00C5124A">
              <w:t>2024/1309 nebo</w:t>
            </w:r>
          </w:p>
          <w:p w14:paraId="3A7AC515" w14:textId="77777777" w:rsidR="00944D3A" w:rsidRPr="00C5124A" w:rsidRDefault="00944D3A" w:rsidP="00944D3A">
            <w:pPr>
              <w:jc w:val="both"/>
            </w:pPr>
            <w:r w:rsidRPr="00C5124A">
              <w:t xml:space="preserve">b) neinformovala Úřad o uzavření dohod podle čl. 3 odst. 2 nařízení </w:t>
            </w:r>
            <w:r w:rsidRPr="00C5124A">
              <w:rPr>
                <w:bCs/>
              </w:rPr>
              <w:t>Evropského parlamentu a Rady (EU)</w:t>
            </w:r>
            <w:r w:rsidRPr="00C5124A">
              <w:t>2024/1309.</w:t>
            </w:r>
          </w:p>
          <w:p w14:paraId="12E784A2" w14:textId="77777777" w:rsidR="00944D3A" w:rsidRPr="00C5124A" w:rsidRDefault="00944D3A" w:rsidP="00944D3A">
            <w:pPr>
              <w:jc w:val="both"/>
            </w:pPr>
            <w:r w:rsidRPr="00C5124A">
              <w:t>(3) Operátor se dopustí přestupku tím, že neinformoval Úřad o uzavření dohod podle čl. 3 odst. 2 nařízení Evropského</w:t>
            </w:r>
            <w:r w:rsidRPr="00C5124A">
              <w:rPr>
                <w:bCs/>
              </w:rPr>
              <w:t xml:space="preserve"> parlamentu a Rady (EU) </w:t>
            </w:r>
            <w:r w:rsidRPr="00C5124A">
              <w:t>2024/1309.</w:t>
            </w:r>
          </w:p>
          <w:p w14:paraId="56D7F1B3" w14:textId="77777777" w:rsidR="00944D3A" w:rsidRPr="00C5124A" w:rsidRDefault="00944D3A" w:rsidP="00831DD5">
            <w:pPr>
              <w:jc w:val="both"/>
            </w:pPr>
            <w:r w:rsidRPr="00C5124A">
              <w:lastRenderedPageBreak/>
              <w:t xml:space="preserve">(4) Operátor se dopustí přestupku tím, že nezajistí ochranu údajů podle čl. 4 odst. 8 nařízení </w:t>
            </w:r>
            <w:r w:rsidRPr="00C5124A">
              <w:rPr>
                <w:bCs/>
              </w:rPr>
              <w:t xml:space="preserve">Evropského parlamentu a Rady (EU) </w:t>
            </w:r>
            <w:r w:rsidRPr="00C5124A">
              <w:t>2024/1309.</w:t>
            </w:r>
          </w:p>
          <w:p w14:paraId="3560385E" w14:textId="77777777" w:rsidR="00944D3A" w:rsidRPr="00C5124A" w:rsidRDefault="00944D3A" w:rsidP="00831DD5">
            <w:pPr>
              <w:jc w:val="both"/>
            </w:pPr>
            <w:r w:rsidRPr="00C5124A">
              <w:t>(5) Právnická osoba zajišťující nebo oprávněná zajišťovat veřejné sítě elektronických komunikací se dopustí přestupku tím, že nevybuduje fyzickou infrastrukturu s dostatečnou kapacitou podle čl. 5 odst. 4 nařízení Evropského parlamentu a Rady (EU) 2024/1309.</w:t>
            </w:r>
          </w:p>
          <w:p w14:paraId="475F4DE8" w14:textId="77777777" w:rsidR="00944D3A" w:rsidRPr="00C5124A" w:rsidRDefault="00944D3A" w:rsidP="00831DD5">
            <w:pPr>
              <w:jc w:val="both"/>
            </w:pPr>
            <w:r w:rsidRPr="00C5124A">
              <w:t>(6) Za přestupek lze uložit pokutu do</w:t>
            </w:r>
          </w:p>
          <w:p w14:paraId="2E3C9C5E" w14:textId="77777777" w:rsidR="00944D3A" w:rsidRPr="00C5124A" w:rsidRDefault="00944D3A" w:rsidP="00944D3A">
            <w:pPr>
              <w:jc w:val="both"/>
            </w:pPr>
            <w:r w:rsidRPr="00C5124A">
              <w:t xml:space="preserve">a) 2 000 000,- Kč, jde-li o přestupek podle odstavce 1, odstavce 2 písm. b) a odstavce 3, </w:t>
            </w:r>
          </w:p>
          <w:p w14:paraId="5C679028" w14:textId="664788E1" w:rsidR="003A5A4B" w:rsidRPr="00C5124A" w:rsidRDefault="00944D3A" w:rsidP="00831DD5">
            <w:pPr>
              <w:jc w:val="both"/>
              <w:rPr>
                <w:sz w:val="22"/>
                <w:szCs w:val="22"/>
              </w:rPr>
            </w:pPr>
            <w:r w:rsidRPr="00C5124A">
              <w:t>b) 10 000 000 Kč nebo do výše 5 % z čistého obratu pachatele přestupku dosaženého za poslední ukončené účetní období, podle toho, která z těchto hodnot je vyšší, jde-li o přestupek podle odstavce 2 písm. a), odstavce 4 a odstavce 5.</w:t>
            </w:r>
          </w:p>
        </w:tc>
        <w:tc>
          <w:tcPr>
            <w:tcW w:w="589" w:type="pct"/>
            <w:tcBorders>
              <w:top w:val="single" w:sz="4" w:space="0" w:color="auto"/>
              <w:left w:val="single" w:sz="4" w:space="0" w:color="auto"/>
              <w:bottom w:val="single" w:sz="4" w:space="0" w:color="auto"/>
              <w:right w:val="single" w:sz="4" w:space="0" w:color="auto"/>
            </w:tcBorders>
          </w:tcPr>
          <w:p w14:paraId="0C122753" w14:textId="01214A13"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2F7B57FF" w14:textId="4F8E7CA4" w:rsidR="003A5A4B" w:rsidRPr="00C5124A" w:rsidRDefault="003A5A4B" w:rsidP="003A5A4B">
            <w:pPr>
              <w:ind w:left="53"/>
              <w:rPr>
                <w:bCs/>
                <w:sz w:val="22"/>
                <w:szCs w:val="22"/>
              </w:rPr>
            </w:pPr>
            <w:r w:rsidRPr="00C5124A">
              <w:rPr>
                <w:bCs/>
                <w:sz w:val="22"/>
                <w:szCs w:val="22"/>
              </w:rPr>
              <w:t>čl. 15</w:t>
            </w:r>
          </w:p>
        </w:tc>
        <w:tc>
          <w:tcPr>
            <w:tcW w:w="1304" w:type="pct"/>
            <w:tcBorders>
              <w:top w:val="single" w:sz="4" w:space="0" w:color="auto"/>
              <w:left w:val="single" w:sz="4" w:space="0" w:color="auto"/>
              <w:bottom w:val="single" w:sz="4" w:space="0" w:color="auto"/>
              <w:right w:val="single" w:sz="4" w:space="0" w:color="auto"/>
            </w:tcBorders>
          </w:tcPr>
          <w:p w14:paraId="29EB97FF" w14:textId="036DA52A" w:rsidR="003A5A4B" w:rsidRPr="00C5124A" w:rsidRDefault="003A5A4B" w:rsidP="003A5A4B">
            <w:pPr>
              <w:ind w:left="63"/>
              <w:rPr>
                <w:bCs/>
                <w:sz w:val="22"/>
                <w:szCs w:val="22"/>
              </w:rPr>
            </w:pPr>
            <w:r w:rsidRPr="00C5124A">
              <w:rPr>
                <w:color w:val="333333"/>
                <w:sz w:val="22"/>
                <w:szCs w:val="22"/>
                <w:shd w:val="clear" w:color="auto" w:fill="FFFFFF"/>
              </w:rPr>
              <w:t>Členské státy stanoví sankce za porušení tohoto nařízení a jakéhokoli závazného rozhodnutí přijatého na základě tohoto nařízení příslušnými orgány uvedenými v článku 14 a přijmou veškerá opatření nezbytná pro zajištění jejich provádění. Stanovené sankce musí být vhodné, účinné, přiměřené a odrazující.</w:t>
            </w:r>
          </w:p>
        </w:tc>
      </w:tr>
      <w:tr w:rsidR="003A5A4B" w:rsidRPr="00C5124A" w14:paraId="6C25FE49" w14:textId="77777777" w:rsidTr="00B563D5">
        <w:tc>
          <w:tcPr>
            <w:tcW w:w="887" w:type="pct"/>
            <w:tcBorders>
              <w:top w:val="single" w:sz="4" w:space="0" w:color="auto"/>
              <w:left w:val="single" w:sz="4" w:space="0" w:color="auto"/>
              <w:bottom w:val="single" w:sz="4" w:space="0" w:color="auto"/>
              <w:right w:val="single" w:sz="4" w:space="0" w:color="auto"/>
            </w:tcBorders>
          </w:tcPr>
          <w:p w14:paraId="459A3998" w14:textId="77777777" w:rsidR="003A5A4B" w:rsidRPr="00C5124A" w:rsidRDefault="003A5A4B" w:rsidP="003A5A4B">
            <w:pPr>
              <w:jc w:val="both"/>
              <w:rPr>
                <w:bCs/>
                <w:sz w:val="22"/>
                <w:szCs w:val="22"/>
              </w:rPr>
            </w:pPr>
            <w:r w:rsidRPr="00C5124A">
              <w:rPr>
                <w:bCs/>
                <w:sz w:val="22"/>
                <w:szCs w:val="22"/>
              </w:rPr>
              <w:t>část druhá, Změna zákona o správních poplatcích</w:t>
            </w:r>
          </w:p>
          <w:p w14:paraId="7F84606D" w14:textId="48A05B61" w:rsidR="003A5A4B" w:rsidRPr="00C5124A" w:rsidRDefault="003A5A4B" w:rsidP="003A5A4B">
            <w:pPr>
              <w:suppressAutoHyphens/>
              <w:spacing w:line="276" w:lineRule="auto"/>
              <w:ind w:left="117"/>
              <w:jc w:val="both"/>
              <w:rPr>
                <w:bCs/>
                <w:sz w:val="22"/>
                <w:szCs w:val="22"/>
              </w:rPr>
            </w:pPr>
          </w:p>
        </w:tc>
        <w:tc>
          <w:tcPr>
            <w:tcW w:w="1644" w:type="pct"/>
            <w:tcBorders>
              <w:top w:val="single" w:sz="4" w:space="0" w:color="auto"/>
              <w:left w:val="single" w:sz="4" w:space="0" w:color="auto"/>
              <w:bottom w:val="single" w:sz="4" w:space="0" w:color="auto"/>
              <w:right w:val="single" w:sz="4" w:space="0" w:color="auto"/>
            </w:tcBorders>
          </w:tcPr>
          <w:p w14:paraId="677A2C9A" w14:textId="77777777" w:rsidR="003A5A4B" w:rsidRPr="006719EB" w:rsidRDefault="003A5A4B" w:rsidP="003A5A4B">
            <w:pPr>
              <w:jc w:val="both"/>
              <w:rPr>
                <w:sz w:val="22"/>
                <w:szCs w:val="22"/>
              </w:rPr>
            </w:pPr>
            <w:r w:rsidRPr="006719EB">
              <w:rPr>
                <w:sz w:val="22"/>
                <w:szCs w:val="22"/>
              </w:rPr>
              <w:t>Položka 114</w:t>
            </w:r>
          </w:p>
          <w:p w14:paraId="550E0428" w14:textId="77777777" w:rsidR="003A5A4B" w:rsidRPr="006719EB" w:rsidRDefault="003A5A4B" w:rsidP="003A5A4B">
            <w:pPr>
              <w:jc w:val="both"/>
              <w:rPr>
                <w:sz w:val="22"/>
                <w:szCs w:val="22"/>
              </w:rPr>
            </w:pPr>
            <w:r w:rsidRPr="006719EB">
              <w:rPr>
                <w:sz w:val="22"/>
                <w:szCs w:val="22"/>
              </w:rPr>
              <w:t>a) Podání návrhu na rozhodnutí podle čl. 13 odst. 1 písm. b) a d) nařízení Evropského parlamentu a Rady (EU) 2024/1309</w:t>
            </w:r>
            <w:r w:rsidRPr="006719EB">
              <w:rPr>
                <w:sz w:val="22"/>
                <w:szCs w:val="22"/>
              </w:rPr>
              <w:tab/>
              <w:t>2 000</w:t>
            </w:r>
            <w:r w:rsidRPr="006719EB">
              <w:rPr>
                <w:sz w:val="22"/>
                <w:szCs w:val="22"/>
              </w:rPr>
              <w:tab/>
              <w:t>Kč</w:t>
            </w:r>
          </w:p>
          <w:p w14:paraId="15C2682C" w14:textId="77777777" w:rsidR="003A5A4B" w:rsidRPr="006719EB" w:rsidRDefault="003A5A4B" w:rsidP="003A5A4B">
            <w:pPr>
              <w:jc w:val="both"/>
              <w:rPr>
                <w:sz w:val="22"/>
                <w:szCs w:val="22"/>
              </w:rPr>
            </w:pPr>
            <w:r w:rsidRPr="006719EB">
              <w:rPr>
                <w:sz w:val="22"/>
                <w:szCs w:val="22"/>
              </w:rPr>
              <w:t>b) Podání návrhu na rozhodnutí podle čl. 13 odst. 1 písm. a) a c) nařízení Evropského parlamentu a Rady (EU) 2024/1309</w:t>
            </w:r>
            <w:r w:rsidRPr="006719EB">
              <w:rPr>
                <w:sz w:val="22"/>
                <w:szCs w:val="22"/>
              </w:rPr>
              <w:tab/>
              <w:t>10 000</w:t>
            </w:r>
            <w:r w:rsidRPr="006719EB">
              <w:rPr>
                <w:sz w:val="22"/>
                <w:szCs w:val="22"/>
              </w:rPr>
              <w:tab/>
              <w:t>Kč</w:t>
            </w:r>
          </w:p>
          <w:p w14:paraId="5E231A34" w14:textId="77777777" w:rsidR="003A5A4B" w:rsidRPr="006719EB" w:rsidRDefault="003A5A4B" w:rsidP="003A5A4B">
            <w:pPr>
              <w:jc w:val="both"/>
              <w:rPr>
                <w:sz w:val="22"/>
                <w:szCs w:val="22"/>
              </w:rPr>
            </w:pPr>
            <w:r w:rsidRPr="006719EB">
              <w:rPr>
                <w:sz w:val="22"/>
                <w:szCs w:val="22"/>
              </w:rPr>
              <w:t>Poznámka</w:t>
            </w:r>
          </w:p>
          <w:p w14:paraId="147438A6" w14:textId="03B11BE7" w:rsidR="003A5A4B" w:rsidRPr="00C5124A" w:rsidRDefault="003A5A4B" w:rsidP="003A5A4B">
            <w:pPr>
              <w:ind w:firstLine="708"/>
              <w:jc w:val="both"/>
              <w:rPr>
                <w:bCs/>
                <w:sz w:val="22"/>
                <w:szCs w:val="22"/>
              </w:rPr>
            </w:pPr>
            <w:r w:rsidRPr="006719EB">
              <w:rPr>
                <w:sz w:val="22"/>
                <w:szCs w:val="22"/>
              </w:rPr>
              <w:t>Poplatek podle této položky je splatný do 5 dní od podání návrhu na rozhodnutí.</w:t>
            </w:r>
          </w:p>
        </w:tc>
        <w:tc>
          <w:tcPr>
            <w:tcW w:w="589" w:type="pct"/>
            <w:tcBorders>
              <w:top w:val="single" w:sz="4" w:space="0" w:color="auto"/>
              <w:left w:val="single" w:sz="4" w:space="0" w:color="auto"/>
              <w:bottom w:val="single" w:sz="4" w:space="0" w:color="auto"/>
              <w:right w:val="single" w:sz="4" w:space="0" w:color="auto"/>
            </w:tcBorders>
          </w:tcPr>
          <w:p w14:paraId="49AE064E" w14:textId="4F8C2505" w:rsidR="003A5A4B" w:rsidRPr="00C5124A" w:rsidRDefault="003A5A4B" w:rsidP="003A5A4B">
            <w:pPr>
              <w:ind w:left="45"/>
              <w:rPr>
                <w:bCs/>
                <w:sz w:val="22"/>
                <w:szCs w:val="22"/>
              </w:rPr>
            </w:pPr>
            <w:r w:rsidRPr="00C5124A">
              <w:rPr>
                <w:bCs/>
                <w:sz w:val="22"/>
                <w:szCs w:val="22"/>
              </w:rPr>
              <w:t>32024R1309</w:t>
            </w:r>
          </w:p>
        </w:tc>
        <w:tc>
          <w:tcPr>
            <w:tcW w:w="576" w:type="pct"/>
            <w:tcBorders>
              <w:top w:val="single" w:sz="4" w:space="0" w:color="auto"/>
              <w:left w:val="single" w:sz="4" w:space="0" w:color="auto"/>
              <w:bottom w:val="single" w:sz="4" w:space="0" w:color="auto"/>
              <w:right w:val="single" w:sz="4" w:space="0" w:color="auto"/>
            </w:tcBorders>
          </w:tcPr>
          <w:p w14:paraId="3434BB8C" w14:textId="661C5BB8" w:rsidR="003A5A4B" w:rsidRPr="00C5124A" w:rsidRDefault="003A5A4B" w:rsidP="003A5A4B">
            <w:pPr>
              <w:ind w:left="53"/>
              <w:rPr>
                <w:bCs/>
                <w:sz w:val="22"/>
                <w:szCs w:val="22"/>
              </w:rPr>
            </w:pPr>
            <w:r w:rsidRPr="00C5124A">
              <w:rPr>
                <w:bCs/>
                <w:sz w:val="22"/>
                <w:szCs w:val="22"/>
              </w:rPr>
              <w:t>čl. 1</w:t>
            </w:r>
            <w:r w:rsidR="006719EB">
              <w:rPr>
                <w:bCs/>
                <w:sz w:val="22"/>
                <w:szCs w:val="22"/>
              </w:rPr>
              <w:t>4 odst. 3</w:t>
            </w:r>
          </w:p>
        </w:tc>
        <w:tc>
          <w:tcPr>
            <w:tcW w:w="1304" w:type="pct"/>
            <w:tcBorders>
              <w:top w:val="single" w:sz="4" w:space="0" w:color="auto"/>
              <w:left w:val="single" w:sz="4" w:space="0" w:color="auto"/>
              <w:bottom w:val="single" w:sz="4" w:space="0" w:color="auto"/>
              <w:right w:val="single" w:sz="4" w:space="0" w:color="auto"/>
            </w:tcBorders>
          </w:tcPr>
          <w:p w14:paraId="660BC233" w14:textId="3C790929" w:rsidR="003A5A4B" w:rsidRPr="00C5124A" w:rsidRDefault="006719EB" w:rsidP="003A5A4B">
            <w:pPr>
              <w:ind w:left="63"/>
              <w:rPr>
                <w:color w:val="333333"/>
                <w:sz w:val="22"/>
                <w:szCs w:val="22"/>
                <w:shd w:val="clear" w:color="auto" w:fill="FFFFFF"/>
              </w:rPr>
            </w:pPr>
            <w:r w:rsidRPr="006719EB">
              <w:rPr>
                <w:color w:val="333333"/>
                <w:sz w:val="22"/>
                <w:szCs w:val="22"/>
                <w:shd w:val="clear" w:color="auto" w:fill="FFFFFF"/>
              </w:rPr>
              <w:t>Vnitrostátní orgán pro řešení sporů může účtovat poplatky na pokrytí nákladů souvisejících s plněním úkolů, které mu byly svěřeny.</w:t>
            </w:r>
          </w:p>
        </w:tc>
      </w:tr>
      <w:tr w:rsidR="003A5A4B" w:rsidRPr="00C5124A" w14:paraId="14505C52" w14:textId="77777777" w:rsidTr="00B563D5">
        <w:tc>
          <w:tcPr>
            <w:tcW w:w="887" w:type="pct"/>
            <w:tcBorders>
              <w:top w:val="single" w:sz="4" w:space="0" w:color="auto"/>
              <w:left w:val="single" w:sz="4" w:space="0" w:color="auto"/>
              <w:bottom w:val="single" w:sz="4" w:space="0" w:color="auto"/>
              <w:right w:val="single" w:sz="4" w:space="0" w:color="auto"/>
            </w:tcBorders>
          </w:tcPr>
          <w:p w14:paraId="6D20ED87" w14:textId="4066DED8" w:rsidR="003A5A4B" w:rsidRPr="00C5124A" w:rsidRDefault="003A5A4B" w:rsidP="003A5A4B">
            <w:pPr>
              <w:jc w:val="both"/>
              <w:rPr>
                <w:bCs/>
                <w:sz w:val="22"/>
                <w:szCs w:val="22"/>
              </w:rPr>
            </w:pPr>
            <w:r w:rsidRPr="00C5124A">
              <w:rPr>
                <w:bCs/>
                <w:sz w:val="22"/>
                <w:szCs w:val="22"/>
              </w:rPr>
              <w:t xml:space="preserve">část pátá, Změna zákona o zeměměřictví, </w:t>
            </w:r>
            <w:r w:rsidRPr="007A7954">
              <w:rPr>
                <w:bCs/>
                <w:sz w:val="22"/>
                <w:szCs w:val="22"/>
              </w:rPr>
              <w:t xml:space="preserve">§ 17a odst. </w:t>
            </w:r>
            <w:r w:rsidR="007A7954" w:rsidRPr="007A7954">
              <w:rPr>
                <w:bCs/>
                <w:sz w:val="22"/>
                <w:szCs w:val="22"/>
              </w:rPr>
              <w:t xml:space="preserve">3 </w:t>
            </w:r>
          </w:p>
        </w:tc>
        <w:tc>
          <w:tcPr>
            <w:tcW w:w="1644" w:type="pct"/>
            <w:tcBorders>
              <w:top w:val="single" w:sz="4" w:space="0" w:color="auto"/>
              <w:left w:val="single" w:sz="4" w:space="0" w:color="auto"/>
              <w:bottom w:val="single" w:sz="4" w:space="0" w:color="auto"/>
              <w:right w:val="single" w:sz="4" w:space="0" w:color="auto"/>
            </w:tcBorders>
          </w:tcPr>
          <w:p w14:paraId="0722DCD9" w14:textId="77777777" w:rsidR="007A7954" w:rsidRPr="007A7954" w:rsidRDefault="007A7954" w:rsidP="007A7954">
            <w:pPr>
              <w:jc w:val="both"/>
              <w:rPr>
                <w:bCs/>
                <w:sz w:val="22"/>
                <w:szCs w:val="22"/>
              </w:rPr>
            </w:pPr>
            <w:r w:rsidRPr="007A7954">
              <w:rPr>
                <w:bCs/>
                <w:sz w:val="22"/>
                <w:szCs w:val="22"/>
              </w:rPr>
              <w:t xml:space="preserve">(3) Provozovatel sítě a subjekt veřejného sektoru podle nařízení Evropského parlamentu a Rady (EU) 2024/1309 se dopustí přestupku tím, že </w:t>
            </w:r>
          </w:p>
          <w:p w14:paraId="5F7F3025" w14:textId="77777777" w:rsidR="007A7954" w:rsidRPr="007A7954" w:rsidRDefault="007A7954" w:rsidP="007A7954">
            <w:pPr>
              <w:numPr>
                <w:ilvl w:val="0"/>
                <w:numId w:val="17"/>
              </w:numPr>
              <w:jc w:val="both"/>
              <w:rPr>
                <w:bCs/>
                <w:sz w:val="22"/>
                <w:szCs w:val="22"/>
              </w:rPr>
            </w:pPr>
            <w:r w:rsidRPr="007A7954">
              <w:rPr>
                <w:bCs/>
                <w:sz w:val="22"/>
                <w:szCs w:val="22"/>
              </w:rPr>
              <w:lastRenderedPageBreak/>
              <w:t xml:space="preserve">neohlásí správci databáze údaje o vzniku, změně, zániku nebo změně informací podle čl. 4 nařízení Evropského parlamentu a Rady (EU) 2024/1309 ve vztahu k budově, která je prvkem fyzické infrastruktury podle nařízení Evropského parlamentu a Rady (EU) 2024/1309, </w:t>
            </w:r>
          </w:p>
          <w:p w14:paraId="2D66E7F0" w14:textId="77777777" w:rsidR="007A7954" w:rsidRPr="007A7954" w:rsidRDefault="007A7954" w:rsidP="007A7954">
            <w:pPr>
              <w:numPr>
                <w:ilvl w:val="0"/>
                <w:numId w:val="17"/>
              </w:numPr>
              <w:jc w:val="both"/>
              <w:rPr>
                <w:bCs/>
                <w:sz w:val="22"/>
                <w:szCs w:val="22"/>
              </w:rPr>
            </w:pPr>
            <w:r w:rsidRPr="007A7954">
              <w:rPr>
                <w:bCs/>
                <w:sz w:val="22"/>
                <w:szCs w:val="22"/>
              </w:rPr>
              <w:t>neohlásí správci databáze údaje o tom, že budova je prvkem fyzické infrastruktury podle nařízení Evropského parlamentu a Rady (EU) 2024/1309,</w:t>
            </w:r>
          </w:p>
          <w:p w14:paraId="5FDCBCA0" w14:textId="77777777" w:rsidR="007A7954" w:rsidRPr="007A7954" w:rsidRDefault="007A7954" w:rsidP="007A7954">
            <w:pPr>
              <w:numPr>
                <w:ilvl w:val="0"/>
                <w:numId w:val="17"/>
              </w:numPr>
              <w:jc w:val="both"/>
              <w:rPr>
                <w:bCs/>
                <w:sz w:val="22"/>
                <w:szCs w:val="22"/>
              </w:rPr>
            </w:pPr>
            <w:r w:rsidRPr="007A7954">
              <w:rPr>
                <w:bCs/>
                <w:sz w:val="22"/>
                <w:szCs w:val="22"/>
              </w:rPr>
              <w:t xml:space="preserve">nezajistí povinnost podle </w:t>
            </w:r>
            <w:bookmarkStart w:id="21" w:name="_Hlk192067908"/>
            <w:r w:rsidRPr="007A7954">
              <w:rPr>
                <w:bCs/>
                <w:sz w:val="22"/>
                <w:szCs w:val="22"/>
              </w:rPr>
              <w:t>čl. 6 odst. 1 nařízení Evropského parlamentu a Rady (EU) 2024/1309</w:t>
            </w:r>
            <w:bookmarkEnd w:id="21"/>
            <w:r w:rsidRPr="007A7954">
              <w:rPr>
                <w:bCs/>
                <w:sz w:val="22"/>
                <w:szCs w:val="22"/>
              </w:rPr>
              <w:t xml:space="preserve"> tím, že nezapíše minimální informace o plánovaných stavebních pracích týkajících se dopravní a technické infrastruktury do neveřejné části digitální technické mapy kraje, nebo</w:t>
            </w:r>
          </w:p>
          <w:p w14:paraId="323D292E" w14:textId="77777777" w:rsidR="007A7954" w:rsidRPr="007A7954" w:rsidRDefault="007A7954" w:rsidP="007A7954">
            <w:pPr>
              <w:numPr>
                <w:ilvl w:val="0"/>
                <w:numId w:val="17"/>
              </w:numPr>
              <w:jc w:val="both"/>
              <w:rPr>
                <w:b/>
                <w:bCs/>
                <w:sz w:val="22"/>
                <w:szCs w:val="22"/>
              </w:rPr>
            </w:pPr>
            <w:r w:rsidRPr="007A7954">
              <w:rPr>
                <w:bCs/>
                <w:sz w:val="22"/>
                <w:szCs w:val="22"/>
              </w:rPr>
              <w:t>neaktualizuje údaje o plánovaných stavebních pracích týkajících se dopravní a technické infrastruktury zapsané v digitální technické mapě kraje podle čl. 6 odst. 1 nařízení Evropského parlamentu a Rady (EU) 2024/1309.</w:t>
            </w:r>
          </w:p>
          <w:p w14:paraId="23454C15" w14:textId="73C8C87C" w:rsidR="003A5A4B" w:rsidRPr="00C5124A" w:rsidRDefault="003A5A4B" w:rsidP="00CE11C4">
            <w:pPr>
              <w:jc w:val="both"/>
              <w:rPr>
                <w:bCs/>
                <w:sz w:val="22"/>
                <w:szCs w:val="22"/>
              </w:rPr>
            </w:pPr>
          </w:p>
        </w:tc>
        <w:tc>
          <w:tcPr>
            <w:tcW w:w="589" w:type="pct"/>
            <w:tcBorders>
              <w:top w:val="single" w:sz="4" w:space="0" w:color="auto"/>
              <w:left w:val="single" w:sz="4" w:space="0" w:color="auto"/>
              <w:bottom w:val="single" w:sz="4" w:space="0" w:color="auto"/>
              <w:right w:val="single" w:sz="4" w:space="0" w:color="auto"/>
            </w:tcBorders>
          </w:tcPr>
          <w:p w14:paraId="348474CE" w14:textId="4E74FFDD" w:rsidR="003A5A4B" w:rsidRPr="00C5124A" w:rsidRDefault="003A5A4B" w:rsidP="003A5A4B">
            <w:pPr>
              <w:ind w:left="45"/>
              <w:rPr>
                <w:bCs/>
                <w:sz w:val="22"/>
                <w:szCs w:val="22"/>
              </w:rPr>
            </w:pPr>
            <w:r w:rsidRPr="00C5124A">
              <w:rPr>
                <w:bCs/>
                <w:sz w:val="22"/>
                <w:szCs w:val="22"/>
              </w:rPr>
              <w:lastRenderedPageBreak/>
              <w:t>32024R1309</w:t>
            </w:r>
          </w:p>
        </w:tc>
        <w:tc>
          <w:tcPr>
            <w:tcW w:w="576" w:type="pct"/>
            <w:tcBorders>
              <w:top w:val="single" w:sz="4" w:space="0" w:color="auto"/>
              <w:left w:val="single" w:sz="4" w:space="0" w:color="auto"/>
              <w:bottom w:val="single" w:sz="4" w:space="0" w:color="auto"/>
              <w:right w:val="single" w:sz="4" w:space="0" w:color="auto"/>
            </w:tcBorders>
          </w:tcPr>
          <w:p w14:paraId="5881DEFF" w14:textId="189130D5" w:rsidR="003A5A4B" w:rsidRPr="00C5124A" w:rsidRDefault="003A5A4B" w:rsidP="003A5A4B">
            <w:pPr>
              <w:ind w:left="53"/>
              <w:rPr>
                <w:bCs/>
                <w:sz w:val="22"/>
                <w:szCs w:val="22"/>
              </w:rPr>
            </w:pPr>
            <w:r w:rsidRPr="00C5124A">
              <w:rPr>
                <w:bCs/>
                <w:sz w:val="22"/>
                <w:szCs w:val="22"/>
              </w:rPr>
              <w:t>čl. 15</w:t>
            </w:r>
          </w:p>
        </w:tc>
        <w:tc>
          <w:tcPr>
            <w:tcW w:w="1304" w:type="pct"/>
            <w:tcBorders>
              <w:top w:val="single" w:sz="4" w:space="0" w:color="auto"/>
              <w:left w:val="single" w:sz="4" w:space="0" w:color="auto"/>
              <w:bottom w:val="single" w:sz="4" w:space="0" w:color="auto"/>
              <w:right w:val="single" w:sz="4" w:space="0" w:color="auto"/>
            </w:tcBorders>
          </w:tcPr>
          <w:p w14:paraId="0954C684" w14:textId="3879D333" w:rsidR="003A5A4B" w:rsidRPr="00C5124A" w:rsidRDefault="003A5A4B" w:rsidP="003A5A4B">
            <w:pPr>
              <w:ind w:left="63"/>
              <w:jc w:val="both"/>
              <w:rPr>
                <w:color w:val="333333"/>
                <w:sz w:val="22"/>
                <w:szCs w:val="22"/>
                <w:shd w:val="clear" w:color="auto" w:fill="FFFFFF"/>
              </w:rPr>
            </w:pPr>
            <w:r w:rsidRPr="00C5124A">
              <w:rPr>
                <w:color w:val="333333"/>
                <w:sz w:val="22"/>
                <w:szCs w:val="22"/>
                <w:shd w:val="clear" w:color="auto" w:fill="FFFFFF"/>
              </w:rPr>
              <w:t xml:space="preserve">Členské státy stanoví sankce za porušení tohoto nařízení a jakéhokoli závazného rozhodnutí přijatého na základě tohoto </w:t>
            </w:r>
            <w:r w:rsidRPr="00C5124A">
              <w:rPr>
                <w:color w:val="333333"/>
                <w:sz w:val="22"/>
                <w:szCs w:val="22"/>
                <w:shd w:val="clear" w:color="auto" w:fill="FFFFFF"/>
              </w:rPr>
              <w:lastRenderedPageBreak/>
              <w:t>nařízení příslušnými orgány uvedenými v článku 14 a přijmou veškerá opatření nezbytná pro zajištění jejich provádění. Stanovené sankce musí být vhodné, účinné, přiměřené a odrazující.</w:t>
            </w:r>
          </w:p>
        </w:tc>
      </w:tr>
    </w:tbl>
    <w:p w14:paraId="33288F39" w14:textId="77777777" w:rsidR="007D67E7" w:rsidRPr="00C5124A" w:rsidRDefault="007D67E7" w:rsidP="007D67E7">
      <w:pPr>
        <w:tabs>
          <w:tab w:val="left" w:pos="360"/>
        </w:tabs>
        <w:spacing w:before="360"/>
        <w:rPr>
          <w:sz w:val="22"/>
          <w:szCs w:val="22"/>
        </w:rPr>
      </w:pPr>
    </w:p>
    <w:tbl>
      <w:tblPr>
        <w:tblW w:w="5000" w:type="pct"/>
        <w:tblCellMar>
          <w:left w:w="0" w:type="dxa"/>
          <w:right w:w="0" w:type="dxa"/>
        </w:tblCellMar>
        <w:tblLook w:val="04A0" w:firstRow="1" w:lastRow="0" w:firstColumn="1" w:lastColumn="0" w:noHBand="0" w:noVBand="1"/>
      </w:tblPr>
      <w:tblGrid>
        <w:gridCol w:w="7006"/>
        <w:gridCol w:w="6978"/>
      </w:tblGrid>
      <w:tr w:rsidR="007D67E7" w:rsidRPr="00C5124A" w14:paraId="35DEA823" w14:textId="77777777" w:rsidTr="00E30588">
        <w:trPr>
          <w:cantSplit/>
          <w:trHeight w:val="397"/>
        </w:trPr>
        <w:tc>
          <w:tcPr>
            <w:tcW w:w="2505" w:type="pct"/>
            <w:tcBorders>
              <w:top w:val="single" w:sz="8" w:space="0" w:color="000000"/>
              <w:left w:val="single" w:sz="8" w:space="0" w:color="000000"/>
              <w:bottom w:val="nil"/>
              <w:right w:val="nil"/>
            </w:tcBorders>
            <w:vAlign w:val="center"/>
            <w:hideMark/>
          </w:tcPr>
          <w:p w14:paraId="360B5333"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 xml:space="preserve">Číslo předpisu EU (kód </w:t>
            </w:r>
            <w:proofErr w:type="spellStart"/>
            <w:r w:rsidRPr="00C5124A">
              <w:rPr>
                <w:sz w:val="22"/>
                <w:szCs w:val="22"/>
              </w:rPr>
              <w:t>celex</w:t>
            </w:r>
            <w:proofErr w:type="spellEnd"/>
            <w:r w:rsidRPr="00C5124A">
              <w:rPr>
                <w:sz w:val="22"/>
                <w:szCs w:val="22"/>
              </w:rPr>
              <w:t>)</w:t>
            </w:r>
          </w:p>
        </w:tc>
        <w:tc>
          <w:tcPr>
            <w:tcW w:w="2495" w:type="pct"/>
            <w:tcBorders>
              <w:top w:val="single" w:sz="8" w:space="0" w:color="000000"/>
              <w:left w:val="single" w:sz="8" w:space="0" w:color="000000"/>
              <w:bottom w:val="nil"/>
              <w:right w:val="single" w:sz="8" w:space="0" w:color="000000"/>
            </w:tcBorders>
            <w:vAlign w:val="center"/>
            <w:hideMark/>
          </w:tcPr>
          <w:p w14:paraId="6B83AF08" w14:textId="77777777" w:rsidR="007D67E7" w:rsidRPr="00C5124A" w:rsidRDefault="007D67E7" w:rsidP="007D67E7">
            <w:pPr>
              <w:tabs>
                <w:tab w:val="left" w:pos="360"/>
              </w:tabs>
              <w:suppressAutoHyphens/>
              <w:spacing w:line="276" w:lineRule="auto"/>
              <w:jc w:val="center"/>
              <w:rPr>
                <w:sz w:val="22"/>
                <w:szCs w:val="22"/>
                <w:lang w:eastAsia="ar-SA"/>
              </w:rPr>
            </w:pPr>
            <w:r w:rsidRPr="00C5124A">
              <w:rPr>
                <w:sz w:val="22"/>
                <w:szCs w:val="22"/>
              </w:rPr>
              <w:t>Název předpisu EU</w:t>
            </w:r>
          </w:p>
        </w:tc>
      </w:tr>
      <w:tr w:rsidR="007D67E7" w:rsidRPr="00C5124A" w14:paraId="4E6A12EE" w14:textId="77777777" w:rsidTr="00E30588">
        <w:trPr>
          <w:cantSplit/>
        </w:trPr>
        <w:tc>
          <w:tcPr>
            <w:tcW w:w="2505" w:type="pct"/>
            <w:tcBorders>
              <w:top w:val="single" w:sz="8" w:space="0" w:color="000000"/>
              <w:left w:val="single" w:sz="8" w:space="0" w:color="000000"/>
              <w:bottom w:val="single" w:sz="2" w:space="0" w:color="000000"/>
              <w:right w:val="nil"/>
            </w:tcBorders>
          </w:tcPr>
          <w:p w14:paraId="39E525A6" w14:textId="5FC86CEF" w:rsidR="007D67E7" w:rsidRPr="00C5124A" w:rsidRDefault="00CA6F76" w:rsidP="007D67E7">
            <w:pPr>
              <w:ind w:left="122"/>
              <w:rPr>
                <w:bCs/>
                <w:sz w:val="22"/>
                <w:szCs w:val="22"/>
              </w:rPr>
            </w:pPr>
            <w:r w:rsidRPr="00C5124A">
              <w:rPr>
                <w:bCs/>
                <w:sz w:val="22"/>
                <w:szCs w:val="22"/>
              </w:rPr>
              <w:t>32024R1309</w:t>
            </w:r>
          </w:p>
        </w:tc>
        <w:tc>
          <w:tcPr>
            <w:tcW w:w="2495" w:type="pct"/>
            <w:tcBorders>
              <w:top w:val="single" w:sz="8" w:space="0" w:color="000000"/>
              <w:left w:val="single" w:sz="8" w:space="0" w:color="000000"/>
              <w:bottom w:val="single" w:sz="2" w:space="0" w:color="000000"/>
              <w:right w:val="single" w:sz="8" w:space="0" w:color="000000"/>
            </w:tcBorders>
          </w:tcPr>
          <w:p w14:paraId="26E23077" w14:textId="1091DC46" w:rsidR="007D67E7" w:rsidRPr="00C5124A" w:rsidRDefault="00CA6F76" w:rsidP="007D67E7">
            <w:pPr>
              <w:ind w:left="52"/>
              <w:rPr>
                <w:sz w:val="22"/>
                <w:szCs w:val="22"/>
              </w:rPr>
            </w:pPr>
            <w:r w:rsidRPr="00C5124A">
              <w:rPr>
                <w:sz w:val="22"/>
                <w:szCs w:val="22"/>
              </w:rPr>
              <w:t>Nařízení Evropského parlamentu a Rady (EU) 2024/1309 ze dne 29. dubna 2024 o opatřeních ke snížení nákladů na budování gigabitových sítí elektronických komunikací, o změně nařízení (EU) 2015/2120 a o zrušení směrnice 2014/61 EU (nařízení o gigabitové infrastruktuře)</w:t>
            </w:r>
          </w:p>
        </w:tc>
      </w:tr>
    </w:tbl>
    <w:p w14:paraId="40EFA0C4" w14:textId="77777777" w:rsidR="008B13A3" w:rsidRPr="00C5124A" w:rsidRDefault="008B13A3" w:rsidP="008B13A3">
      <w:pPr>
        <w:spacing w:after="240"/>
        <w:rPr>
          <w:sz w:val="22"/>
          <w:szCs w:val="22"/>
        </w:rPr>
      </w:pPr>
    </w:p>
    <w:sectPr w:rsidR="008B13A3" w:rsidRPr="00C5124A" w:rsidSect="00E30588">
      <w:footerReference w:type="default" r:id="rId8"/>
      <w:pgSz w:w="16838" w:h="11906" w:orient="landscape"/>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80CEF" w14:textId="77777777" w:rsidR="00A07E19" w:rsidRDefault="00A07E19">
      <w:r>
        <w:separator/>
      </w:r>
    </w:p>
  </w:endnote>
  <w:endnote w:type="continuationSeparator" w:id="0">
    <w:p w14:paraId="64E62FBF" w14:textId="77777777" w:rsidR="00A07E19" w:rsidRDefault="00A07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0002AFF" w:usb1="4000ACFF" w:usb2="00000001" w:usb3="00000000" w:csb0="000001FF" w:csb1="00000000"/>
  </w:font>
  <w:font w:name="EUAlbertina">
    <w:altName w:val="Cambria"/>
    <w:panose1 w:val="00000000000000000000"/>
    <w:charset w:val="EE"/>
    <w:family w:val="swiss"/>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9B35" w14:textId="77777777" w:rsidR="00517DCD" w:rsidRPr="00BE178D" w:rsidRDefault="00E82FE7" w:rsidP="00E82FE7">
    <w:pPr>
      <w:pStyle w:val="Podnadpis"/>
      <w:rPr>
        <w:rFonts w:ascii="Times New Roman" w:hAnsi="Times New Roman"/>
        <w:sz w:val="22"/>
        <w:szCs w:val="22"/>
      </w:rPr>
    </w:pPr>
    <w:r w:rsidRPr="00BE178D">
      <w:rPr>
        <w:rFonts w:ascii="Times New Roman" w:hAnsi="Times New Roman"/>
        <w:sz w:val="22"/>
        <w:szCs w:val="22"/>
      </w:rPr>
      <w:t xml:space="preserve">Stránka </w:t>
    </w:r>
    <w:r w:rsidRPr="00BE178D">
      <w:rPr>
        <w:rFonts w:ascii="Times New Roman" w:hAnsi="Times New Roman"/>
        <w:sz w:val="22"/>
        <w:szCs w:val="22"/>
      </w:rPr>
      <w:fldChar w:fldCharType="begin"/>
    </w:r>
    <w:r w:rsidRPr="00BE178D">
      <w:rPr>
        <w:rFonts w:ascii="Times New Roman" w:hAnsi="Times New Roman"/>
        <w:sz w:val="22"/>
        <w:szCs w:val="22"/>
      </w:rPr>
      <w:instrText>PAGE</w:instrText>
    </w:r>
    <w:r w:rsidRPr="00BE178D">
      <w:rPr>
        <w:rFonts w:ascii="Times New Roman" w:hAnsi="Times New Roman"/>
        <w:sz w:val="22"/>
        <w:szCs w:val="22"/>
      </w:rPr>
      <w:fldChar w:fldCharType="separate"/>
    </w:r>
    <w:r w:rsidR="008D31CA" w:rsidRPr="00BE178D">
      <w:rPr>
        <w:rFonts w:ascii="Times New Roman" w:hAnsi="Times New Roman"/>
        <w:noProof/>
        <w:sz w:val="22"/>
        <w:szCs w:val="22"/>
      </w:rPr>
      <w:t>2</w:t>
    </w:r>
    <w:r w:rsidRPr="00BE178D">
      <w:rPr>
        <w:rFonts w:ascii="Times New Roman" w:hAnsi="Times New Roman"/>
        <w:sz w:val="22"/>
        <w:szCs w:val="22"/>
      </w:rPr>
      <w:fldChar w:fldCharType="end"/>
    </w:r>
    <w:r w:rsidRPr="00BE178D">
      <w:rPr>
        <w:rFonts w:ascii="Times New Roman" w:hAnsi="Times New Roman"/>
        <w:sz w:val="22"/>
        <w:szCs w:val="22"/>
      </w:rPr>
      <w:t xml:space="preserve"> (celkem </w:t>
    </w:r>
    <w:r w:rsidRPr="00BE178D">
      <w:rPr>
        <w:rFonts w:ascii="Times New Roman" w:hAnsi="Times New Roman"/>
        <w:sz w:val="22"/>
        <w:szCs w:val="22"/>
      </w:rPr>
      <w:fldChar w:fldCharType="begin"/>
    </w:r>
    <w:r w:rsidRPr="00BE178D">
      <w:rPr>
        <w:rFonts w:ascii="Times New Roman" w:hAnsi="Times New Roman"/>
        <w:sz w:val="22"/>
        <w:szCs w:val="22"/>
      </w:rPr>
      <w:instrText>NUMPAGES</w:instrText>
    </w:r>
    <w:r w:rsidRPr="00BE178D">
      <w:rPr>
        <w:rFonts w:ascii="Times New Roman" w:hAnsi="Times New Roman"/>
        <w:sz w:val="22"/>
        <w:szCs w:val="22"/>
      </w:rPr>
      <w:fldChar w:fldCharType="separate"/>
    </w:r>
    <w:r w:rsidR="008D31CA" w:rsidRPr="00BE178D">
      <w:rPr>
        <w:rFonts w:ascii="Times New Roman" w:hAnsi="Times New Roman"/>
        <w:noProof/>
        <w:sz w:val="22"/>
        <w:szCs w:val="22"/>
      </w:rPr>
      <w:t>2</w:t>
    </w:r>
    <w:r w:rsidRPr="00BE178D">
      <w:rPr>
        <w:rFonts w:ascii="Times New Roman" w:hAnsi="Times New Roman"/>
        <w:sz w:val="22"/>
        <w:szCs w:val="22"/>
      </w:rPr>
      <w:fldChar w:fldCharType="end"/>
    </w:r>
    <w:r w:rsidRPr="00BE178D">
      <w:rPr>
        <w:rFonts w:ascii="Times New Roman" w:hAnsi="Times New Roman"/>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5FB8" w14:textId="77777777" w:rsidR="00A07E19" w:rsidRDefault="00A07E19">
      <w:r>
        <w:separator/>
      </w:r>
    </w:p>
  </w:footnote>
  <w:footnote w:type="continuationSeparator" w:id="0">
    <w:p w14:paraId="433DEBB2" w14:textId="77777777" w:rsidR="00A07E19" w:rsidRDefault="00A07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2BEB89"/>
    <w:multiLevelType w:val="hybridMultilevel"/>
    <w:tmpl w:val="7D95BE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9A3678"/>
    <w:multiLevelType w:val="hybridMultilevel"/>
    <w:tmpl w:val="DB197A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021B7DA"/>
    <w:multiLevelType w:val="hybridMultilevel"/>
    <w:tmpl w:val="E180BA0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7A91D82"/>
    <w:multiLevelType w:val="hybridMultilevel"/>
    <w:tmpl w:val="23AA7B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EE3846"/>
    <w:multiLevelType w:val="hybridMultilevel"/>
    <w:tmpl w:val="F61C5736"/>
    <w:lvl w:ilvl="0" w:tplc="0E448E58">
      <w:start w:val="1"/>
      <w:numFmt w:val="lowerLetter"/>
      <w:lvlText w:val="%1)"/>
      <w:lvlJc w:val="left"/>
      <w:pPr>
        <w:ind w:left="785" w:hanging="360"/>
      </w:pPr>
      <w:rPr>
        <w:rFonts w:hint="default"/>
        <w:b w:val="0"/>
        <w:bCs w:val="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15:restartNumberingAfterBreak="0">
    <w:nsid w:val="081944C5"/>
    <w:multiLevelType w:val="hybridMultilevel"/>
    <w:tmpl w:val="EF0E6E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6799D"/>
    <w:multiLevelType w:val="hybridMultilevel"/>
    <w:tmpl w:val="7DDCD0BE"/>
    <w:lvl w:ilvl="0" w:tplc="04050011">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846BCD"/>
    <w:multiLevelType w:val="multilevel"/>
    <w:tmpl w:val="ACD4BF8C"/>
    <w:lvl w:ilvl="0">
      <w:start w:val="1"/>
      <w:numFmt w:val="decimal"/>
      <w:pStyle w:val="Odstavecseseznamem"/>
      <w:suff w:val="space"/>
      <w:lvlText w:val="%1)"/>
      <w:lvlJc w:val="left"/>
      <w:pPr>
        <w:ind w:left="1134" w:hanging="360"/>
      </w:pPr>
      <w:rPr>
        <w:rFonts w:ascii="Times New Roman" w:eastAsia="Times New Roman" w:hAnsi="Times New Roman" w:cs="Times New Roman"/>
        <w:sz w:val="24"/>
      </w:rPr>
    </w:lvl>
    <w:lvl w:ilvl="1">
      <w:start w:val="1"/>
      <w:numFmt w:val="lowerLetter"/>
      <w:suff w:val="space"/>
      <w:lvlText w:val="%2)"/>
      <w:lvlJc w:val="left"/>
      <w:pPr>
        <w:ind w:left="1494" w:hanging="360"/>
      </w:pPr>
    </w:lvl>
    <w:lvl w:ilvl="2">
      <w:start w:val="1"/>
      <w:numFmt w:val="lowerRoman"/>
      <w:suff w:val="space"/>
      <w:lvlText w:val="%3)"/>
      <w:lvlJc w:val="left"/>
      <w:pPr>
        <w:ind w:left="1854" w:hanging="360"/>
      </w:pPr>
    </w:lvl>
    <w:lvl w:ilvl="3">
      <w:start w:val="1"/>
      <w:numFmt w:val="decimal"/>
      <w:suff w:val="space"/>
      <w:lvlText w:val="%4)"/>
      <w:lvlJc w:val="left"/>
      <w:pPr>
        <w:ind w:left="2214" w:hanging="360"/>
      </w:pPr>
    </w:lvl>
    <w:lvl w:ilvl="4">
      <w:start w:val="1"/>
      <w:numFmt w:val="lowerLetter"/>
      <w:suff w:val="space"/>
      <w:lvlText w:val="%5)"/>
      <w:lvlJc w:val="left"/>
      <w:pPr>
        <w:ind w:left="2574" w:hanging="360"/>
      </w:pPr>
    </w:lvl>
    <w:lvl w:ilvl="5">
      <w:start w:val="1"/>
      <w:numFmt w:val="lowerRoman"/>
      <w:suff w:val="space"/>
      <w:lvlText w:val="%6)"/>
      <w:lvlJc w:val="left"/>
      <w:pPr>
        <w:ind w:left="2934" w:hanging="360"/>
      </w:pPr>
    </w:lvl>
    <w:lvl w:ilvl="6">
      <w:start w:val="1"/>
      <w:numFmt w:val="decimal"/>
      <w:suff w:val="space"/>
      <w:lvlText w:val="%7)"/>
      <w:lvlJc w:val="left"/>
      <w:pPr>
        <w:ind w:left="3294" w:hanging="360"/>
      </w:pPr>
    </w:lvl>
    <w:lvl w:ilvl="7">
      <w:start w:val="1"/>
      <w:numFmt w:val="lowerLetter"/>
      <w:suff w:val="space"/>
      <w:lvlText w:val="%8)"/>
      <w:lvlJc w:val="left"/>
      <w:pPr>
        <w:ind w:left="3654" w:hanging="360"/>
      </w:pPr>
    </w:lvl>
    <w:lvl w:ilvl="8">
      <w:start w:val="1"/>
      <w:numFmt w:val="lowerRoman"/>
      <w:suff w:val="space"/>
      <w:lvlText w:val="%9)"/>
      <w:lvlJc w:val="left"/>
      <w:pPr>
        <w:ind w:left="4014" w:hanging="360"/>
      </w:pPr>
    </w:lvl>
  </w:abstractNum>
  <w:abstractNum w:abstractNumId="8" w15:restartNumberingAfterBreak="0">
    <w:nsid w:val="16D759E8"/>
    <w:multiLevelType w:val="hybridMultilevel"/>
    <w:tmpl w:val="667AB182"/>
    <w:lvl w:ilvl="0" w:tplc="F90E37F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207A2B79"/>
    <w:multiLevelType w:val="hybridMultilevel"/>
    <w:tmpl w:val="AB3C999E"/>
    <w:lvl w:ilvl="0" w:tplc="EEC24E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2E75F5"/>
    <w:multiLevelType w:val="hybridMultilevel"/>
    <w:tmpl w:val="31CCDC0E"/>
    <w:lvl w:ilvl="0" w:tplc="933E27AA">
      <w:start w:val="1"/>
      <w:numFmt w:val="decimal"/>
      <w:lvlText w:val="%1)"/>
      <w:lvlJc w:val="left"/>
      <w:pPr>
        <w:ind w:left="406" w:hanging="360"/>
      </w:pPr>
      <w:rPr>
        <w:rFonts w:ascii="Times New Roman" w:hAnsi="Times New Roman" w:cs="Times New Roman" w:hint="default"/>
        <w:sz w:val="24"/>
      </w:rPr>
    </w:lvl>
    <w:lvl w:ilvl="1" w:tplc="04050019" w:tentative="1">
      <w:start w:val="1"/>
      <w:numFmt w:val="lowerLetter"/>
      <w:lvlText w:val="%2."/>
      <w:lvlJc w:val="left"/>
      <w:pPr>
        <w:ind w:left="1126" w:hanging="360"/>
      </w:pPr>
    </w:lvl>
    <w:lvl w:ilvl="2" w:tplc="0405001B" w:tentative="1">
      <w:start w:val="1"/>
      <w:numFmt w:val="lowerRoman"/>
      <w:lvlText w:val="%3."/>
      <w:lvlJc w:val="right"/>
      <w:pPr>
        <w:ind w:left="1846" w:hanging="180"/>
      </w:pPr>
    </w:lvl>
    <w:lvl w:ilvl="3" w:tplc="0405000F" w:tentative="1">
      <w:start w:val="1"/>
      <w:numFmt w:val="decimal"/>
      <w:lvlText w:val="%4."/>
      <w:lvlJc w:val="left"/>
      <w:pPr>
        <w:ind w:left="2566" w:hanging="360"/>
      </w:pPr>
    </w:lvl>
    <w:lvl w:ilvl="4" w:tplc="04050019" w:tentative="1">
      <w:start w:val="1"/>
      <w:numFmt w:val="lowerLetter"/>
      <w:lvlText w:val="%5."/>
      <w:lvlJc w:val="left"/>
      <w:pPr>
        <w:ind w:left="3286" w:hanging="360"/>
      </w:pPr>
    </w:lvl>
    <w:lvl w:ilvl="5" w:tplc="0405001B" w:tentative="1">
      <w:start w:val="1"/>
      <w:numFmt w:val="lowerRoman"/>
      <w:lvlText w:val="%6."/>
      <w:lvlJc w:val="right"/>
      <w:pPr>
        <w:ind w:left="4006" w:hanging="180"/>
      </w:pPr>
    </w:lvl>
    <w:lvl w:ilvl="6" w:tplc="0405000F" w:tentative="1">
      <w:start w:val="1"/>
      <w:numFmt w:val="decimal"/>
      <w:lvlText w:val="%7."/>
      <w:lvlJc w:val="left"/>
      <w:pPr>
        <w:ind w:left="4726" w:hanging="360"/>
      </w:pPr>
    </w:lvl>
    <w:lvl w:ilvl="7" w:tplc="04050019" w:tentative="1">
      <w:start w:val="1"/>
      <w:numFmt w:val="lowerLetter"/>
      <w:lvlText w:val="%8."/>
      <w:lvlJc w:val="left"/>
      <w:pPr>
        <w:ind w:left="5446" w:hanging="360"/>
      </w:pPr>
    </w:lvl>
    <w:lvl w:ilvl="8" w:tplc="0405001B" w:tentative="1">
      <w:start w:val="1"/>
      <w:numFmt w:val="lowerRoman"/>
      <w:lvlText w:val="%9."/>
      <w:lvlJc w:val="right"/>
      <w:pPr>
        <w:ind w:left="6166" w:hanging="180"/>
      </w:pPr>
    </w:lvl>
  </w:abstractNum>
  <w:abstractNum w:abstractNumId="11" w15:restartNumberingAfterBreak="0">
    <w:nsid w:val="25C4A5BC"/>
    <w:multiLevelType w:val="hybridMultilevel"/>
    <w:tmpl w:val="8287A6A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C90A900"/>
    <w:multiLevelType w:val="hybridMultilevel"/>
    <w:tmpl w:val="56BD8A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2A64620"/>
    <w:multiLevelType w:val="hybridMultilevel"/>
    <w:tmpl w:val="34400C8E"/>
    <w:lvl w:ilvl="0" w:tplc="58B0E8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226766"/>
    <w:multiLevelType w:val="hybridMultilevel"/>
    <w:tmpl w:val="E87EE3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D302FF"/>
    <w:multiLevelType w:val="hybridMultilevel"/>
    <w:tmpl w:val="0148929A"/>
    <w:lvl w:ilvl="0" w:tplc="04050011">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6249E3"/>
    <w:multiLevelType w:val="hybridMultilevel"/>
    <w:tmpl w:val="280050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A34234"/>
    <w:multiLevelType w:val="hybridMultilevel"/>
    <w:tmpl w:val="6A000F64"/>
    <w:lvl w:ilvl="0" w:tplc="3F0E54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126DD2"/>
    <w:multiLevelType w:val="hybridMultilevel"/>
    <w:tmpl w:val="0F5EE682"/>
    <w:lvl w:ilvl="0" w:tplc="C06A1E48">
      <w:start w:val="1"/>
      <w:numFmt w:val="decimal"/>
      <w:lvlText w:val="(%1)"/>
      <w:lvlJc w:val="left"/>
      <w:pPr>
        <w:ind w:left="825" w:hanging="46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085516"/>
    <w:multiLevelType w:val="hybridMultilevel"/>
    <w:tmpl w:val="B6208CD0"/>
    <w:lvl w:ilvl="0" w:tplc="3230CF28">
      <w:start w:val="2"/>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66D2233"/>
    <w:multiLevelType w:val="hybridMultilevel"/>
    <w:tmpl w:val="92262854"/>
    <w:lvl w:ilvl="0" w:tplc="902A106C">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1" w15:restartNumberingAfterBreak="0">
    <w:nsid w:val="6CCC25F9"/>
    <w:multiLevelType w:val="hybridMultilevel"/>
    <w:tmpl w:val="6A000F64"/>
    <w:lvl w:ilvl="0" w:tplc="3F0E54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EB90F80"/>
    <w:multiLevelType w:val="hybridMultilevel"/>
    <w:tmpl w:val="7C1CD8D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1EC2B08"/>
    <w:multiLevelType w:val="hybridMultilevel"/>
    <w:tmpl w:val="9EE668E0"/>
    <w:lvl w:ilvl="0" w:tplc="D1CE723C">
      <w:start w:val="1"/>
      <w:numFmt w:val="lowerLetter"/>
      <w:lvlText w:val="%1)"/>
      <w:lvlJc w:val="left"/>
      <w:pPr>
        <w:ind w:left="4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6B4AB9"/>
    <w:multiLevelType w:val="hybridMultilevel"/>
    <w:tmpl w:val="9DA076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243F7E"/>
    <w:multiLevelType w:val="hybridMultilevel"/>
    <w:tmpl w:val="D910C660"/>
    <w:lvl w:ilvl="0" w:tplc="9B7A47FA">
      <w:start w:val="1"/>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536179"/>
    <w:multiLevelType w:val="hybridMultilevel"/>
    <w:tmpl w:val="6A000F64"/>
    <w:lvl w:ilvl="0" w:tplc="3F0E54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9"/>
  </w:num>
  <w:num w:numId="3">
    <w:abstractNumId w:val="8"/>
  </w:num>
  <w:num w:numId="4">
    <w:abstractNumId w:val="12"/>
  </w:num>
  <w:num w:numId="5">
    <w:abstractNumId w:val="1"/>
  </w:num>
  <w:num w:numId="6">
    <w:abstractNumId w:val="0"/>
  </w:num>
  <w:num w:numId="7">
    <w:abstractNumId w:val="16"/>
  </w:num>
  <w:num w:numId="8">
    <w:abstractNumId w:val="11"/>
  </w:num>
  <w:num w:numId="9">
    <w:abstractNumId w:val="3"/>
  </w:num>
  <w:num w:numId="10">
    <w:abstractNumId w:val="2"/>
  </w:num>
  <w:num w:numId="11">
    <w:abstractNumId w:val="14"/>
  </w:num>
  <w:num w:numId="12">
    <w:abstractNumId w:val="20"/>
  </w:num>
  <w:num w:numId="13">
    <w:abstractNumId w:val="23"/>
  </w:num>
  <w:num w:numId="14">
    <w:abstractNumId w:val="22"/>
  </w:num>
  <w:num w:numId="15">
    <w:abstractNumId w:val="24"/>
  </w:num>
  <w:num w:numId="16">
    <w:abstractNumId w:val="5"/>
  </w:num>
  <w:num w:numId="17">
    <w:abstractNumId w:val="4"/>
  </w:num>
  <w:num w:numId="18">
    <w:abstractNumId w:val="10"/>
  </w:num>
  <w:num w:numId="19">
    <w:abstractNumId w:val="15"/>
  </w:num>
  <w:num w:numId="20">
    <w:abstractNumId w:val="6"/>
  </w:num>
  <w:num w:numId="21">
    <w:abstractNumId w:val="18"/>
  </w:num>
  <w:num w:numId="22">
    <w:abstractNumId w:val="9"/>
  </w:num>
  <w:num w:numId="23">
    <w:abstractNumId w:val="13"/>
  </w:num>
  <w:num w:numId="24">
    <w:abstractNumId w:val="21"/>
  </w:num>
  <w:num w:numId="25">
    <w:abstractNumId w:val="26"/>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88"/>
    <w:rsid w:val="000170B7"/>
    <w:rsid w:val="000353F8"/>
    <w:rsid w:val="000368B3"/>
    <w:rsid w:val="000511CC"/>
    <w:rsid w:val="000529E5"/>
    <w:rsid w:val="000558E5"/>
    <w:rsid w:val="000714EA"/>
    <w:rsid w:val="0007665B"/>
    <w:rsid w:val="000937EA"/>
    <w:rsid w:val="000938CF"/>
    <w:rsid w:val="00096F20"/>
    <w:rsid w:val="000B2C72"/>
    <w:rsid w:val="000B68D4"/>
    <w:rsid w:val="000C22DF"/>
    <w:rsid w:val="000C3395"/>
    <w:rsid w:val="000C6DE7"/>
    <w:rsid w:val="000D46DA"/>
    <w:rsid w:val="000E0B3C"/>
    <w:rsid w:val="000F3771"/>
    <w:rsid w:val="001076AD"/>
    <w:rsid w:val="001113B5"/>
    <w:rsid w:val="00113AE4"/>
    <w:rsid w:val="0012205D"/>
    <w:rsid w:val="00124891"/>
    <w:rsid w:val="001271A8"/>
    <w:rsid w:val="00136FD3"/>
    <w:rsid w:val="00146B9C"/>
    <w:rsid w:val="00152D4B"/>
    <w:rsid w:val="0015335C"/>
    <w:rsid w:val="0016088B"/>
    <w:rsid w:val="00160A9B"/>
    <w:rsid w:val="00166775"/>
    <w:rsid w:val="00174EDE"/>
    <w:rsid w:val="00175568"/>
    <w:rsid w:val="00175C5A"/>
    <w:rsid w:val="00176004"/>
    <w:rsid w:val="0017769F"/>
    <w:rsid w:val="00193205"/>
    <w:rsid w:val="00193610"/>
    <w:rsid w:val="00194DB8"/>
    <w:rsid w:val="001A0191"/>
    <w:rsid w:val="001A5BEF"/>
    <w:rsid w:val="001B025C"/>
    <w:rsid w:val="001B7406"/>
    <w:rsid w:val="001C0C2D"/>
    <w:rsid w:val="001C280D"/>
    <w:rsid w:val="001C600F"/>
    <w:rsid w:val="001D14A5"/>
    <w:rsid w:val="001D4A44"/>
    <w:rsid w:val="001E0BBF"/>
    <w:rsid w:val="001E1BAB"/>
    <w:rsid w:val="001E4B73"/>
    <w:rsid w:val="001E5A31"/>
    <w:rsid w:val="001E5D84"/>
    <w:rsid w:val="002025FE"/>
    <w:rsid w:val="00206CE8"/>
    <w:rsid w:val="00212DE3"/>
    <w:rsid w:val="002145BE"/>
    <w:rsid w:val="00216D41"/>
    <w:rsid w:val="002176C3"/>
    <w:rsid w:val="00220D4E"/>
    <w:rsid w:val="00232B1E"/>
    <w:rsid w:val="002331DE"/>
    <w:rsid w:val="00240B7D"/>
    <w:rsid w:val="002440BD"/>
    <w:rsid w:val="0026146B"/>
    <w:rsid w:val="00261F16"/>
    <w:rsid w:val="002635F8"/>
    <w:rsid w:val="002640E3"/>
    <w:rsid w:val="00266DD6"/>
    <w:rsid w:val="002712B4"/>
    <w:rsid w:val="0028001A"/>
    <w:rsid w:val="00286C49"/>
    <w:rsid w:val="00286E89"/>
    <w:rsid w:val="002A672E"/>
    <w:rsid w:val="002B3B2A"/>
    <w:rsid w:val="002B40EC"/>
    <w:rsid w:val="002B6C17"/>
    <w:rsid w:val="002C4E06"/>
    <w:rsid w:val="002C586E"/>
    <w:rsid w:val="002C59AA"/>
    <w:rsid w:val="002C7256"/>
    <w:rsid w:val="002D57B2"/>
    <w:rsid w:val="00300B85"/>
    <w:rsid w:val="00307EC4"/>
    <w:rsid w:val="003130CC"/>
    <w:rsid w:val="00321039"/>
    <w:rsid w:val="00321DD3"/>
    <w:rsid w:val="003266EA"/>
    <w:rsid w:val="003327D6"/>
    <w:rsid w:val="003339BF"/>
    <w:rsid w:val="00337666"/>
    <w:rsid w:val="003405F7"/>
    <w:rsid w:val="00342072"/>
    <w:rsid w:val="00344DBC"/>
    <w:rsid w:val="00346431"/>
    <w:rsid w:val="0035013A"/>
    <w:rsid w:val="0035164B"/>
    <w:rsid w:val="00361DDC"/>
    <w:rsid w:val="00371422"/>
    <w:rsid w:val="00372B45"/>
    <w:rsid w:val="00373D3D"/>
    <w:rsid w:val="00385528"/>
    <w:rsid w:val="00391BE7"/>
    <w:rsid w:val="00393408"/>
    <w:rsid w:val="00394075"/>
    <w:rsid w:val="003A5632"/>
    <w:rsid w:val="003A59AF"/>
    <w:rsid w:val="003A5A4B"/>
    <w:rsid w:val="003A6249"/>
    <w:rsid w:val="003A6615"/>
    <w:rsid w:val="003B1362"/>
    <w:rsid w:val="003B4A41"/>
    <w:rsid w:val="003B6E81"/>
    <w:rsid w:val="003C6813"/>
    <w:rsid w:val="003C7C51"/>
    <w:rsid w:val="003F0CA0"/>
    <w:rsid w:val="003F385E"/>
    <w:rsid w:val="00400CDA"/>
    <w:rsid w:val="00402946"/>
    <w:rsid w:val="0040404C"/>
    <w:rsid w:val="00406C16"/>
    <w:rsid w:val="00407F2E"/>
    <w:rsid w:val="00414097"/>
    <w:rsid w:val="004204B7"/>
    <w:rsid w:val="004211F0"/>
    <w:rsid w:val="00421876"/>
    <w:rsid w:val="00422CA2"/>
    <w:rsid w:val="0042632A"/>
    <w:rsid w:val="00446651"/>
    <w:rsid w:val="00454C8A"/>
    <w:rsid w:val="00460CA2"/>
    <w:rsid w:val="00463BB3"/>
    <w:rsid w:val="00464CED"/>
    <w:rsid w:val="00465B99"/>
    <w:rsid w:val="00475DE2"/>
    <w:rsid w:val="00480D93"/>
    <w:rsid w:val="00482126"/>
    <w:rsid w:val="0048281D"/>
    <w:rsid w:val="00484550"/>
    <w:rsid w:val="00497C02"/>
    <w:rsid w:val="004A45A0"/>
    <w:rsid w:val="004A4DF0"/>
    <w:rsid w:val="004A4E59"/>
    <w:rsid w:val="004B01A0"/>
    <w:rsid w:val="004C58C9"/>
    <w:rsid w:val="004C636E"/>
    <w:rsid w:val="004D5DEF"/>
    <w:rsid w:val="004D60AD"/>
    <w:rsid w:val="004E0880"/>
    <w:rsid w:val="004E23DD"/>
    <w:rsid w:val="004E7143"/>
    <w:rsid w:val="005006E9"/>
    <w:rsid w:val="00504566"/>
    <w:rsid w:val="00507952"/>
    <w:rsid w:val="00517DCD"/>
    <w:rsid w:val="00517F92"/>
    <w:rsid w:val="005318BF"/>
    <w:rsid w:val="005417B5"/>
    <w:rsid w:val="005429DE"/>
    <w:rsid w:val="005438AD"/>
    <w:rsid w:val="00543A82"/>
    <w:rsid w:val="005476CA"/>
    <w:rsid w:val="00555DD6"/>
    <w:rsid w:val="00556FD8"/>
    <w:rsid w:val="00557BD7"/>
    <w:rsid w:val="00560822"/>
    <w:rsid w:val="0056661A"/>
    <w:rsid w:val="0057011B"/>
    <w:rsid w:val="00571F3B"/>
    <w:rsid w:val="00574B2B"/>
    <w:rsid w:val="00575906"/>
    <w:rsid w:val="00582064"/>
    <w:rsid w:val="005859FE"/>
    <w:rsid w:val="00595103"/>
    <w:rsid w:val="005A0726"/>
    <w:rsid w:val="005A491E"/>
    <w:rsid w:val="005A6304"/>
    <w:rsid w:val="005C1DEA"/>
    <w:rsid w:val="005C3B9C"/>
    <w:rsid w:val="005C6C54"/>
    <w:rsid w:val="005D04F5"/>
    <w:rsid w:val="005D6F54"/>
    <w:rsid w:val="005D7717"/>
    <w:rsid w:val="005F3119"/>
    <w:rsid w:val="005F3FCE"/>
    <w:rsid w:val="005F675A"/>
    <w:rsid w:val="0061326D"/>
    <w:rsid w:val="00640B6D"/>
    <w:rsid w:val="006444D8"/>
    <w:rsid w:val="006458F2"/>
    <w:rsid w:val="0064698F"/>
    <w:rsid w:val="00647BDE"/>
    <w:rsid w:val="006700AE"/>
    <w:rsid w:val="006719EB"/>
    <w:rsid w:val="00672868"/>
    <w:rsid w:val="006735CF"/>
    <w:rsid w:val="00677086"/>
    <w:rsid w:val="00683510"/>
    <w:rsid w:val="006858E5"/>
    <w:rsid w:val="00692B76"/>
    <w:rsid w:val="00694E0D"/>
    <w:rsid w:val="00696458"/>
    <w:rsid w:val="006971CD"/>
    <w:rsid w:val="006A3D67"/>
    <w:rsid w:val="006A4003"/>
    <w:rsid w:val="006A6631"/>
    <w:rsid w:val="006A7BC9"/>
    <w:rsid w:val="006B6EE8"/>
    <w:rsid w:val="006C446F"/>
    <w:rsid w:val="006C4D87"/>
    <w:rsid w:val="006C61DF"/>
    <w:rsid w:val="006C64C0"/>
    <w:rsid w:val="006D0316"/>
    <w:rsid w:val="006D3177"/>
    <w:rsid w:val="006D44AF"/>
    <w:rsid w:val="006E3AE3"/>
    <w:rsid w:val="006E3D29"/>
    <w:rsid w:val="006E70BC"/>
    <w:rsid w:val="006F22C0"/>
    <w:rsid w:val="007007CE"/>
    <w:rsid w:val="00704C65"/>
    <w:rsid w:val="00706242"/>
    <w:rsid w:val="00706A9D"/>
    <w:rsid w:val="0071101D"/>
    <w:rsid w:val="00711070"/>
    <w:rsid w:val="00713D46"/>
    <w:rsid w:val="007156F3"/>
    <w:rsid w:val="007172A1"/>
    <w:rsid w:val="007177A4"/>
    <w:rsid w:val="00720111"/>
    <w:rsid w:val="007366D2"/>
    <w:rsid w:val="007413FF"/>
    <w:rsid w:val="007460CB"/>
    <w:rsid w:val="00761A01"/>
    <w:rsid w:val="00763232"/>
    <w:rsid w:val="00766723"/>
    <w:rsid w:val="007703BE"/>
    <w:rsid w:val="007735CD"/>
    <w:rsid w:val="00790667"/>
    <w:rsid w:val="00791503"/>
    <w:rsid w:val="007A0E35"/>
    <w:rsid w:val="007A12AC"/>
    <w:rsid w:val="007A196D"/>
    <w:rsid w:val="007A4C28"/>
    <w:rsid w:val="007A7954"/>
    <w:rsid w:val="007C328B"/>
    <w:rsid w:val="007D0E86"/>
    <w:rsid w:val="007D3E09"/>
    <w:rsid w:val="007D67E7"/>
    <w:rsid w:val="007D7B3B"/>
    <w:rsid w:val="007E2E4E"/>
    <w:rsid w:val="007E3754"/>
    <w:rsid w:val="007E5DA9"/>
    <w:rsid w:val="007E7CE2"/>
    <w:rsid w:val="007F16DF"/>
    <w:rsid w:val="00804CE1"/>
    <w:rsid w:val="00810D66"/>
    <w:rsid w:val="008114C2"/>
    <w:rsid w:val="00812EAD"/>
    <w:rsid w:val="008179C3"/>
    <w:rsid w:val="00824CBE"/>
    <w:rsid w:val="0082520E"/>
    <w:rsid w:val="00831DD5"/>
    <w:rsid w:val="00832AB5"/>
    <w:rsid w:val="00840A29"/>
    <w:rsid w:val="00845F57"/>
    <w:rsid w:val="0085300A"/>
    <w:rsid w:val="0085536D"/>
    <w:rsid w:val="00856AF9"/>
    <w:rsid w:val="00870411"/>
    <w:rsid w:val="00874259"/>
    <w:rsid w:val="00883D7B"/>
    <w:rsid w:val="00887ECA"/>
    <w:rsid w:val="00891D52"/>
    <w:rsid w:val="008A3342"/>
    <w:rsid w:val="008B13A3"/>
    <w:rsid w:val="008B303C"/>
    <w:rsid w:val="008B381F"/>
    <w:rsid w:val="008B43FF"/>
    <w:rsid w:val="008B6729"/>
    <w:rsid w:val="008B717E"/>
    <w:rsid w:val="008C1953"/>
    <w:rsid w:val="008C21FA"/>
    <w:rsid w:val="008C3CC6"/>
    <w:rsid w:val="008C6020"/>
    <w:rsid w:val="008D31CA"/>
    <w:rsid w:val="008D6A36"/>
    <w:rsid w:val="008E4B81"/>
    <w:rsid w:val="008F4108"/>
    <w:rsid w:val="008F466E"/>
    <w:rsid w:val="008F5EF2"/>
    <w:rsid w:val="008F6257"/>
    <w:rsid w:val="009017CA"/>
    <w:rsid w:val="009044BC"/>
    <w:rsid w:val="00930179"/>
    <w:rsid w:val="0093345B"/>
    <w:rsid w:val="0094165D"/>
    <w:rsid w:val="00942359"/>
    <w:rsid w:val="00944D3A"/>
    <w:rsid w:val="0094693A"/>
    <w:rsid w:val="009511AE"/>
    <w:rsid w:val="0095323F"/>
    <w:rsid w:val="00955251"/>
    <w:rsid w:val="009567F3"/>
    <w:rsid w:val="009600D6"/>
    <w:rsid w:val="00961E6E"/>
    <w:rsid w:val="0096223E"/>
    <w:rsid w:val="00962E4B"/>
    <w:rsid w:val="00964BD3"/>
    <w:rsid w:val="009669BB"/>
    <w:rsid w:val="0097333A"/>
    <w:rsid w:val="00977430"/>
    <w:rsid w:val="00980C08"/>
    <w:rsid w:val="00981206"/>
    <w:rsid w:val="009872C8"/>
    <w:rsid w:val="00990E91"/>
    <w:rsid w:val="009960C8"/>
    <w:rsid w:val="009A42B5"/>
    <w:rsid w:val="009B035A"/>
    <w:rsid w:val="009B4C8C"/>
    <w:rsid w:val="009B4EE2"/>
    <w:rsid w:val="009B78EF"/>
    <w:rsid w:val="009B7D0C"/>
    <w:rsid w:val="009C1F57"/>
    <w:rsid w:val="009C3D63"/>
    <w:rsid w:val="009C50EC"/>
    <w:rsid w:val="009C78D1"/>
    <w:rsid w:val="009D0A3C"/>
    <w:rsid w:val="009F4360"/>
    <w:rsid w:val="00A0291F"/>
    <w:rsid w:val="00A07E19"/>
    <w:rsid w:val="00A110D8"/>
    <w:rsid w:val="00A15F3B"/>
    <w:rsid w:val="00A21197"/>
    <w:rsid w:val="00A23E04"/>
    <w:rsid w:val="00A27FF7"/>
    <w:rsid w:val="00A3127A"/>
    <w:rsid w:val="00A400C4"/>
    <w:rsid w:val="00A41C61"/>
    <w:rsid w:val="00A552FA"/>
    <w:rsid w:val="00A5761C"/>
    <w:rsid w:val="00A66B22"/>
    <w:rsid w:val="00A80A2F"/>
    <w:rsid w:val="00A8252C"/>
    <w:rsid w:val="00A82548"/>
    <w:rsid w:val="00A8681C"/>
    <w:rsid w:val="00A90BF6"/>
    <w:rsid w:val="00A95398"/>
    <w:rsid w:val="00AB5907"/>
    <w:rsid w:val="00AC4CBB"/>
    <w:rsid w:val="00AD59F0"/>
    <w:rsid w:val="00AF2E72"/>
    <w:rsid w:val="00AF7556"/>
    <w:rsid w:val="00B2055A"/>
    <w:rsid w:val="00B30632"/>
    <w:rsid w:val="00B3654C"/>
    <w:rsid w:val="00B41E3E"/>
    <w:rsid w:val="00B459B0"/>
    <w:rsid w:val="00B47FAF"/>
    <w:rsid w:val="00B52072"/>
    <w:rsid w:val="00B5279E"/>
    <w:rsid w:val="00B563D5"/>
    <w:rsid w:val="00B605EE"/>
    <w:rsid w:val="00B67391"/>
    <w:rsid w:val="00B75AFE"/>
    <w:rsid w:val="00B827C4"/>
    <w:rsid w:val="00B84CF1"/>
    <w:rsid w:val="00B86315"/>
    <w:rsid w:val="00B86896"/>
    <w:rsid w:val="00B9343B"/>
    <w:rsid w:val="00BD0BFD"/>
    <w:rsid w:val="00BD1EE9"/>
    <w:rsid w:val="00BD27FD"/>
    <w:rsid w:val="00BE06E7"/>
    <w:rsid w:val="00BE178D"/>
    <w:rsid w:val="00BE29C9"/>
    <w:rsid w:val="00BE6F48"/>
    <w:rsid w:val="00BF35AA"/>
    <w:rsid w:val="00BF675C"/>
    <w:rsid w:val="00BF705E"/>
    <w:rsid w:val="00BF7100"/>
    <w:rsid w:val="00C0565E"/>
    <w:rsid w:val="00C066CA"/>
    <w:rsid w:val="00C110F9"/>
    <w:rsid w:val="00C11321"/>
    <w:rsid w:val="00C1259E"/>
    <w:rsid w:val="00C14425"/>
    <w:rsid w:val="00C149BA"/>
    <w:rsid w:val="00C14C35"/>
    <w:rsid w:val="00C23482"/>
    <w:rsid w:val="00C30910"/>
    <w:rsid w:val="00C3142D"/>
    <w:rsid w:val="00C3455D"/>
    <w:rsid w:val="00C4150F"/>
    <w:rsid w:val="00C5124A"/>
    <w:rsid w:val="00C535C7"/>
    <w:rsid w:val="00C57D6D"/>
    <w:rsid w:val="00C61F77"/>
    <w:rsid w:val="00C659AB"/>
    <w:rsid w:val="00C70029"/>
    <w:rsid w:val="00C72652"/>
    <w:rsid w:val="00C7657B"/>
    <w:rsid w:val="00C87161"/>
    <w:rsid w:val="00C87F74"/>
    <w:rsid w:val="00C9742C"/>
    <w:rsid w:val="00CA5B8F"/>
    <w:rsid w:val="00CA6F76"/>
    <w:rsid w:val="00CB1699"/>
    <w:rsid w:val="00CB4C0B"/>
    <w:rsid w:val="00CC184C"/>
    <w:rsid w:val="00CC2BB6"/>
    <w:rsid w:val="00CD0B40"/>
    <w:rsid w:val="00CD25AA"/>
    <w:rsid w:val="00CD284B"/>
    <w:rsid w:val="00CE11C4"/>
    <w:rsid w:val="00CE46C7"/>
    <w:rsid w:val="00CE640E"/>
    <w:rsid w:val="00CF15C3"/>
    <w:rsid w:val="00CF51CA"/>
    <w:rsid w:val="00D00771"/>
    <w:rsid w:val="00D25CE8"/>
    <w:rsid w:val="00D30F4C"/>
    <w:rsid w:val="00D34985"/>
    <w:rsid w:val="00D401CB"/>
    <w:rsid w:val="00D4420E"/>
    <w:rsid w:val="00D44922"/>
    <w:rsid w:val="00D502DB"/>
    <w:rsid w:val="00D6212D"/>
    <w:rsid w:val="00D74F7A"/>
    <w:rsid w:val="00D8204E"/>
    <w:rsid w:val="00D84175"/>
    <w:rsid w:val="00D913D6"/>
    <w:rsid w:val="00D9250E"/>
    <w:rsid w:val="00D956E7"/>
    <w:rsid w:val="00D96777"/>
    <w:rsid w:val="00DA057A"/>
    <w:rsid w:val="00DA08FB"/>
    <w:rsid w:val="00DA3CB5"/>
    <w:rsid w:val="00DA45D9"/>
    <w:rsid w:val="00DB0747"/>
    <w:rsid w:val="00DB3011"/>
    <w:rsid w:val="00DC1475"/>
    <w:rsid w:val="00DC14D7"/>
    <w:rsid w:val="00DC4DF0"/>
    <w:rsid w:val="00DD3D11"/>
    <w:rsid w:val="00DE44F0"/>
    <w:rsid w:val="00DF3F40"/>
    <w:rsid w:val="00E0734D"/>
    <w:rsid w:val="00E1078A"/>
    <w:rsid w:val="00E27DF7"/>
    <w:rsid w:val="00E30364"/>
    <w:rsid w:val="00E30588"/>
    <w:rsid w:val="00E32834"/>
    <w:rsid w:val="00E3289C"/>
    <w:rsid w:val="00E36DD3"/>
    <w:rsid w:val="00E553A4"/>
    <w:rsid w:val="00E565A9"/>
    <w:rsid w:val="00E61487"/>
    <w:rsid w:val="00E66785"/>
    <w:rsid w:val="00E74809"/>
    <w:rsid w:val="00E757D9"/>
    <w:rsid w:val="00E7768D"/>
    <w:rsid w:val="00E82FE7"/>
    <w:rsid w:val="00E84EE5"/>
    <w:rsid w:val="00E85304"/>
    <w:rsid w:val="00E8642D"/>
    <w:rsid w:val="00E87DDC"/>
    <w:rsid w:val="00E93218"/>
    <w:rsid w:val="00E93B99"/>
    <w:rsid w:val="00E9415F"/>
    <w:rsid w:val="00E95ECD"/>
    <w:rsid w:val="00E966F5"/>
    <w:rsid w:val="00EA2D2F"/>
    <w:rsid w:val="00EA70FD"/>
    <w:rsid w:val="00EA726A"/>
    <w:rsid w:val="00EA7475"/>
    <w:rsid w:val="00EB028C"/>
    <w:rsid w:val="00EB11BC"/>
    <w:rsid w:val="00EB6927"/>
    <w:rsid w:val="00ED0C8C"/>
    <w:rsid w:val="00ED18D2"/>
    <w:rsid w:val="00ED4EBD"/>
    <w:rsid w:val="00ED6BFF"/>
    <w:rsid w:val="00ED782D"/>
    <w:rsid w:val="00EE1E35"/>
    <w:rsid w:val="00EE2B15"/>
    <w:rsid w:val="00EE698B"/>
    <w:rsid w:val="00F05218"/>
    <w:rsid w:val="00F101D2"/>
    <w:rsid w:val="00F11D71"/>
    <w:rsid w:val="00F1446E"/>
    <w:rsid w:val="00F17455"/>
    <w:rsid w:val="00F2138F"/>
    <w:rsid w:val="00F279B0"/>
    <w:rsid w:val="00F34CD9"/>
    <w:rsid w:val="00F34E7D"/>
    <w:rsid w:val="00F53EBD"/>
    <w:rsid w:val="00F569F6"/>
    <w:rsid w:val="00F70D60"/>
    <w:rsid w:val="00F7190D"/>
    <w:rsid w:val="00F759DD"/>
    <w:rsid w:val="00F91D25"/>
    <w:rsid w:val="00F94EF3"/>
    <w:rsid w:val="00FA237B"/>
    <w:rsid w:val="00FA4445"/>
    <w:rsid w:val="00FA66ED"/>
    <w:rsid w:val="00FA6DAB"/>
    <w:rsid w:val="00FA6E24"/>
    <w:rsid w:val="00FD0AF8"/>
    <w:rsid w:val="00FD45EB"/>
    <w:rsid w:val="00FE27E8"/>
    <w:rsid w:val="00FE47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14:docId w14:val="20DEBB08"/>
  <w15:chartTrackingRefBased/>
  <w15:docId w15:val="{F8236F2B-D76F-4AAF-9649-AEEA98E0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5"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nadpis">
    <w:name w:val="Subtitle"/>
    <w:basedOn w:val="Normln"/>
    <w:next w:val="Normln"/>
    <w:link w:val="PodnadpisChar"/>
    <w:uiPriority w:val="11"/>
    <w:qFormat/>
    <w:rsid w:val="00E82FE7"/>
    <w:pPr>
      <w:spacing w:after="60"/>
      <w:jc w:val="center"/>
      <w:outlineLvl w:val="1"/>
    </w:pPr>
    <w:rPr>
      <w:rFonts w:ascii="Cambria" w:hAnsi="Cambria"/>
    </w:rPr>
  </w:style>
  <w:style w:type="character" w:customStyle="1" w:styleId="PodnadpisChar">
    <w:name w:val="Podnadpis Char"/>
    <w:link w:val="Podnadpis"/>
    <w:uiPriority w:val="11"/>
    <w:rsid w:val="00E82FE7"/>
    <w:rPr>
      <w:rFonts w:ascii="Cambria" w:hAnsi="Cambria"/>
      <w:sz w:val="24"/>
      <w:szCs w:val="24"/>
    </w:rPr>
  </w:style>
  <w:style w:type="paragraph" w:styleId="Bezmezer">
    <w:name w:val="No Spacing"/>
    <w:uiPriority w:val="1"/>
    <w:qFormat/>
    <w:rsid w:val="00124891"/>
    <w:rPr>
      <w:rFonts w:ascii="Calibri" w:eastAsia="Calibri" w:hAnsi="Calibri"/>
      <w:sz w:val="22"/>
      <w:szCs w:val="22"/>
      <w:lang w:eastAsia="en-US"/>
    </w:rPr>
  </w:style>
  <w:style w:type="paragraph" w:styleId="Textpoznpodarou">
    <w:name w:val="footnote text"/>
    <w:basedOn w:val="Normln"/>
    <w:link w:val="TextpoznpodarouChar"/>
    <w:unhideWhenUsed/>
    <w:rsid w:val="00DB0747"/>
    <w:rPr>
      <w:sz w:val="20"/>
      <w:szCs w:val="20"/>
    </w:rPr>
  </w:style>
  <w:style w:type="character" w:customStyle="1" w:styleId="TextpoznpodarouChar">
    <w:name w:val="Text pozn. pod čarou Char"/>
    <w:basedOn w:val="Standardnpsmoodstavce"/>
    <w:link w:val="Textpoznpodarou"/>
    <w:rsid w:val="00DB0747"/>
  </w:style>
  <w:style w:type="character" w:styleId="Znakapoznpodarou">
    <w:name w:val="footnote reference"/>
    <w:unhideWhenUsed/>
    <w:rsid w:val="00DB0747"/>
    <w:rPr>
      <w:vertAlign w:val="superscript"/>
    </w:rPr>
  </w:style>
  <w:style w:type="character" w:styleId="Odkaznakoment">
    <w:name w:val="annotation reference"/>
    <w:basedOn w:val="Standardnpsmoodstavce"/>
    <w:uiPriority w:val="99"/>
    <w:semiHidden/>
    <w:unhideWhenUsed/>
    <w:rsid w:val="00484550"/>
    <w:rPr>
      <w:sz w:val="16"/>
      <w:szCs w:val="16"/>
    </w:rPr>
  </w:style>
  <w:style w:type="paragraph" w:styleId="Textkomente">
    <w:name w:val="annotation text"/>
    <w:basedOn w:val="Normln"/>
    <w:link w:val="TextkomenteChar"/>
    <w:uiPriority w:val="99"/>
    <w:unhideWhenUsed/>
    <w:rsid w:val="00484550"/>
    <w:rPr>
      <w:sz w:val="20"/>
      <w:szCs w:val="20"/>
    </w:rPr>
  </w:style>
  <w:style w:type="character" w:customStyle="1" w:styleId="TextkomenteChar">
    <w:name w:val="Text komentáře Char"/>
    <w:basedOn w:val="Standardnpsmoodstavce"/>
    <w:link w:val="Textkomente"/>
    <w:uiPriority w:val="99"/>
    <w:rsid w:val="00484550"/>
  </w:style>
  <w:style w:type="paragraph" w:styleId="Pedmtkomente">
    <w:name w:val="annotation subject"/>
    <w:basedOn w:val="Textkomente"/>
    <w:next w:val="Textkomente"/>
    <w:link w:val="PedmtkomenteChar"/>
    <w:uiPriority w:val="99"/>
    <w:semiHidden/>
    <w:unhideWhenUsed/>
    <w:rsid w:val="00484550"/>
    <w:rPr>
      <w:b/>
      <w:bCs/>
    </w:rPr>
  </w:style>
  <w:style w:type="character" w:customStyle="1" w:styleId="PedmtkomenteChar">
    <w:name w:val="Předmět komentáře Char"/>
    <w:basedOn w:val="TextkomenteChar"/>
    <w:link w:val="Pedmtkomente"/>
    <w:uiPriority w:val="99"/>
    <w:semiHidden/>
    <w:rsid w:val="00484550"/>
    <w:rPr>
      <w:b/>
      <w:bCs/>
    </w:rPr>
  </w:style>
  <w:style w:type="paragraph" w:styleId="Odstavecseseznamem">
    <w:name w:val="List Paragraph"/>
    <w:aliases w:val="Odstavec cíl se seznamem,(1) odstavec,Odstavec_muj,Conclusion de partie,1 odstavecH,Odstavec se seznamem1,Nad,Odstavec se seznamem5,Reference List,Odrážka vínová,List Paragraph (Czech Tourism),List Paragraph,References"/>
    <w:basedOn w:val="Normln"/>
    <w:link w:val="OdstavecseseznamemChar"/>
    <w:uiPriority w:val="35"/>
    <w:qFormat/>
    <w:rsid w:val="00A400C4"/>
    <w:pPr>
      <w:numPr>
        <w:numId w:val="1"/>
      </w:numPr>
      <w:pBdr>
        <w:top w:val="none" w:sz="4" w:space="0" w:color="000000"/>
        <w:left w:val="none" w:sz="4" w:space="0" w:color="000000"/>
        <w:bottom w:val="none" w:sz="4" w:space="0" w:color="000000"/>
        <w:right w:val="none" w:sz="4" w:space="0" w:color="000000"/>
      </w:pBdr>
      <w:spacing w:line="276" w:lineRule="auto"/>
      <w:contextualSpacing/>
      <w:jc w:val="both"/>
    </w:pPr>
    <w:rPr>
      <w:color w:val="000000"/>
      <w:szCs w:val="22"/>
      <w:lang w:eastAsia="en-US"/>
    </w:rPr>
  </w:style>
  <w:style w:type="character" w:customStyle="1" w:styleId="OdstavecseseznamemChar">
    <w:name w:val="Odstavec se seznamem Char"/>
    <w:aliases w:val="Odstavec cíl se seznamem Char,(1) odstavec Char,Odstavec_muj Char,Conclusion de partie Char,1 odstavecH Char,Odstavec se seznamem1 Char,Nad Char,Odstavec se seznamem5 Char,Reference List Char,Odrážka vínová Char,References Char"/>
    <w:link w:val="Odstavecseseznamem"/>
    <w:uiPriority w:val="34"/>
    <w:qFormat/>
    <w:rsid w:val="00A400C4"/>
    <w:rPr>
      <w:color w:val="000000"/>
      <w:sz w:val="24"/>
      <w:szCs w:val="22"/>
      <w:lang w:eastAsia="en-US"/>
    </w:rPr>
  </w:style>
  <w:style w:type="paragraph" w:customStyle="1" w:styleId="Textodstavce">
    <w:name w:val="Text odstavce"/>
    <w:basedOn w:val="Normln"/>
    <w:rsid w:val="00C30910"/>
    <w:pPr>
      <w:tabs>
        <w:tab w:val="left" w:pos="851"/>
      </w:tabs>
      <w:spacing w:before="120" w:after="120" w:line="293" w:lineRule="auto"/>
      <w:outlineLvl w:val="6"/>
    </w:pPr>
    <w:rPr>
      <w:rFonts w:asciiTheme="minorHAnsi" w:eastAsiaTheme="minorHAnsi" w:hAnsiTheme="minorHAnsi" w:cstheme="minorBidi"/>
      <w:color w:val="000000" w:themeColor="text1"/>
      <w:sz w:val="22"/>
      <w:szCs w:val="22"/>
      <w:lang w:eastAsia="en-US"/>
    </w:rPr>
  </w:style>
  <w:style w:type="paragraph" w:customStyle="1" w:styleId="oj-normal">
    <w:name w:val="oj-normal"/>
    <w:basedOn w:val="Normln"/>
    <w:rsid w:val="00C659AB"/>
    <w:pPr>
      <w:spacing w:before="100" w:beforeAutospacing="1" w:after="100" w:afterAutospacing="1"/>
    </w:pPr>
  </w:style>
  <w:style w:type="paragraph" w:customStyle="1" w:styleId="Default">
    <w:name w:val="Default"/>
    <w:rsid w:val="006A4003"/>
    <w:pPr>
      <w:autoSpaceDE w:val="0"/>
      <w:autoSpaceDN w:val="0"/>
      <w:adjustRightInd w:val="0"/>
    </w:pPr>
    <w:rPr>
      <w:rFonts w:ascii="EUAlbertina" w:hAnsi="EUAlbertina" w:cs="EUAlbertina"/>
      <w:color w:val="000000"/>
      <w:sz w:val="24"/>
      <w:szCs w:val="24"/>
    </w:rPr>
  </w:style>
  <w:style w:type="character" w:customStyle="1" w:styleId="Promnn">
    <w:name w:val="Proměnný"/>
    <w:rsid w:val="00206C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103957">
      <w:bodyDiv w:val="1"/>
      <w:marLeft w:val="0"/>
      <w:marRight w:val="0"/>
      <w:marTop w:val="0"/>
      <w:marBottom w:val="0"/>
      <w:divBdr>
        <w:top w:val="none" w:sz="0" w:space="0" w:color="auto"/>
        <w:left w:val="none" w:sz="0" w:space="0" w:color="auto"/>
        <w:bottom w:val="none" w:sz="0" w:space="0" w:color="auto"/>
        <w:right w:val="none" w:sz="0" w:space="0" w:color="auto"/>
      </w:divBdr>
    </w:div>
    <w:div w:id="716319214">
      <w:bodyDiv w:val="1"/>
      <w:marLeft w:val="0"/>
      <w:marRight w:val="0"/>
      <w:marTop w:val="0"/>
      <w:marBottom w:val="0"/>
      <w:divBdr>
        <w:top w:val="none" w:sz="0" w:space="0" w:color="auto"/>
        <w:left w:val="none" w:sz="0" w:space="0" w:color="auto"/>
        <w:bottom w:val="none" w:sz="0" w:space="0" w:color="auto"/>
        <w:right w:val="none" w:sz="0" w:space="0" w:color="auto"/>
      </w:divBdr>
    </w:div>
    <w:div w:id="1178888202">
      <w:bodyDiv w:val="1"/>
      <w:marLeft w:val="0"/>
      <w:marRight w:val="0"/>
      <w:marTop w:val="0"/>
      <w:marBottom w:val="0"/>
      <w:divBdr>
        <w:top w:val="none" w:sz="0" w:space="0" w:color="auto"/>
        <w:left w:val="none" w:sz="0" w:space="0" w:color="auto"/>
        <w:bottom w:val="none" w:sz="0" w:space="0" w:color="auto"/>
        <w:right w:val="none" w:sz="0" w:space="0" w:color="auto"/>
      </w:divBdr>
    </w:div>
    <w:div w:id="1798985385">
      <w:bodyDiv w:val="1"/>
      <w:marLeft w:val="0"/>
      <w:marRight w:val="0"/>
      <w:marTop w:val="0"/>
      <w:marBottom w:val="0"/>
      <w:divBdr>
        <w:top w:val="none" w:sz="0" w:space="0" w:color="auto"/>
        <w:left w:val="none" w:sz="0" w:space="0" w:color="auto"/>
        <w:bottom w:val="none" w:sz="0" w:space="0" w:color="auto"/>
        <w:right w:val="none" w:sz="0" w:space="0" w:color="auto"/>
      </w:divBdr>
    </w:div>
    <w:div w:id="213216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20%20Rozd&#237;lov&#225;%20tabulka%20n&#225;vrhu%20pr&#225;v%20p&#345;edpisu%20s%20p&#345;edpisy%20EU.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3E11A-9582-40F9-B1BF-A2FD087D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P-20 Rozdílová tabulka návrhu práv předpisu s předpisy EU.dotm</Template>
  <TotalTime>3</TotalTime>
  <Pages>54</Pages>
  <Words>12322</Words>
  <Characters>74879</Characters>
  <Application>Microsoft Office Word</Application>
  <DocSecurity>0</DocSecurity>
  <Lines>623</Lines>
  <Paragraphs>174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87027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subject/>
  <dc:creator>Frič Jan</dc:creator>
  <cp:keywords/>
  <cp:lastModifiedBy>Frélich Tomáš</cp:lastModifiedBy>
  <cp:revision>5</cp:revision>
  <cp:lastPrinted>2004-05-12T10:49:00Z</cp:lastPrinted>
  <dcterms:created xsi:type="dcterms:W3CDTF">2025-04-01T12:21:00Z</dcterms:created>
  <dcterms:modified xsi:type="dcterms:W3CDTF">2025-04-02T10:31:00Z</dcterms:modified>
</cp:coreProperties>
</file>