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6D32" w14:textId="747D7688" w:rsidR="5FF00F49" w:rsidRDefault="5FF00F49" w:rsidP="00BF3769">
      <w:pPr>
        <w:jc w:val="both"/>
        <w:rPr>
          <w:b/>
          <w:bCs/>
          <w:sz w:val="28"/>
          <w:szCs w:val="28"/>
          <w:u w:val="single"/>
        </w:rPr>
      </w:pPr>
      <w:r w:rsidRPr="5FF00F49">
        <w:rPr>
          <w:b/>
          <w:bCs/>
          <w:sz w:val="28"/>
          <w:szCs w:val="28"/>
          <w:u w:val="single"/>
        </w:rPr>
        <w:t>Restrikce vůči ruským státním médiím</w:t>
      </w:r>
    </w:p>
    <w:p w14:paraId="6C21CF92" w14:textId="362CD362" w:rsidR="5FF00F49" w:rsidRDefault="5FF00F49" w:rsidP="00BF3769">
      <w:pPr>
        <w:jc w:val="both"/>
      </w:pPr>
      <w:r w:rsidRPr="5FF00F49">
        <w:t>(</w:t>
      </w:r>
      <w:hyperlink r:id="rId8">
        <w:r w:rsidRPr="5FF00F49">
          <w:rPr>
            <w:rStyle w:val="Hypertextovodkaz"/>
          </w:rPr>
          <w:t>Článek 2f</w:t>
        </w:r>
      </w:hyperlink>
      <w:r w:rsidRPr="5FF00F49">
        <w:t xml:space="preserve"> nařízení 833/2014)</w:t>
      </w:r>
    </w:p>
    <w:p w14:paraId="60597EF1" w14:textId="26DAA9A6" w:rsidR="5FF00F49" w:rsidRDefault="5FF00F49" w:rsidP="00BF3769">
      <w:pPr>
        <w:jc w:val="both"/>
      </w:pPr>
      <w:r w:rsidRPr="5FF00F49">
        <w:t>Často kladené dotazy – ke dni 23. března 2022</w:t>
      </w:r>
    </w:p>
    <w:p w14:paraId="3B71A2FE" w14:textId="101B6D35" w:rsidR="5FF00F49" w:rsidRDefault="5FF00F49" w:rsidP="00BF3769">
      <w:pPr>
        <w:jc w:val="both"/>
      </w:pPr>
      <w:r w:rsidRPr="5FF00F49">
        <w:t>(neoficiální překlad)</w:t>
      </w:r>
    </w:p>
    <w:p w14:paraId="6668E61F" w14:textId="1F06EA6E" w:rsidR="5FF00F49" w:rsidRDefault="5FF00F49" w:rsidP="00BF3769">
      <w:pPr>
        <w:jc w:val="both"/>
      </w:pPr>
    </w:p>
    <w:p w14:paraId="672A6659" w14:textId="2AAA4D05" w:rsidR="00E07AC4" w:rsidRDefault="5FF00F49" w:rsidP="00BF3769">
      <w:pPr>
        <w:jc w:val="both"/>
        <w:rPr>
          <w:rFonts w:cs="Calibri"/>
          <w:b/>
          <w:bCs/>
        </w:rPr>
      </w:pPr>
      <w:r w:rsidRPr="5FF00F49">
        <w:rPr>
          <w:b/>
          <w:bCs/>
        </w:rPr>
        <w:t xml:space="preserve">Q1. Na jakém základě uvalila EU </w:t>
      </w:r>
      <w:r w:rsidR="00567424">
        <w:rPr>
          <w:b/>
          <w:bCs/>
        </w:rPr>
        <w:t xml:space="preserve">omezující opatření </w:t>
      </w:r>
      <w:r w:rsidRPr="5FF00F49">
        <w:rPr>
          <w:b/>
          <w:bCs/>
        </w:rPr>
        <w:t xml:space="preserve">na </w:t>
      </w:r>
      <w:proofErr w:type="spellStart"/>
      <w:r w:rsidRPr="5FF00F49">
        <w:rPr>
          <w:rFonts w:cs="Calibri"/>
          <w:b/>
          <w:bCs/>
        </w:rPr>
        <w:t>Russia</w:t>
      </w:r>
      <w:proofErr w:type="spellEnd"/>
      <w:r w:rsidRPr="5FF00F49">
        <w:rPr>
          <w:rFonts w:cs="Calibri"/>
          <w:b/>
          <w:bCs/>
        </w:rPr>
        <w:t xml:space="preserve"> </w:t>
      </w:r>
      <w:proofErr w:type="spellStart"/>
      <w:r w:rsidRPr="5FF00F49">
        <w:rPr>
          <w:rFonts w:cs="Calibri"/>
          <w:b/>
          <w:bCs/>
        </w:rPr>
        <w:t>Today</w:t>
      </w:r>
      <w:proofErr w:type="spellEnd"/>
      <w:r w:rsidRPr="5FF00F49">
        <w:rPr>
          <w:rFonts w:cs="Calibri"/>
          <w:b/>
          <w:bCs/>
        </w:rPr>
        <w:t xml:space="preserve"> a Sputnik?</w:t>
      </w:r>
    </w:p>
    <w:p w14:paraId="607C4B79" w14:textId="25CD8A7B" w:rsidR="5FF00F49" w:rsidRDefault="00BF3769" w:rsidP="00BF3769">
      <w:pPr>
        <w:jc w:val="both"/>
        <w:rPr>
          <w:rFonts w:cs="Calibri"/>
        </w:rPr>
      </w:pPr>
      <w:r>
        <w:rPr>
          <w:rFonts w:cs="Calibri"/>
        </w:rPr>
        <w:t xml:space="preserve">Média </w:t>
      </w:r>
      <w:r w:rsidR="5FF00F49" w:rsidRPr="5FF00F49">
        <w:rPr>
          <w:rFonts w:cs="Calibri"/>
        </w:rPr>
        <w:t xml:space="preserve">RT/ </w:t>
      </w:r>
      <w:proofErr w:type="spellStart"/>
      <w:r w:rsidR="5FF00F49" w:rsidRPr="5FF00F49">
        <w:rPr>
          <w:rFonts w:cs="Calibri"/>
        </w:rPr>
        <w:t>Russia</w:t>
      </w:r>
      <w:proofErr w:type="spellEnd"/>
      <w:r w:rsidR="5FF00F49" w:rsidRPr="5FF00F49">
        <w:rPr>
          <w:rFonts w:cs="Calibri"/>
        </w:rPr>
        <w:t xml:space="preserve"> </w:t>
      </w:r>
      <w:proofErr w:type="spellStart"/>
      <w:r w:rsidR="5FF00F49" w:rsidRPr="5FF00F49">
        <w:rPr>
          <w:rFonts w:cs="Calibri"/>
        </w:rPr>
        <w:t>Today</w:t>
      </w:r>
      <w:proofErr w:type="spellEnd"/>
      <w:r w:rsidR="5FF00F49" w:rsidRPr="5FF00F49">
        <w:rPr>
          <w:rFonts w:cs="Calibri"/>
        </w:rPr>
        <w:t xml:space="preserve"> a Sputnik jsou nápomocn</w:t>
      </w:r>
      <w:r>
        <w:rPr>
          <w:rFonts w:cs="Calibri"/>
        </w:rPr>
        <w:t xml:space="preserve">a </w:t>
      </w:r>
      <w:r w:rsidR="5FF00F49" w:rsidRPr="5FF00F49">
        <w:rPr>
          <w:rFonts w:cs="Calibri"/>
        </w:rPr>
        <w:t xml:space="preserve">v přípravě a podpoře ruské invaze na Ukrajinu tím, že se podílejí na systematickém manipulování s informacemi a šíření desinformací ze strany Ruska, a to pod </w:t>
      </w:r>
      <w:r w:rsidR="00005D2A">
        <w:rPr>
          <w:rFonts w:cs="Calibri"/>
        </w:rPr>
        <w:t xml:space="preserve">trvalou </w:t>
      </w:r>
      <w:r w:rsidR="5FF00F49" w:rsidRPr="5FF00F49">
        <w:rPr>
          <w:rFonts w:cs="Calibri"/>
        </w:rPr>
        <w:t xml:space="preserve">přímou či nepřímou kontrolou vedení Ruské federace. Jakožto klíčové pilíře stálé a koordinované ruské propagandy, která je využívána ke zkreslenému informování veřejnosti v globálním měřítku, představují významnou a přímou hrozbu pro veřejný pořádek a bezpečnost v Unii. </w:t>
      </w:r>
    </w:p>
    <w:p w14:paraId="0A37501D" w14:textId="219E25BB" w:rsidR="00E07AC4" w:rsidRDefault="5FF00F49" w:rsidP="00BF3769">
      <w:pPr>
        <w:jc w:val="both"/>
        <w:rPr>
          <w:b/>
          <w:bCs/>
        </w:rPr>
      </w:pPr>
      <w:r w:rsidRPr="5FF00F49">
        <w:rPr>
          <w:b/>
          <w:bCs/>
        </w:rPr>
        <w:t xml:space="preserve">Q2. Pokrývá zákaz také šíření obsahu jinými prostředky, jako jsou </w:t>
      </w:r>
      <w:r w:rsidR="00567424">
        <w:rPr>
          <w:b/>
          <w:bCs/>
        </w:rPr>
        <w:t>např.</w:t>
      </w:r>
      <w:r w:rsidRPr="5FF00F49">
        <w:rPr>
          <w:b/>
          <w:bCs/>
        </w:rPr>
        <w:t xml:space="preserve"> webové stránky? Zahrnuje obsah pouze televizní stanice dotčených společností, nebo zahrnuje také jejich webové stránky a/nebo obsah, který by mohl</w:t>
      </w:r>
      <w:r w:rsidR="00567424">
        <w:rPr>
          <w:b/>
          <w:bCs/>
        </w:rPr>
        <w:t>y</w:t>
      </w:r>
      <w:r w:rsidRPr="5FF00F49">
        <w:rPr>
          <w:b/>
          <w:bCs/>
        </w:rPr>
        <w:t xml:space="preserve"> šířit po internetu?</w:t>
      </w:r>
    </w:p>
    <w:p w14:paraId="31E037D0" w14:textId="6CA19841" w:rsidR="5FF00F49" w:rsidRDefault="5FF00F49" w:rsidP="00BF3769">
      <w:pPr>
        <w:jc w:val="both"/>
      </w:pPr>
      <w:r w:rsidRPr="5FF00F49">
        <w:t xml:space="preserve">Ano. Pole pro uplatňování tohoto ustanovení přesahuje samotné vysílání televizních stanic. </w:t>
      </w:r>
      <w:r w:rsidR="00567424">
        <w:t xml:space="preserve">Pojem </w:t>
      </w:r>
      <w:r w:rsidRPr="5FF00F49">
        <w:t>“vysílání” ve spojení s</w:t>
      </w:r>
      <w:r w:rsidR="00567424">
        <w:t xml:space="preserve"> pojmem </w:t>
      </w:r>
      <w:r w:rsidRPr="5FF00F49">
        <w:t xml:space="preserve">“jakýkoliv obsah” má být ve světle předmětu opatření chápán tak, že zahrnuje širší spektrum poskytování obsahu než ve smyslu výrazu “televizní vysílání”, jak je používání ve </w:t>
      </w:r>
      <w:hyperlink r:id="rId9">
        <w:r w:rsidRPr="5FF00F49">
          <w:rPr>
            <w:rStyle w:val="Hypertextovodkaz"/>
          </w:rPr>
          <w:t>směrnici audiovizuálních mediálních službách</w:t>
        </w:r>
      </w:hyperlink>
      <w:r w:rsidRPr="5FF00F49">
        <w:t>.</w:t>
      </w:r>
      <w:r w:rsidRPr="5FF00F49">
        <w:rPr>
          <w:rStyle w:val="Znakapoznpodarou"/>
        </w:rPr>
        <w:footnoteReference w:id="1"/>
      </w:r>
      <w:r w:rsidRPr="5FF00F49">
        <w:t xml:space="preserve"> </w:t>
      </w:r>
      <w:r w:rsidR="00567424">
        <w:t xml:space="preserve">Pojem </w:t>
      </w:r>
      <w:r w:rsidRPr="5FF00F49">
        <w:t xml:space="preserve">by měl být vykládán jako přenos, šíření nebo distribuce jakéhokoliv typu obsahu v nejširším možném významu (dlouhá videa, krátké výňatky videí, </w:t>
      </w:r>
      <w:r w:rsidR="00567424">
        <w:t>zprávy</w:t>
      </w:r>
      <w:r w:rsidRPr="5FF00F49">
        <w:t>, rádio apod.) směrem k posluchačům bez ohledu na způsob přenosu, šíření nebo distribuce (včetně těch online).</w:t>
      </w:r>
    </w:p>
    <w:p w14:paraId="709FC4CC" w14:textId="0E5AE1BD" w:rsidR="5FF00F49" w:rsidRDefault="00567424" w:rsidP="00BF3769">
      <w:pPr>
        <w:jc w:val="both"/>
      </w:pPr>
      <w:proofErr w:type="gramStart"/>
      <w:r>
        <w:t xml:space="preserve">Pojmy </w:t>
      </w:r>
      <w:r w:rsidRPr="5FF00F49">
        <w:t xml:space="preserve"> </w:t>
      </w:r>
      <w:r w:rsidR="5FF00F49" w:rsidRPr="5FF00F49">
        <w:t>“</w:t>
      </w:r>
      <w:proofErr w:type="gramEnd"/>
      <w:r w:rsidR="5FF00F49" w:rsidRPr="5FF00F49">
        <w:t>umožnit [jejich vysílání] či k němu jinak přispívat” mají zahrnovat také činnosti, které slouží nebo jsou nástrojem k přenosu, šíření nebo distribuci obsahu poskytovaného dotčenými společnostmi jiným mediálním společnostem.</w:t>
      </w:r>
    </w:p>
    <w:p w14:paraId="6920F3A0" w14:textId="0FA4C43C" w:rsidR="5FF00F49" w:rsidRDefault="5FF00F49" w:rsidP="00BF3769">
      <w:pPr>
        <w:jc w:val="both"/>
        <w:rPr>
          <w:rFonts w:cs="Calibri"/>
        </w:rPr>
      </w:pPr>
      <w:r w:rsidRPr="5FF00F49">
        <w:t xml:space="preserve">Dále, </w:t>
      </w:r>
      <w:r w:rsidR="00567424">
        <w:t xml:space="preserve">na základě ustanovení o </w:t>
      </w:r>
      <w:r w:rsidR="00C15EEE">
        <w:t xml:space="preserve">zákazu </w:t>
      </w:r>
      <w:r w:rsidRPr="5FF00F49">
        <w:t>obcházení (stanovené</w:t>
      </w:r>
      <w:r w:rsidR="00567424">
        <w:t>ho</w:t>
      </w:r>
      <w:r w:rsidRPr="5FF00F49">
        <w:t xml:space="preserve"> v čl. 12) je zakázáno </w:t>
      </w:r>
      <w:r w:rsidRPr="5FF00F49">
        <w:rPr>
          <w:rFonts w:cs="Calibri"/>
        </w:rPr>
        <w:t>vědomě a záměrně se podílet na činnostech, jejichž předmětem nebo důsledkem je obcházení předmětného zákazu</w:t>
      </w:r>
      <w:r w:rsidR="00AF164B">
        <w:rPr>
          <w:rFonts w:cs="Calibri"/>
        </w:rPr>
        <w:t xml:space="preserve"> podle tohoto nařízení</w:t>
      </w:r>
      <w:r w:rsidRPr="5FF00F49">
        <w:rPr>
          <w:rFonts w:cs="Calibri"/>
        </w:rPr>
        <w:t>, včetně jednání jako zástupce za fyzickou nebo právnickou osobu, subjekt nebo orgán, na které se vztahuje toto nařízení.</w:t>
      </w:r>
    </w:p>
    <w:p w14:paraId="5DAB6C7B" w14:textId="2AB0F32B" w:rsidR="00E07AC4" w:rsidRDefault="5FF00F49" w:rsidP="00BF3769">
      <w:pPr>
        <w:jc w:val="both"/>
        <w:rPr>
          <w:b/>
          <w:bCs/>
        </w:rPr>
      </w:pPr>
      <w:r w:rsidRPr="5FF00F49">
        <w:rPr>
          <w:b/>
          <w:bCs/>
        </w:rPr>
        <w:t xml:space="preserve">Q3. Subjekty, na které jsou </w:t>
      </w:r>
      <w:r w:rsidR="00AF164B">
        <w:rPr>
          <w:b/>
          <w:bCs/>
        </w:rPr>
        <w:t xml:space="preserve">omezující opatření </w:t>
      </w:r>
      <w:r w:rsidRPr="5FF00F49">
        <w:rPr>
          <w:b/>
          <w:bCs/>
        </w:rPr>
        <w:t>zaměřen</w:t>
      </w:r>
      <w:r w:rsidR="00AF164B">
        <w:rPr>
          <w:b/>
          <w:bCs/>
        </w:rPr>
        <w:t>a</w:t>
      </w:r>
      <w:r w:rsidRPr="5FF00F49">
        <w:rPr>
          <w:b/>
          <w:bCs/>
        </w:rPr>
        <w:t>, mají internetové subdomény a také nově vytvořené domény. Jsou provozovatelé v EU povinni zdržet se umožňování, usnadňování nebo jiného přispívání k přístupu na všechny takové subdomény a nové domény?</w:t>
      </w:r>
    </w:p>
    <w:p w14:paraId="38CE4010" w14:textId="367A4A1E" w:rsidR="5FF00F49" w:rsidRDefault="5FF00F49" w:rsidP="00BF3769">
      <w:pPr>
        <w:jc w:val="both"/>
      </w:pPr>
      <w:r w:rsidRPr="5FF00F49">
        <w:t>Subjekt, který si zaregistruje doménu</w:t>
      </w:r>
      <w:r w:rsidR="00AF164B">
        <w:t>,</w:t>
      </w:r>
      <w:r w:rsidRPr="5FF00F49">
        <w:t xml:space="preserve"> má kontrolu nad subdoménami; pokud je doména blokována, její subdomény by měly být blokovány</w:t>
      </w:r>
      <w:r w:rsidR="00AF164B">
        <w:t xml:space="preserve"> </w:t>
      </w:r>
      <w:r w:rsidR="00AF164B" w:rsidRPr="5FF00F49">
        <w:t>také</w:t>
      </w:r>
      <w:r w:rsidRPr="5FF00F49">
        <w:t>. Zákaz stanovený v nařízení se také vztahuje</w:t>
      </w:r>
      <w:r w:rsidR="00246C39">
        <w:t xml:space="preserve"> i</w:t>
      </w:r>
      <w:r w:rsidRPr="5FF00F49">
        <w:t xml:space="preserve"> na nově vytvořené internetové domény, které jsou de facto provozovány nebo kontrolovány subjekty,</w:t>
      </w:r>
      <w:r>
        <w:t xml:space="preserve"> na které jsou </w:t>
      </w:r>
      <w:r w:rsidR="00AF164B">
        <w:t xml:space="preserve">omezující opatření </w:t>
      </w:r>
      <w:r>
        <w:t>zaměřen</w:t>
      </w:r>
      <w:r w:rsidR="00AF164B">
        <w:t>a</w:t>
      </w:r>
      <w:r>
        <w:t>, nebo jsou využívány k obcházení vydaného nařízení.</w:t>
      </w:r>
    </w:p>
    <w:p w14:paraId="02EB378F" w14:textId="246CAF49" w:rsidR="00E07AC4" w:rsidRDefault="5FF00F49" w:rsidP="00BF3769">
      <w:pPr>
        <w:jc w:val="both"/>
        <w:rPr>
          <w:b/>
          <w:bCs/>
        </w:rPr>
      </w:pPr>
      <w:r w:rsidRPr="5FF00F49">
        <w:rPr>
          <w:b/>
          <w:bCs/>
        </w:rPr>
        <w:lastRenderedPageBreak/>
        <w:t xml:space="preserve">Q4. </w:t>
      </w:r>
      <w:r w:rsidR="00AF164B">
        <w:rPr>
          <w:b/>
          <w:bCs/>
        </w:rPr>
        <w:t xml:space="preserve">Stanoví </w:t>
      </w:r>
      <w:r w:rsidRPr="5FF00F49">
        <w:rPr>
          <w:b/>
          <w:bCs/>
        </w:rPr>
        <w:t xml:space="preserve">nařízení povinnosti jiným </w:t>
      </w:r>
      <w:r w:rsidR="00AF164B">
        <w:rPr>
          <w:b/>
          <w:bCs/>
        </w:rPr>
        <w:t>osobám</w:t>
      </w:r>
      <w:r w:rsidRPr="5FF00F49">
        <w:rPr>
          <w:b/>
          <w:bCs/>
        </w:rPr>
        <w:t>, než jsou provozovatelé služeb kabelových, satelitních, IP-TV, poskytovatelé</w:t>
      </w:r>
      <w:r w:rsidR="00AF164B">
        <w:rPr>
          <w:b/>
          <w:bCs/>
        </w:rPr>
        <w:t xml:space="preserve"> služeb přístupu k </w:t>
      </w:r>
      <w:r w:rsidRPr="5FF00F49">
        <w:rPr>
          <w:b/>
          <w:bCs/>
        </w:rPr>
        <w:t>internet</w:t>
      </w:r>
      <w:r w:rsidR="00AF164B">
        <w:rPr>
          <w:b/>
          <w:bCs/>
        </w:rPr>
        <w:t xml:space="preserve">u </w:t>
      </w:r>
      <w:r w:rsidRPr="5FF00F49">
        <w:rPr>
          <w:b/>
          <w:bCs/>
        </w:rPr>
        <w:t>(</w:t>
      </w:r>
      <w:proofErr w:type="spellStart"/>
      <w:r w:rsidRPr="5FF00F49">
        <w:rPr>
          <w:b/>
          <w:bCs/>
        </w:rPr>
        <w:t>ISPs</w:t>
      </w:r>
      <w:proofErr w:type="spellEnd"/>
      <w:r w:rsidRPr="5FF00F49">
        <w:rPr>
          <w:b/>
          <w:bCs/>
        </w:rPr>
        <w:t>) nebo platformy pro online sdílení videí?</w:t>
      </w:r>
    </w:p>
    <w:p w14:paraId="4E5D2170" w14:textId="6B56AB19" w:rsidR="00E07AC4" w:rsidRDefault="5FF00F49" w:rsidP="00BF3769">
      <w:pPr>
        <w:jc w:val="both"/>
      </w:pPr>
      <w:r w:rsidRPr="5FF00F49">
        <w:t xml:space="preserve">Nařízení stanovuje řadu příkladů </w:t>
      </w:r>
      <w:r w:rsidR="00AF164B">
        <w:t>ak</w:t>
      </w:r>
      <w:r w:rsidR="00005D2A">
        <w:t>t</w:t>
      </w:r>
      <w:r w:rsidR="00AF164B">
        <w:t xml:space="preserve">ivit </w:t>
      </w:r>
      <w:r w:rsidRPr="5FF00F49">
        <w:t xml:space="preserve">(“jako např.”), proto se vztahuje také například na poskytovatele služeb </w:t>
      </w:r>
      <w:proofErr w:type="spellStart"/>
      <w:r w:rsidRPr="5FF00F49">
        <w:t>cachingu</w:t>
      </w:r>
      <w:proofErr w:type="spellEnd"/>
      <w:r w:rsidRPr="5FF00F49">
        <w:t>, vyhledávačů, sociálních médií nebo hostingových služeb, jejichž služby mohou být využity k šíření propagandy od dotčených společností.</w:t>
      </w:r>
    </w:p>
    <w:p w14:paraId="5EFEFC11" w14:textId="4B835B82" w:rsidR="00E07AC4" w:rsidRDefault="5FF00F49" w:rsidP="00BF3769">
      <w:pPr>
        <w:jc w:val="both"/>
        <w:rPr>
          <w:b/>
          <w:bCs/>
        </w:rPr>
      </w:pPr>
      <w:r w:rsidRPr="5FF00F49">
        <w:rPr>
          <w:b/>
          <w:bCs/>
        </w:rPr>
        <w:t>Q5. Mohou novináři v rámci zpravodajství šířit obsah vytvořený dotčenými společnostmi, pokud tak činí v dobré víře?</w:t>
      </w:r>
    </w:p>
    <w:p w14:paraId="34FE2DB2" w14:textId="1BBF658C" w:rsidR="00E07AC4" w:rsidRDefault="5FF00F49" w:rsidP="00BF3769">
      <w:pPr>
        <w:spacing w:line="257" w:lineRule="auto"/>
        <w:jc w:val="both"/>
      </w:pPr>
      <w:r w:rsidRPr="5FF00F49">
        <w:rPr>
          <w:rFonts w:cs="Calibri"/>
        </w:rPr>
        <w:t xml:space="preserve">Média mohou svobodně a objektivně informovat o aktuálních událostech a vytvářet si na ně své názory, a uživatelé mají právo dostávat objektivní informace o aktuálních událostech. Zejména v případech, kdy jiná média než </w:t>
      </w:r>
      <w:proofErr w:type="spellStart"/>
      <w:r w:rsidRPr="5FF00F49">
        <w:rPr>
          <w:rFonts w:cs="Calibri"/>
        </w:rPr>
        <w:t>Russia</w:t>
      </w:r>
      <w:proofErr w:type="spellEnd"/>
      <w:r w:rsidRPr="5FF00F49">
        <w:rPr>
          <w:rFonts w:cs="Calibri"/>
        </w:rPr>
        <w:t xml:space="preserve"> </w:t>
      </w:r>
      <w:proofErr w:type="spellStart"/>
      <w:r w:rsidRPr="5FF00F49">
        <w:rPr>
          <w:rFonts w:cs="Calibri"/>
        </w:rPr>
        <w:t>Today</w:t>
      </w:r>
      <w:proofErr w:type="spellEnd"/>
      <w:r w:rsidRPr="5FF00F49">
        <w:rPr>
          <w:rFonts w:cs="Calibri"/>
        </w:rPr>
        <w:t xml:space="preserve"> a Sputnik informují o současném nařízení a jeho důsledcích, mohou tato média mimo jiné poskytovat obsah a v tomto ohledu odkazovat na části zpráv </w:t>
      </w:r>
      <w:proofErr w:type="spellStart"/>
      <w:r w:rsidRPr="5FF00F49">
        <w:rPr>
          <w:rFonts w:cs="Calibri"/>
        </w:rPr>
        <w:t>Russia</w:t>
      </w:r>
      <w:proofErr w:type="spellEnd"/>
      <w:r w:rsidRPr="5FF00F49">
        <w:rPr>
          <w:rFonts w:cs="Calibri"/>
        </w:rPr>
        <w:t xml:space="preserve"> </w:t>
      </w:r>
      <w:proofErr w:type="spellStart"/>
      <w:r w:rsidRPr="5FF00F49">
        <w:rPr>
          <w:rFonts w:cs="Calibri"/>
        </w:rPr>
        <w:t>Today</w:t>
      </w:r>
      <w:proofErr w:type="spellEnd"/>
      <w:r w:rsidRPr="5FF00F49">
        <w:rPr>
          <w:rFonts w:cs="Calibri"/>
        </w:rPr>
        <w:t xml:space="preserve"> a Sputnik, aby názorně ukázala druh informací, které poskytují obě tato ruská média, a to s cílem objektivně a úplně informovat své čtenáře/diváky.</w:t>
      </w:r>
    </w:p>
    <w:p w14:paraId="210F97E7" w14:textId="5D4FBD20" w:rsidR="00E07AC4" w:rsidRDefault="00500614" w:rsidP="00BF3769">
      <w:pPr>
        <w:spacing w:line="257" w:lineRule="auto"/>
        <w:jc w:val="both"/>
      </w:pPr>
      <w:r>
        <w:rPr>
          <w:rFonts w:cs="Calibri"/>
        </w:rPr>
        <w:t>S</w:t>
      </w:r>
      <w:r w:rsidR="5FF00F49" w:rsidRPr="5FF00F49">
        <w:rPr>
          <w:rFonts w:cs="Calibri"/>
        </w:rPr>
        <w:t xml:space="preserve">voboda projevu </w:t>
      </w:r>
      <w:r>
        <w:rPr>
          <w:rFonts w:cs="Calibri"/>
        </w:rPr>
        <w:t xml:space="preserve">však </w:t>
      </w:r>
      <w:r w:rsidR="5FF00F49" w:rsidRPr="5FF00F49">
        <w:rPr>
          <w:rFonts w:cs="Calibri"/>
        </w:rPr>
        <w:t xml:space="preserve">může být přiměřeným způsobem omezena z důvodu legitimních veřejných zájmů. Svobodu projevu nemohou ostatní média využívat k obcházení nařízení. Zákaz obcházení se vztahuje i na novináře. Pokud tedy jiný sdělovací prostředek nebo novinář prohlašuje, že informuje své čtenáře/diváky, ale ve skutečnosti jeho jednání směřuje k vysílání obsahu </w:t>
      </w:r>
      <w:proofErr w:type="spellStart"/>
      <w:r w:rsidR="5FF00F49" w:rsidRPr="5FF00F49">
        <w:rPr>
          <w:rFonts w:cs="Calibri"/>
        </w:rPr>
        <w:t>Russia</w:t>
      </w:r>
      <w:proofErr w:type="spellEnd"/>
      <w:r w:rsidR="5FF00F49" w:rsidRPr="5FF00F49">
        <w:rPr>
          <w:rFonts w:cs="Calibri"/>
        </w:rPr>
        <w:t xml:space="preserve"> </w:t>
      </w:r>
      <w:proofErr w:type="spellStart"/>
      <w:r w:rsidR="5FF00F49" w:rsidRPr="5FF00F49">
        <w:rPr>
          <w:rFonts w:cs="Calibri"/>
        </w:rPr>
        <w:t>Today</w:t>
      </w:r>
      <w:proofErr w:type="spellEnd"/>
      <w:r w:rsidR="5FF00F49" w:rsidRPr="5FF00F49">
        <w:rPr>
          <w:rFonts w:cs="Calibri"/>
        </w:rPr>
        <w:t xml:space="preserve"> nebo Sputnik veřejnosti nebo má takový účinek, poruší tím zákaz stanovený nařízením.</w:t>
      </w:r>
    </w:p>
    <w:p w14:paraId="61348371" w14:textId="647601A3" w:rsidR="00E07AC4" w:rsidRDefault="5FF00F49" w:rsidP="00BF3769">
      <w:pPr>
        <w:jc w:val="both"/>
        <w:rPr>
          <w:rFonts w:cs="Calibri"/>
          <w:b/>
          <w:bCs/>
        </w:rPr>
      </w:pPr>
      <w:r w:rsidRPr="5FF00F49">
        <w:rPr>
          <w:rFonts w:cs="Calibri"/>
          <w:b/>
          <w:bCs/>
        </w:rPr>
        <w:t xml:space="preserve">Q6. Povinností provozovatelů je také zajistit dodržování zákazu. </w:t>
      </w:r>
      <w:r w:rsidR="00500614">
        <w:rPr>
          <w:rFonts w:cs="Calibri"/>
          <w:b/>
          <w:bCs/>
        </w:rPr>
        <w:t xml:space="preserve">Pojem </w:t>
      </w:r>
      <w:r w:rsidRPr="5FF00F49">
        <w:rPr>
          <w:rFonts w:cs="Calibri"/>
          <w:b/>
          <w:bCs/>
        </w:rPr>
        <w:t>“</w:t>
      </w:r>
      <w:r w:rsidR="00500614">
        <w:rPr>
          <w:rFonts w:cs="Calibri"/>
          <w:b/>
          <w:bCs/>
        </w:rPr>
        <w:t>p</w:t>
      </w:r>
      <w:r w:rsidRPr="5FF00F49">
        <w:rPr>
          <w:rFonts w:cs="Calibri"/>
          <w:b/>
          <w:bCs/>
        </w:rPr>
        <w:t>rovozovatelé” ne</w:t>
      </w:r>
      <w:r w:rsidR="00500614">
        <w:rPr>
          <w:rFonts w:cs="Calibri"/>
          <w:b/>
          <w:bCs/>
        </w:rPr>
        <w:t>ní</w:t>
      </w:r>
      <w:r w:rsidRPr="5FF00F49">
        <w:rPr>
          <w:rFonts w:cs="Calibri"/>
          <w:b/>
          <w:bCs/>
        </w:rPr>
        <w:t xml:space="preserve"> definov</w:t>
      </w:r>
      <w:r w:rsidR="00500614">
        <w:rPr>
          <w:rFonts w:cs="Calibri"/>
          <w:b/>
          <w:bCs/>
        </w:rPr>
        <w:t>án</w:t>
      </w:r>
      <w:r w:rsidRPr="5FF00F49">
        <w:rPr>
          <w:rFonts w:cs="Calibri"/>
          <w:b/>
          <w:bCs/>
        </w:rPr>
        <w:t xml:space="preserve">; jak je třeba </w:t>
      </w:r>
      <w:r w:rsidR="00500614">
        <w:rPr>
          <w:rFonts w:cs="Calibri"/>
          <w:b/>
          <w:bCs/>
        </w:rPr>
        <w:t xml:space="preserve">jej </w:t>
      </w:r>
      <w:r w:rsidRPr="5FF00F49">
        <w:rPr>
          <w:rFonts w:cs="Calibri"/>
          <w:b/>
          <w:bCs/>
        </w:rPr>
        <w:t xml:space="preserve">chápat?  </w:t>
      </w:r>
    </w:p>
    <w:p w14:paraId="444DE1A5" w14:textId="05780C2E" w:rsidR="00E07AC4" w:rsidRDefault="5FF00F49" w:rsidP="00BF3769">
      <w:pPr>
        <w:spacing w:line="257" w:lineRule="auto"/>
        <w:jc w:val="both"/>
      </w:pPr>
      <w:r w:rsidRPr="5FF00F49">
        <w:rPr>
          <w:rFonts w:cs="Calibri"/>
        </w:rPr>
        <w:t xml:space="preserve">Nařízení stanovuje široký a komplexní zákaz. Nařízení zakazuje jak vysílání (lato </w:t>
      </w:r>
      <w:proofErr w:type="spellStart"/>
      <w:r w:rsidRPr="5FF00F49">
        <w:rPr>
          <w:rFonts w:cs="Calibri"/>
        </w:rPr>
        <w:t>sensu</w:t>
      </w:r>
      <w:proofErr w:type="spellEnd"/>
      <w:r w:rsidRPr="5FF00F49">
        <w:rPr>
          <w:rFonts w:cs="Calibri"/>
        </w:rPr>
        <w:t>), tak i skutečnost, kdy provozovatelé "umožňují, podporují nebo jinak přispívají k vysílání". Zákaz se tedy vztahuje na jakoukoli osobu nebo subjekt či orgán vykonávající komerční nebo profesní činnost, která vysílá či umožňuje, podporuje či jinak přispívá k vysílání předmětného obsahu.</w:t>
      </w:r>
    </w:p>
    <w:p w14:paraId="56DD0722" w14:textId="1E29B97C" w:rsidR="00E07AC4" w:rsidRDefault="5FF00F49" w:rsidP="00BF3769">
      <w:pPr>
        <w:spacing w:line="257" w:lineRule="auto"/>
        <w:jc w:val="both"/>
        <w:rPr>
          <w:rFonts w:cs="Calibri"/>
        </w:rPr>
      </w:pPr>
      <w:r w:rsidRPr="5FF00F49">
        <w:rPr>
          <w:rFonts w:cs="Calibri"/>
        </w:rPr>
        <w:t>Kromě toho na základě obecné a široce formulované</w:t>
      </w:r>
      <w:r w:rsidR="00500614">
        <w:rPr>
          <w:rFonts w:cs="Calibri"/>
        </w:rPr>
        <w:t>ho</w:t>
      </w:r>
      <w:r w:rsidRPr="5FF00F49">
        <w:rPr>
          <w:rFonts w:cs="Calibri"/>
        </w:rPr>
        <w:t xml:space="preserve"> </w:t>
      </w:r>
      <w:r w:rsidR="00500614">
        <w:rPr>
          <w:rFonts w:cs="Calibri"/>
        </w:rPr>
        <w:t xml:space="preserve">ustanovení </w:t>
      </w:r>
      <w:r w:rsidRPr="5FF00F49">
        <w:rPr>
          <w:rFonts w:cs="Calibri"/>
        </w:rPr>
        <w:t>o zákazu obcházení v čl. 12 nařízení č.833/2014 je zakázáno vědomě a úmyslně se podílet na činnostech, jejichž předmětem nebo důsledkem je obcházení předmětného zákazu, včetně jednání jako zástupce za fyzickou nebo právnickou osobu, subjekt nebo orgán, na které se vztahuje zákaz uvedený v čl. 2f nařízení.</w:t>
      </w:r>
    </w:p>
    <w:p w14:paraId="536DD62E" w14:textId="03F3F9DE" w:rsidR="00E07AC4" w:rsidRDefault="5FF00F49" w:rsidP="00BF3769">
      <w:pPr>
        <w:spacing w:line="257" w:lineRule="auto"/>
        <w:jc w:val="both"/>
      </w:pPr>
      <w:r w:rsidRPr="5FF00F49">
        <w:rPr>
          <w:rFonts w:cs="Calibri"/>
        </w:rPr>
        <w:t xml:space="preserve">Provozovatelé se nemohou </w:t>
      </w:r>
      <w:r w:rsidR="00500614">
        <w:rPr>
          <w:rFonts w:cs="Calibri"/>
        </w:rPr>
        <w:t xml:space="preserve">vyhýbat </w:t>
      </w:r>
      <w:r w:rsidRPr="5FF00F49">
        <w:rPr>
          <w:rFonts w:cs="Calibri"/>
        </w:rPr>
        <w:t>povinnost</w:t>
      </w:r>
      <w:r w:rsidR="00500614">
        <w:rPr>
          <w:rFonts w:cs="Calibri"/>
        </w:rPr>
        <w:t>e</w:t>
      </w:r>
      <w:r w:rsidRPr="5FF00F49">
        <w:rPr>
          <w:rFonts w:cs="Calibri"/>
        </w:rPr>
        <w:t xml:space="preserve">m vyplývajícím z </w:t>
      </w:r>
      <w:hyperlink r:id="rId10">
        <w:r w:rsidRPr="5FF00F49">
          <w:rPr>
            <w:rStyle w:val="Hypertextovodkaz"/>
            <w:rFonts w:cs="Calibri"/>
          </w:rPr>
          <w:t>nařízení č. 833/2014</w:t>
        </w:r>
      </w:hyperlink>
      <w:r w:rsidR="00E07AC4" w:rsidRPr="5FF00F49">
        <w:rPr>
          <w:rStyle w:val="Znakapoznpodarou"/>
          <w:rFonts w:cs="Calibri"/>
        </w:rPr>
        <w:footnoteReference w:id="2"/>
      </w:r>
      <w:r w:rsidRPr="5FF00F49">
        <w:rPr>
          <w:rFonts w:cs="Calibri"/>
        </w:rPr>
        <w:t xml:space="preserve"> tím, že se odvolají na jiná ustanovení sekundárního práva EU, jako je čl. 15 </w:t>
      </w:r>
      <w:hyperlink r:id="rId11">
        <w:r w:rsidRPr="5FF00F49">
          <w:rPr>
            <w:rStyle w:val="Hypertextovodkaz"/>
            <w:rFonts w:cs="Calibri"/>
          </w:rPr>
          <w:t>směrnice o elektronickém obchodu</w:t>
        </w:r>
      </w:hyperlink>
      <w:r w:rsidRPr="5FF00F49">
        <w:rPr>
          <w:rFonts w:cs="Calibri"/>
        </w:rPr>
        <w:t>.</w:t>
      </w:r>
    </w:p>
    <w:p w14:paraId="2EFF235F" w14:textId="2C00B84C" w:rsidR="00E07AC4" w:rsidRDefault="00E07AC4" w:rsidP="00BF3769">
      <w:pPr>
        <w:spacing w:line="257" w:lineRule="auto"/>
        <w:jc w:val="both"/>
        <w:rPr>
          <w:rFonts w:cs="Calibri"/>
        </w:rPr>
      </w:pPr>
    </w:p>
    <w:p w14:paraId="31E9DA52" w14:textId="0BE459B1" w:rsidR="00E07AC4" w:rsidRDefault="00E07AC4" w:rsidP="00BF3769">
      <w:pPr>
        <w:spacing w:line="257" w:lineRule="auto"/>
        <w:jc w:val="both"/>
        <w:rPr>
          <w:rFonts w:cs="Calibri"/>
        </w:rPr>
      </w:pPr>
    </w:p>
    <w:p w14:paraId="5A39BBE3" w14:textId="49FFF7B9" w:rsidR="00E07AC4" w:rsidRDefault="00E07AC4" w:rsidP="00BF3769">
      <w:pPr>
        <w:jc w:val="both"/>
      </w:pPr>
    </w:p>
    <w:p w14:paraId="41C8F396" w14:textId="77777777" w:rsidR="00E07AC4" w:rsidRPr="00E07AC4" w:rsidRDefault="00E07AC4" w:rsidP="00BF3769">
      <w:pPr>
        <w:jc w:val="both"/>
      </w:pPr>
    </w:p>
    <w:sectPr w:rsidR="00E07AC4" w:rsidRPr="00E07A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394A" w14:textId="77777777" w:rsidR="003C42FE" w:rsidRDefault="003C42FE">
      <w:pPr>
        <w:spacing w:after="0" w:line="240" w:lineRule="auto"/>
      </w:pPr>
      <w:r>
        <w:separator/>
      </w:r>
    </w:p>
  </w:endnote>
  <w:endnote w:type="continuationSeparator" w:id="0">
    <w:p w14:paraId="3E51EEF2" w14:textId="77777777" w:rsidR="003C42FE" w:rsidRDefault="003C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84F0" w14:textId="77777777" w:rsidR="003C42FE" w:rsidRDefault="003C42FE">
      <w:pPr>
        <w:spacing w:after="0" w:line="240" w:lineRule="auto"/>
      </w:pPr>
      <w:r>
        <w:separator/>
      </w:r>
    </w:p>
  </w:footnote>
  <w:footnote w:type="continuationSeparator" w:id="0">
    <w:p w14:paraId="54B6916A" w14:textId="77777777" w:rsidR="003C42FE" w:rsidRDefault="003C42FE">
      <w:pPr>
        <w:spacing w:after="0" w:line="240" w:lineRule="auto"/>
      </w:pPr>
      <w:r>
        <w:continuationSeparator/>
      </w:r>
    </w:p>
  </w:footnote>
  <w:footnote w:id="1">
    <w:p w14:paraId="23E6432E" w14:textId="6DA1B157" w:rsidR="5FF00F49" w:rsidRDefault="5FF00F49" w:rsidP="5FF00F49">
      <w:pPr>
        <w:pStyle w:val="Textpoznpodarou"/>
        <w:rPr>
          <w:b/>
          <w:bCs/>
          <w:color w:val="333333"/>
        </w:rPr>
      </w:pPr>
      <w:r w:rsidRPr="5FF00F49">
        <w:rPr>
          <w:rStyle w:val="Znakapoznpodarou"/>
        </w:rPr>
        <w:footnoteRef/>
      </w:r>
      <w:r w:rsidRPr="5FF00F49">
        <w:t xml:space="preserve"> </w:t>
      </w:r>
      <w:hyperlink r:id="rId1">
        <w:r w:rsidRPr="00D620D7">
          <w:rPr>
            <w:rStyle w:val="Hypertextovodkaz"/>
            <w:sz w:val="21"/>
            <w:szCs w:val="21"/>
          </w:rPr>
          <w:t>Směrnice Evropského parlamentu a Rady 2010/13/EU ze dne 10. března 2010 o koordinaci některých právních a správních předpisů členských států upravujících poskytování audiovizuálních mediálních služeb (směrnice o audiovizuálních mediálních službách), Úřední věstník L 95, 15.4.</w:t>
        </w:r>
        <w:proofErr w:type="gramStart"/>
        <w:r w:rsidRPr="00D620D7">
          <w:rPr>
            <w:rStyle w:val="Hypertextovodkaz"/>
            <w:sz w:val="21"/>
            <w:szCs w:val="21"/>
          </w:rPr>
          <w:t>2010s</w:t>
        </w:r>
        <w:proofErr w:type="gramEnd"/>
        <w:r w:rsidRPr="00D620D7">
          <w:rPr>
            <w:rStyle w:val="Hypertextovodkaz"/>
            <w:sz w:val="21"/>
            <w:szCs w:val="21"/>
          </w:rPr>
          <w:t>. 1-24.</w:t>
        </w:r>
      </w:hyperlink>
    </w:p>
  </w:footnote>
  <w:footnote w:id="2">
    <w:p w14:paraId="42DA95DD" w14:textId="1B3689D3" w:rsidR="5FF00F49" w:rsidRDefault="5FF00F49" w:rsidP="5FF00F49">
      <w:pPr>
        <w:pStyle w:val="Textpoznpodarou"/>
        <w:rPr>
          <w:rFonts w:cs="Calibri"/>
        </w:rPr>
      </w:pPr>
      <w:r w:rsidRPr="5FF00F49">
        <w:rPr>
          <w:rStyle w:val="Znakapoznpodarou"/>
        </w:rPr>
        <w:footnoteRef/>
      </w:r>
      <w:r w:rsidRPr="5FF00F49">
        <w:t xml:space="preserve"> </w:t>
      </w:r>
      <w:proofErr w:type="spellStart"/>
      <w:proofErr w:type="gramStart"/>
      <w:r w:rsidRPr="5FF00F49">
        <w:rPr>
          <w:rFonts w:cs="Calibri"/>
          <w:sz w:val="22"/>
          <w:szCs w:val="22"/>
        </w:rPr>
        <w:t>pozn.překladatele</w:t>
      </w:r>
      <w:proofErr w:type="spellEnd"/>
      <w:proofErr w:type="gramEnd"/>
      <w:r w:rsidRPr="5FF00F49">
        <w:rPr>
          <w:rFonts w:cs="Calibri"/>
          <w:sz w:val="22"/>
          <w:szCs w:val="22"/>
        </w:rPr>
        <w:t xml:space="preserve">: </w:t>
      </w:r>
      <w:hyperlink r:id="rId2">
        <w:r w:rsidRPr="5FF00F49">
          <w:rPr>
            <w:rStyle w:val="Hypertextovodkaz"/>
            <w:rFonts w:cs="Calibri"/>
            <w:sz w:val="22"/>
            <w:szCs w:val="22"/>
          </w:rPr>
          <w:t>v aktuálním znění nařízení</w:t>
        </w:r>
        <w:r w:rsidRPr="5FF00F49">
          <w:rPr>
            <w:rStyle w:val="Hypertextovodkaz"/>
            <w:rFonts w:ascii="Segoe UI" w:eastAsia="Segoe UI" w:hAnsi="Segoe UI" w:cs="Segoe UI"/>
            <w:sz w:val="18"/>
            <w:szCs w:val="18"/>
          </w:rPr>
          <w:t xml:space="preserve"> (EU) 2022/350</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C4"/>
    <w:rsid w:val="00005D2A"/>
    <w:rsid w:val="000C43FB"/>
    <w:rsid w:val="00235B5E"/>
    <w:rsid w:val="00246C39"/>
    <w:rsid w:val="002D16B0"/>
    <w:rsid w:val="003A0224"/>
    <w:rsid w:val="003C42FE"/>
    <w:rsid w:val="00476E81"/>
    <w:rsid w:val="004B3AF3"/>
    <w:rsid w:val="00500614"/>
    <w:rsid w:val="00567424"/>
    <w:rsid w:val="00574736"/>
    <w:rsid w:val="00620CAC"/>
    <w:rsid w:val="007B18C7"/>
    <w:rsid w:val="00AF164B"/>
    <w:rsid w:val="00BB6DA8"/>
    <w:rsid w:val="00BF3769"/>
    <w:rsid w:val="00C15EEE"/>
    <w:rsid w:val="00CF2F36"/>
    <w:rsid w:val="00D620D7"/>
    <w:rsid w:val="00E07AC4"/>
    <w:rsid w:val="01600EED"/>
    <w:rsid w:val="02428F53"/>
    <w:rsid w:val="02C1659B"/>
    <w:rsid w:val="039412AB"/>
    <w:rsid w:val="045D35FC"/>
    <w:rsid w:val="04EA43EE"/>
    <w:rsid w:val="06338010"/>
    <w:rsid w:val="09675794"/>
    <w:rsid w:val="096B20D2"/>
    <w:rsid w:val="0AA13F6B"/>
    <w:rsid w:val="0B06F133"/>
    <w:rsid w:val="0B2CC0E0"/>
    <w:rsid w:val="0B982272"/>
    <w:rsid w:val="0C90134A"/>
    <w:rsid w:val="0C970AD0"/>
    <w:rsid w:val="0DB2FECE"/>
    <w:rsid w:val="0E32DB31"/>
    <w:rsid w:val="0ECFC334"/>
    <w:rsid w:val="0F74B08E"/>
    <w:rsid w:val="0FD69918"/>
    <w:rsid w:val="12F0194F"/>
    <w:rsid w:val="130E39DA"/>
    <w:rsid w:val="152B075A"/>
    <w:rsid w:val="15886E0F"/>
    <w:rsid w:val="15984165"/>
    <w:rsid w:val="18F777DD"/>
    <w:rsid w:val="1CB51C20"/>
    <w:rsid w:val="1F5F6A6D"/>
    <w:rsid w:val="20CB20B6"/>
    <w:rsid w:val="2108B0E0"/>
    <w:rsid w:val="226685B5"/>
    <w:rsid w:val="25671060"/>
    <w:rsid w:val="259AC89B"/>
    <w:rsid w:val="271D709F"/>
    <w:rsid w:val="2DB19144"/>
    <w:rsid w:val="2ED37516"/>
    <w:rsid w:val="2F41AAE1"/>
    <w:rsid w:val="301C4577"/>
    <w:rsid w:val="30DD7B42"/>
    <w:rsid w:val="30E93206"/>
    <w:rsid w:val="31AF8023"/>
    <w:rsid w:val="320E7355"/>
    <w:rsid w:val="362A9471"/>
    <w:rsid w:val="3670F71D"/>
    <w:rsid w:val="38407FB9"/>
    <w:rsid w:val="38C2E895"/>
    <w:rsid w:val="38E195A1"/>
    <w:rsid w:val="398C0BE6"/>
    <w:rsid w:val="3B21458B"/>
    <w:rsid w:val="3BC632E5"/>
    <w:rsid w:val="3CC3ACA8"/>
    <w:rsid w:val="3E74DACE"/>
    <w:rsid w:val="3FA9787D"/>
    <w:rsid w:val="44619634"/>
    <w:rsid w:val="4650712D"/>
    <w:rsid w:val="4B1E40F8"/>
    <w:rsid w:val="4B9D4CF3"/>
    <w:rsid w:val="4D10EC49"/>
    <w:rsid w:val="4E52C1A6"/>
    <w:rsid w:val="4E92EC1E"/>
    <w:rsid w:val="4FEE9207"/>
    <w:rsid w:val="50EC0BCA"/>
    <w:rsid w:val="5321DCAB"/>
    <w:rsid w:val="536EF2F6"/>
    <w:rsid w:val="5423AC8C"/>
    <w:rsid w:val="54F03379"/>
    <w:rsid w:val="56C38553"/>
    <w:rsid w:val="57D3C28D"/>
    <w:rsid w:val="5827D43B"/>
    <w:rsid w:val="58426419"/>
    <w:rsid w:val="5BA39DC6"/>
    <w:rsid w:val="5BDFDDE1"/>
    <w:rsid w:val="5D15D53C"/>
    <w:rsid w:val="5D572EA4"/>
    <w:rsid w:val="5EB56EDB"/>
    <w:rsid w:val="5FF00F49"/>
    <w:rsid w:val="60513F3C"/>
    <w:rsid w:val="62BB4B40"/>
    <w:rsid w:val="64C8789A"/>
    <w:rsid w:val="6515C7D5"/>
    <w:rsid w:val="652C9DE5"/>
    <w:rsid w:val="65F2EC02"/>
    <w:rsid w:val="66BCB782"/>
    <w:rsid w:val="681321B5"/>
    <w:rsid w:val="684C0BAE"/>
    <w:rsid w:val="692A8CC4"/>
    <w:rsid w:val="69897FF6"/>
    <w:rsid w:val="6B9028A5"/>
    <w:rsid w:val="6C3412C6"/>
    <w:rsid w:val="6CC120B8"/>
    <w:rsid w:val="6DFDFDE7"/>
    <w:rsid w:val="6FA263FD"/>
    <w:rsid w:val="710714AA"/>
    <w:rsid w:val="710783E9"/>
    <w:rsid w:val="71FF6A29"/>
    <w:rsid w:val="72DA04BF"/>
    <w:rsid w:val="776FC34F"/>
    <w:rsid w:val="79494643"/>
    <w:rsid w:val="7C39C602"/>
    <w:rsid w:val="7CDF3208"/>
    <w:rsid w:val="7E35DFC3"/>
    <w:rsid w:val="7FC0754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5A99"/>
  <w15:chartTrackingRefBased/>
  <w15:docId w15:val="{1C3B5D66-70F7-4F68-A3D6-0603B5D3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character" w:styleId="Znakapoznpodarou">
    <w:name w:val="footnote reference"/>
    <w:basedOn w:val="Standardnpsmoodstavce"/>
    <w:uiPriority w:val="99"/>
    <w:semiHidden/>
    <w:unhideWhenUsed/>
    <w:rPr>
      <w:vertAlign w:val="superscript"/>
    </w:rPr>
  </w:style>
  <w:style w:type="character" w:customStyle="1" w:styleId="TextpoznpodarouChar">
    <w:name w:val="Text pozn. pod čarou Char"/>
    <w:basedOn w:val="Standardnpsmoodstavce"/>
    <w:link w:val="Textpoznpodarou"/>
    <w:uiPriority w:val="99"/>
    <w:semiHidden/>
    <w:rPr>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paragraph" w:styleId="Textbubliny">
    <w:name w:val="Balloon Text"/>
    <w:basedOn w:val="Normln"/>
    <w:link w:val="TextbublinyChar"/>
    <w:uiPriority w:val="99"/>
    <w:semiHidden/>
    <w:unhideWhenUsed/>
    <w:rsid w:val="005674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7424"/>
    <w:rPr>
      <w:rFonts w:ascii="Segoe UI" w:hAnsi="Segoe UI" w:cs="Segoe UI"/>
      <w:sz w:val="18"/>
      <w:szCs w:val="18"/>
      <w:lang w:eastAsia="en-US"/>
    </w:rPr>
  </w:style>
  <w:style w:type="character" w:styleId="Odkaznakoment">
    <w:name w:val="annotation reference"/>
    <w:basedOn w:val="Standardnpsmoodstavce"/>
    <w:uiPriority w:val="99"/>
    <w:semiHidden/>
    <w:unhideWhenUsed/>
    <w:rsid w:val="000C43FB"/>
    <w:rPr>
      <w:sz w:val="16"/>
      <w:szCs w:val="16"/>
    </w:rPr>
  </w:style>
  <w:style w:type="paragraph" w:styleId="Textkomente">
    <w:name w:val="annotation text"/>
    <w:basedOn w:val="Normln"/>
    <w:link w:val="TextkomenteChar"/>
    <w:uiPriority w:val="99"/>
    <w:semiHidden/>
    <w:unhideWhenUsed/>
    <w:rsid w:val="000C43FB"/>
    <w:pPr>
      <w:spacing w:line="240" w:lineRule="auto"/>
    </w:pPr>
    <w:rPr>
      <w:sz w:val="20"/>
      <w:szCs w:val="20"/>
    </w:rPr>
  </w:style>
  <w:style w:type="character" w:customStyle="1" w:styleId="TextkomenteChar">
    <w:name w:val="Text komentáře Char"/>
    <w:basedOn w:val="Standardnpsmoodstavce"/>
    <w:link w:val="Textkomente"/>
    <w:uiPriority w:val="99"/>
    <w:semiHidden/>
    <w:rsid w:val="000C43FB"/>
    <w:rPr>
      <w:lang w:eastAsia="en-US"/>
    </w:rPr>
  </w:style>
  <w:style w:type="paragraph" w:styleId="Pedmtkomente">
    <w:name w:val="annotation subject"/>
    <w:basedOn w:val="Textkomente"/>
    <w:next w:val="Textkomente"/>
    <w:link w:val="PedmtkomenteChar"/>
    <w:uiPriority w:val="99"/>
    <w:semiHidden/>
    <w:unhideWhenUsed/>
    <w:rsid w:val="000C43FB"/>
    <w:rPr>
      <w:b/>
      <w:bCs/>
    </w:rPr>
  </w:style>
  <w:style w:type="character" w:customStyle="1" w:styleId="PedmtkomenteChar">
    <w:name w:val="Předmět komentáře Char"/>
    <w:basedOn w:val="TextkomenteChar"/>
    <w:link w:val="Pedmtkomente"/>
    <w:uiPriority w:val="99"/>
    <w:semiHidden/>
    <w:rsid w:val="000C43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TXT/?uri=CELEX:32022R0350&amp;qid=16484514503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CS/TXT/PDF/?uri=CELEX:32000L0031&amp;from=EN" TargetMode="External"/><Relationship Id="rId5" Type="http://schemas.openxmlformats.org/officeDocument/2006/relationships/webSettings" Target="webSettings.xml"/><Relationship Id="rId10" Type="http://schemas.openxmlformats.org/officeDocument/2006/relationships/hyperlink" Target="https://eur-lex.europa.eu/legal-content/CS/TXT/PDF/?uri=CELEX:32014R0833&amp;from=EN" TargetMode="External"/><Relationship Id="rId4" Type="http://schemas.openxmlformats.org/officeDocument/2006/relationships/settings" Target="settings.xml"/><Relationship Id="rId9" Type="http://schemas.openxmlformats.org/officeDocument/2006/relationships/hyperlink" Target="https://eur-lex.europa.eu/legal-content/CS/TXT/?uri=CELEX%3A32010L00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uri=CELEX:32022R0350&amp;qid=1648451450374" TargetMode="External"/><Relationship Id="rId1" Type="http://schemas.openxmlformats.org/officeDocument/2006/relationships/hyperlink" Target="https://eur-lex.europa.eu/legal-content/CS/TXT/PDF/?uri=CELEX:32010L0013&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90964EADE48444BE1244D5B1AE8FF9" ma:contentTypeVersion="4" ma:contentTypeDescription="Vytvoří nový dokument" ma:contentTypeScope="" ma:versionID="c1732a9c6d9149d57221642490b29e5e">
  <xsd:schema xmlns:xsd="http://www.w3.org/2001/XMLSchema" xmlns:xs="http://www.w3.org/2001/XMLSchema" xmlns:p="http://schemas.microsoft.com/office/2006/metadata/properties" xmlns:ns2="3d8a4ff6-5dff-4abc-ad76-23ddb9b638bd" targetNamespace="http://schemas.microsoft.com/office/2006/metadata/properties" ma:root="true" ma:fieldsID="214c154866c15305ce29010fc641d5c1" ns2:_="">
    <xsd:import namespace="3d8a4ff6-5dff-4abc-ad76-23ddb9b638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a4ff6-5dff-4abc-ad76-23ddb9b63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B2257-5E49-4294-82A4-006064CD0208}">
  <ds:schemaRefs>
    <ds:schemaRef ds:uri="http://schemas.microsoft.com/sharepoint/v3/contenttype/forms"/>
  </ds:schemaRefs>
</ds:datastoreItem>
</file>

<file path=customXml/itemProps2.xml><?xml version="1.0" encoding="utf-8"?>
<ds:datastoreItem xmlns:ds="http://schemas.openxmlformats.org/officeDocument/2006/customXml" ds:itemID="{608A55C4-76D9-4A51-AAE2-28C9D0FB0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a4ff6-5dff-4abc-ad76-23ddb9b6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4955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ŠIFALDOVÁ Zuzana</dc:creator>
  <cp:keywords/>
  <dc:description/>
  <cp:lastModifiedBy>Jakub Rejzek</cp:lastModifiedBy>
  <cp:revision>2</cp:revision>
  <dcterms:created xsi:type="dcterms:W3CDTF">2022-03-29T11:26:00Z</dcterms:created>
  <dcterms:modified xsi:type="dcterms:W3CDTF">2022-03-29T11:26:00Z</dcterms:modified>
</cp:coreProperties>
</file>