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A0842" w14:textId="3AD81DD4" w:rsidR="00142A1C" w:rsidRDefault="00142A1C" w:rsidP="00B121DD">
      <w:pPr>
        <w:pStyle w:val="Nadpis1"/>
        <w:jc w:val="both"/>
      </w:pPr>
      <w:r>
        <w:t>Nápověda k VHCN (ESD</w:t>
      </w:r>
      <w:r w:rsidR="00B82092">
        <w:t xml:space="preserve"> mapující připojení v pevném místě</w:t>
      </w:r>
      <w:r>
        <w:t>)</w:t>
      </w:r>
      <w:r w:rsidR="00BC10C9">
        <w:t xml:space="preserve"> – návodné pokyny</w:t>
      </w:r>
    </w:p>
    <w:p w14:paraId="0B0CD916" w14:textId="6A543EDC" w:rsidR="00BC4FFB" w:rsidRDefault="00BC4FFB" w:rsidP="00B121DD">
      <w:pPr>
        <w:jc w:val="both"/>
      </w:pPr>
      <w:r>
        <w:t xml:space="preserve">Definice a parametry pro sítě s velmi vysokou kapacitou (VHCN) vycházejí ze </w:t>
      </w:r>
      <w:hyperlink r:id="rId6" w:history="1">
        <w:r w:rsidRPr="009E1AD2">
          <w:rPr>
            <w:rStyle w:val="Hypertextovodkaz"/>
          </w:rPr>
          <w:t>Směrnice</w:t>
        </w:r>
      </w:hyperlink>
      <w:r>
        <w:t xml:space="preserve"> Evropského parlamentu a Rady (EU) 2018/1972 ze dne 11. prosince 2018, kterou se stanoví evropský kodex pro elektronické komunikace (čl. 2/2 a recitál 13) a ze souvisejících </w:t>
      </w:r>
      <w:hyperlink r:id="rId7" w:history="1">
        <w:r w:rsidRPr="006328C9">
          <w:rPr>
            <w:rStyle w:val="Hypertextovodkaz"/>
          </w:rPr>
          <w:t>Pokynů BEREC pro sítě s velmi vysokou kapacitou</w:t>
        </w:r>
      </w:hyperlink>
      <w:r>
        <w:t xml:space="preserve"> ze </w:t>
      </w:r>
      <w:r w:rsidRPr="006328C9">
        <w:t xml:space="preserve">dne </w:t>
      </w:r>
      <w:r w:rsidR="00EF2B03">
        <w:t>1</w:t>
      </w:r>
      <w:r w:rsidRPr="006328C9">
        <w:t xml:space="preserve">. října 2020. </w:t>
      </w:r>
      <w:r w:rsidR="00BC10C9" w:rsidRPr="006328C9">
        <w:t>Připojení</w:t>
      </w:r>
      <w:r w:rsidR="00BC10C9">
        <w:t xml:space="preserve"> prostřednictvím VHCN sítí se v</w:t>
      </w:r>
      <w:r w:rsidR="000066A7">
        <w:t> </w:t>
      </w:r>
      <w:r w:rsidR="00BC10C9">
        <w:t xml:space="preserve">kontextu uvedených dokumentů člení </w:t>
      </w:r>
      <w:r w:rsidR="00C920A6">
        <w:t xml:space="preserve">na pevné a bezdrátové, přičemž </w:t>
      </w:r>
      <w:r w:rsidR="00A669F2">
        <w:t>pevným</w:t>
      </w:r>
      <w:r w:rsidR="00BC10C9">
        <w:t xml:space="preserve"> připojením </w:t>
      </w:r>
      <w:r w:rsidR="00A669F2">
        <w:t xml:space="preserve">se </w:t>
      </w:r>
      <w:r w:rsidR="000066A7">
        <w:t xml:space="preserve">ve vztahu k </w:t>
      </w:r>
      <w:r w:rsidR="00A669F2">
        <w:t xml:space="preserve">VHCN </w:t>
      </w:r>
      <w:r w:rsidR="00BC10C9">
        <w:t>rozumí připojení prostřednictvím sítí</w:t>
      </w:r>
      <w:r w:rsidR="00C920A6">
        <w:t xml:space="preserve">, které pro přenos dat využívají </w:t>
      </w:r>
      <w:r w:rsidR="00A669F2">
        <w:t>kovová</w:t>
      </w:r>
      <w:r w:rsidR="00C86F4B">
        <w:t xml:space="preserve"> (</w:t>
      </w:r>
      <w:r w:rsidR="00C86F4B" w:rsidRPr="00C86F4B">
        <w:rPr>
          <w:rFonts w:ascii="Calibri" w:eastAsia="Times New Roman" w:hAnsi="Calibri" w:cs="Calibri"/>
        </w:rPr>
        <w:t>včetně koaxiálních)</w:t>
      </w:r>
      <w:r w:rsidR="00A669F2">
        <w:t xml:space="preserve"> a optická přenosová </w:t>
      </w:r>
      <w:r w:rsidR="00C920A6">
        <w:t>méd</w:t>
      </w:r>
      <w:r w:rsidR="00A669F2">
        <w:t>ia</w:t>
      </w:r>
      <w:r w:rsidR="00C920A6">
        <w:t xml:space="preserve">. </w:t>
      </w:r>
    </w:p>
    <w:p w14:paraId="06F0D525" w14:textId="0824628E" w:rsidR="006308F6" w:rsidRDefault="00142A1C" w:rsidP="00B121DD">
      <w:pPr>
        <w:jc w:val="both"/>
      </w:pPr>
      <w:r>
        <w:t>Sítí VHCN je v případě pevného připojení: a) síť sestávající plně z optických vláken až do budovy, nebo b) jiná pevná síť umožňující</w:t>
      </w:r>
      <w:r w:rsidR="00ED639F">
        <w:t xml:space="preserve"> </w:t>
      </w:r>
      <w:r w:rsidR="0081317B">
        <w:t xml:space="preserve">na koncovém bodu sítě zajistit </w:t>
      </w:r>
      <w:bookmarkStart w:id="0" w:name="_Hlk53737930"/>
      <w:r w:rsidR="007B5A3F">
        <w:t>„</w:t>
      </w:r>
      <w:proofErr w:type="spellStart"/>
      <w:r w:rsidRPr="00C77F6C">
        <w:rPr>
          <w:i/>
          <w:iCs/>
        </w:rPr>
        <w:t>downl</w:t>
      </w:r>
      <w:r w:rsidR="00B36566" w:rsidRPr="00C77F6C">
        <w:rPr>
          <w:i/>
          <w:iCs/>
        </w:rPr>
        <w:t>ink</w:t>
      </w:r>
      <w:proofErr w:type="spellEnd"/>
      <w:r w:rsidRPr="00C77F6C">
        <w:rPr>
          <w:i/>
          <w:iCs/>
        </w:rPr>
        <w:t xml:space="preserve"> </w:t>
      </w:r>
      <w:r w:rsidR="00C77F6C" w:rsidRPr="00C77F6C">
        <w:rPr>
          <w:i/>
          <w:iCs/>
        </w:rPr>
        <w:t xml:space="preserve">data </w:t>
      </w:r>
      <w:proofErr w:type="spellStart"/>
      <w:r w:rsidR="00C77F6C" w:rsidRPr="00C77F6C">
        <w:rPr>
          <w:i/>
          <w:iCs/>
        </w:rPr>
        <w:t>rate</w:t>
      </w:r>
      <w:proofErr w:type="spellEnd"/>
      <w:r w:rsidR="00D842DD">
        <w:rPr>
          <w:i/>
          <w:iCs/>
        </w:rPr>
        <w:t>“</w:t>
      </w:r>
      <w:r w:rsidR="00C77F6C">
        <w:t xml:space="preserve"> </w:t>
      </w:r>
      <w:bookmarkEnd w:id="0"/>
      <w:r w:rsidR="00D842DD" w:rsidRPr="00D842DD">
        <w:rPr>
          <w:strike/>
        </w:rPr>
        <w:t>o rychlosti</w:t>
      </w:r>
      <w:r w:rsidR="00D842DD">
        <w:t xml:space="preserve"> </w:t>
      </w:r>
      <w:commentRangeStart w:id="1"/>
      <w:r w:rsidRPr="00D842DD">
        <w:rPr>
          <w:u w:val="single"/>
        </w:rPr>
        <w:t xml:space="preserve">o </w:t>
      </w:r>
      <w:r w:rsidR="00D842DD" w:rsidRPr="00D842DD">
        <w:rPr>
          <w:u w:val="single"/>
        </w:rPr>
        <w:t>šířce pásma</w:t>
      </w:r>
      <w:r>
        <w:t xml:space="preserve"> </w:t>
      </w:r>
      <w:commentRangeEnd w:id="1"/>
      <w:r w:rsidR="00C62771">
        <w:rPr>
          <w:rStyle w:val="Odkaznakoment"/>
        </w:rPr>
        <w:commentReference w:id="1"/>
      </w:r>
      <w:r w:rsidRPr="00953373">
        <w:rPr>
          <w:strike/>
        </w:rPr>
        <w:t>od</w:t>
      </w:r>
      <w:r>
        <w:t xml:space="preserve"> 1 </w:t>
      </w:r>
      <w:proofErr w:type="spellStart"/>
      <w:r>
        <w:t>Gbit</w:t>
      </w:r>
      <w:proofErr w:type="spellEnd"/>
      <w:r>
        <w:t xml:space="preserve">/s, </w:t>
      </w:r>
      <w:r w:rsidR="007B5A3F">
        <w:t>„</w:t>
      </w:r>
      <w:proofErr w:type="spellStart"/>
      <w:r w:rsidRPr="00C77F6C">
        <w:rPr>
          <w:i/>
          <w:iCs/>
        </w:rPr>
        <w:t>upl</w:t>
      </w:r>
      <w:r w:rsidR="00B36566" w:rsidRPr="00C77F6C">
        <w:rPr>
          <w:i/>
          <w:iCs/>
        </w:rPr>
        <w:t>ink</w:t>
      </w:r>
      <w:proofErr w:type="spellEnd"/>
      <w:r w:rsidRPr="00C77F6C">
        <w:rPr>
          <w:i/>
          <w:iCs/>
        </w:rPr>
        <w:t xml:space="preserve"> </w:t>
      </w:r>
      <w:r w:rsidR="00C77F6C" w:rsidRPr="00C77F6C">
        <w:rPr>
          <w:i/>
          <w:iCs/>
        </w:rPr>
        <w:t xml:space="preserve">data </w:t>
      </w:r>
      <w:proofErr w:type="spellStart"/>
      <w:r w:rsidR="00C77F6C" w:rsidRPr="00C77F6C">
        <w:rPr>
          <w:i/>
          <w:iCs/>
        </w:rPr>
        <w:t>rate</w:t>
      </w:r>
      <w:proofErr w:type="spellEnd"/>
      <w:r w:rsidR="007B5A3F">
        <w:rPr>
          <w:i/>
          <w:iCs/>
        </w:rPr>
        <w:t>“</w:t>
      </w:r>
      <w:r w:rsidR="00C77F6C">
        <w:t xml:space="preserve"> </w:t>
      </w:r>
      <w:r w:rsidR="00D842DD" w:rsidRPr="00D842DD">
        <w:rPr>
          <w:strike/>
        </w:rPr>
        <w:t>o rychlosti</w:t>
      </w:r>
      <w:r w:rsidR="00D842DD">
        <w:t xml:space="preserve"> </w:t>
      </w:r>
      <w:r w:rsidRPr="00D842DD">
        <w:rPr>
          <w:u w:val="single"/>
        </w:rPr>
        <w:t xml:space="preserve">o </w:t>
      </w:r>
      <w:r w:rsidR="00D842DD" w:rsidRPr="00D842DD">
        <w:rPr>
          <w:u w:val="single"/>
        </w:rPr>
        <w:t>šířce pásma</w:t>
      </w:r>
      <w:r>
        <w:t xml:space="preserve"> od 200 Mbit/s</w:t>
      </w:r>
      <w:r w:rsidR="006E00BD">
        <w:t xml:space="preserve">, chybovost paketů max. 0,05 %, ztrátovost paketů max. 0,0025 %, obousměrné zpoždění IP paketů max. 10 </w:t>
      </w:r>
      <w:proofErr w:type="spellStart"/>
      <w:r w:rsidR="006E00BD">
        <w:t>ms</w:t>
      </w:r>
      <w:proofErr w:type="spellEnd"/>
      <w:r w:rsidR="006E00BD">
        <w:t xml:space="preserve">, </w:t>
      </w:r>
      <w:r w:rsidR="006E00BD" w:rsidRPr="00953373">
        <w:rPr>
          <w:strike/>
        </w:rPr>
        <w:t>kolísání latence</w:t>
      </w:r>
      <w:r w:rsidR="006E00BD">
        <w:t xml:space="preserve"> </w:t>
      </w:r>
      <w:r w:rsidR="00953373" w:rsidRPr="00953373">
        <w:t xml:space="preserve">kolísání zpoždění </w:t>
      </w:r>
      <w:r w:rsidR="00953373">
        <w:t xml:space="preserve">IP </w:t>
      </w:r>
      <w:r w:rsidR="00953373" w:rsidRPr="00953373">
        <w:t>paketů</w:t>
      </w:r>
      <w:r w:rsidR="00953373">
        <w:t xml:space="preserve"> </w:t>
      </w:r>
      <w:r w:rsidR="006E00BD">
        <w:t xml:space="preserve">max. 2 </w:t>
      </w:r>
      <w:proofErr w:type="spellStart"/>
      <w:r w:rsidR="006E00BD">
        <w:t>ms</w:t>
      </w:r>
      <w:proofErr w:type="spellEnd"/>
      <w:r w:rsidR="006E00BD">
        <w:t xml:space="preserve"> a </w:t>
      </w:r>
      <w:r w:rsidR="006E00BD" w:rsidRPr="00317874">
        <w:rPr>
          <w:strike/>
        </w:rPr>
        <w:t xml:space="preserve">spolehlivost </w:t>
      </w:r>
      <w:r w:rsidR="00FB26A5" w:rsidRPr="00317874">
        <w:rPr>
          <w:strike/>
        </w:rPr>
        <w:t>dosažení těchto parametrů</w:t>
      </w:r>
      <w:r w:rsidR="00FB26A5">
        <w:t xml:space="preserve"> </w:t>
      </w:r>
      <w:r w:rsidR="00317874" w:rsidRPr="00317874">
        <w:t>dostupnost služby</w:t>
      </w:r>
      <w:r w:rsidR="00317874" w:rsidRPr="00317874">
        <w:t xml:space="preserve"> </w:t>
      </w:r>
      <w:r w:rsidR="006E00BD">
        <w:t>min. 99,9 % za rok.</w:t>
      </w:r>
      <w:r w:rsidR="00D842DD">
        <w:t xml:space="preserve"> </w:t>
      </w:r>
    </w:p>
    <w:p w14:paraId="602DB01A" w14:textId="59A183E2" w:rsidR="006E00BD" w:rsidRDefault="006E00BD" w:rsidP="00B121DD">
      <w:pPr>
        <w:jc w:val="both"/>
      </w:pPr>
      <w:r>
        <w:t xml:space="preserve">Sítí VHCN je v případě bezdrátového připojení: a) síť sestávající plně z optických vláken až k základnové stanici (či </w:t>
      </w:r>
      <w:r w:rsidR="006F6F67">
        <w:t xml:space="preserve">obdobnému </w:t>
      </w:r>
      <w:r w:rsidR="00D7127B">
        <w:t xml:space="preserve">bezdrátovému </w:t>
      </w:r>
      <w:r w:rsidR="006F6F67">
        <w:t>přístupovému bodu (</w:t>
      </w:r>
      <w:r w:rsidR="00F0710A">
        <w:t>AP</w:t>
      </w:r>
      <w:r w:rsidR="006F6F67">
        <w:t>)</w:t>
      </w:r>
      <w:r w:rsidR="00F0710A">
        <w:t xml:space="preserve">, tzn. bodu s aktivním </w:t>
      </w:r>
      <w:r w:rsidR="00573FDF">
        <w:t xml:space="preserve">komunikačním </w:t>
      </w:r>
      <w:r w:rsidR="00F0710A">
        <w:t>zařízením</w:t>
      </w:r>
      <w:r w:rsidR="00573FDF">
        <w:t xml:space="preserve"> pro vysílání, přenos a směrování provozu ke a od</w:t>
      </w:r>
      <w:r w:rsidR="00F0710A">
        <w:t> koncov</w:t>
      </w:r>
      <w:r w:rsidR="00573FDF">
        <w:t>ého</w:t>
      </w:r>
      <w:r w:rsidR="00F0710A">
        <w:t xml:space="preserve"> uživatele</w:t>
      </w:r>
      <w:r>
        <w:t xml:space="preserve">), nebo b) jiná bezdrátová síť </w:t>
      </w:r>
      <w:r w:rsidR="0081317B">
        <w:t xml:space="preserve">umožňující na koncovém bodu sítě zajistit </w:t>
      </w:r>
      <w:r w:rsidR="00047ADB">
        <w:rPr>
          <w:i/>
          <w:iCs/>
        </w:rPr>
        <w:t>„</w:t>
      </w:r>
      <w:proofErr w:type="spellStart"/>
      <w:r w:rsidRPr="00C77F6C">
        <w:rPr>
          <w:i/>
          <w:iCs/>
        </w:rPr>
        <w:t>downl</w:t>
      </w:r>
      <w:r w:rsidR="00B36566" w:rsidRPr="00C77F6C">
        <w:rPr>
          <w:i/>
          <w:iCs/>
        </w:rPr>
        <w:t>ink</w:t>
      </w:r>
      <w:proofErr w:type="spellEnd"/>
      <w:r w:rsidRPr="00C77F6C">
        <w:rPr>
          <w:i/>
          <w:iCs/>
        </w:rPr>
        <w:t xml:space="preserve"> </w:t>
      </w:r>
      <w:r w:rsidR="00C77F6C" w:rsidRPr="00C77F6C">
        <w:rPr>
          <w:i/>
          <w:iCs/>
        </w:rPr>
        <w:t xml:space="preserve">data </w:t>
      </w:r>
      <w:proofErr w:type="spellStart"/>
      <w:r w:rsidR="00C77F6C" w:rsidRPr="00C77F6C">
        <w:rPr>
          <w:i/>
          <w:iCs/>
        </w:rPr>
        <w:t>rate</w:t>
      </w:r>
      <w:proofErr w:type="spellEnd"/>
      <w:r w:rsidR="00047ADB">
        <w:rPr>
          <w:i/>
          <w:iCs/>
        </w:rPr>
        <w:t>“</w:t>
      </w:r>
      <w:r w:rsidR="00C77F6C">
        <w:t xml:space="preserve"> </w:t>
      </w:r>
      <w:r>
        <w:t xml:space="preserve">o </w:t>
      </w:r>
      <w:r w:rsidRPr="00D842DD">
        <w:rPr>
          <w:strike/>
        </w:rPr>
        <w:t>rychlosti</w:t>
      </w:r>
      <w:r>
        <w:t xml:space="preserve"> </w:t>
      </w:r>
      <w:r w:rsidR="00D842DD">
        <w:t xml:space="preserve">šířce pásma </w:t>
      </w:r>
      <w:r>
        <w:t xml:space="preserve">od 150 Mbit/s, </w:t>
      </w:r>
      <w:r w:rsidR="00047ADB">
        <w:t>„</w:t>
      </w:r>
      <w:proofErr w:type="spellStart"/>
      <w:r w:rsidRPr="00C77F6C">
        <w:rPr>
          <w:i/>
          <w:iCs/>
        </w:rPr>
        <w:t>upl</w:t>
      </w:r>
      <w:r w:rsidR="00B36566" w:rsidRPr="00C77F6C">
        <w:rPr>
          <w:i/>
          <w:iCs/>
        </w:rPr>
        <w:t>ink</w:t>
      </w:r>
      <w:proofErr w:type="spellEnd"/>
      <w:r w:rsidR="00C77F6C" w:rsidRPr="00C77F6C">
        <w:rPr>
          <w:i/>
          <w:iCs/>
        </w:rPr>
        <w:t xml:space="preserve"> data </w:t>
      </w:r>
      <w:proofErr w:type="spellStart"/>
      <w:r w:rsidR="00C77F6C" w:rsidRPr="00C77F6C">
        <w:rPr>
          <w:i/>
          <w:iCs/>
        </w:rPr>
        <w:t>rate</w:t>
      </w:r>
      <w:proofErr w:type="spellEnd"/>
      <w:r w:rsidR="00047ADB">
        <w:rPr>
          <w:i/>
          <w:iCs/>
        </w:rPr>
        <w:t>“</w:t>
      </w:r>
      <w:r>
        <w:t xml:space="preserve"> o </w:t>
      </w:r>
      <w:r w:rsidRPr="00D842DD">
        <w:rPr>
          <w:strike/>
        </w:rPr>
        <w:t>rychlosti</w:t>
      </w:r>
      <w:r>
        <w:t xml:space="preserve"> </w:t>
      </w:r>
      <w:r w:rsidR="00D842DD">
        <w:t xml:space="preserve">šířce pásma </w:t>
      </w:r>
      <w:r>
        <w:t xml:space="preserve">od 50 Mbit/s, chybovost paketů max. 0,01 %, ztrátovost paketů max. 0,005 %, obousměrné zpoždění IP paketů max. 25 </w:t>
      </w:r>
      <w:proofErr w:type="spellStart"/>
      <w:r>
        <w:t>ms</w:t>
      </w:r>
      <w:proofErr w:type="spellEnd"/>
      <w:r>
        <w:t xml:space="preserve">, </w:t>
      </w:r>
      <w:r w:rsidRPr="00953373">
        <w:rPr>
          <w:strike/>
        </w:rPr>
        <w:t>kolísání latence</w:t>
      </w:r>
      <w:r>
        <w:t xml:space="preserve"> </w:t>
      </w:r>
      <w:r w:rsidR="00953373" w:rsidRPr="00953373">
        <w:t xml:space="preserve">kolísání zpoždění </w:t>
      </w:r>
      <w:r w:rsidR="00953373">
        <w:t xml:space="preserve">IP </w:t>
      </w:r>
      <w:r w:rsidR="00953373" w:rsidRPr="00953373">
        <w:t>paketů</w:t>
      </w:r>
      <w:r w:rsidR="00953373">
        <w:t xml:space="preserve"> </w:t>
      </w:r>
      <w:r>
        <w:t xml:space="preserve">max. 6 </w:t>
      </w:r>
      <w:proofErr w:type="spellStart"/>
      <w:r>
        <w:t>ms</w:t>
      </w:r>
      <w:proofErr w:type="spellEnd"/>
      <w:r>
        <w:t xml:space="preserve"> a </w:t>
      </w:r>
      <w:r w:rsidRPr="00317874">
        <w:rPr>
          <w:strike/>
        </w:rPr>
        <w:t xml:space="preserve">spolehlivost </w:t>
      </w:r>
      <w:r w:rsidR="00FB26A5" w:rsidRPr="00317874">
        <w:rPr>
          <w:strike/>
        </w:rPr>
        <w:t>dosažení těchto parametrů</w:t>
      </w:r>
      <w:r w:rsidR="00FB26A5">
        <w:t xml:space="preserve"> </w:t>
      </w:r>
      <w:r w:rsidR="00317874" w:rsidRPr="00317874">
        <w:t>dostupnost služby</w:t>
      </w:r>
      <w:r w:rsidR="00317874" w:rsidRPr="00317874">
        <w:t xml:space="preserve"> </w:t>
      </w:r>
      <w:r>
        <w:t>min. 99,81 % za rok.</w:t>
      </w:r>
    </w:p>
    <w:p w14:paraId="414515AD" w14:textId="78C1F9FA" w:rsidR="00BC10C9" w:rsidRDefault="00BC10C9" w:rsidP="00B121DD">
      <w:pPr>
        <w:pStyle w:val="Nadpis1"/>
        <w:jc w:val="both"/>
      </w:pPr>
      <w:r>
        <w:t>Nápověda k VHCN (ESD) – FTTH/B, xDSL, CATV</w:t>
      </w:r>
    </w:p>
    <w:p w14:paraId="197587D5" w14:textId="098EE39D" w:rsidR="00BC10C9" w:rsidRDefault="00BC10C9" w:rsidP="00B121DD">
      <w:pPr>
        <w:jc w:val="both"/>
      </w:pPr>
      <w:r>
        <w:t>V případě, že alespoň jedna disponibilní přípojka</w:t>
      </w:r>
      <w:r w:rsidR="00047ADB" w:rsidRPr="00047ADB">
        <w:t xml:space="preserve"> </w:t>
      </w:r>
      <w:r w:rsidR="00047ADB">
        <w:t>v daném adresním místě splňuje podmínky pro koncový bod sítě VHCN</w:t>
      </w:r>
      <w:r>
        <w:t>, vyplňte u daného záznamu "ANO".</w:t>
      </w:r>
    </w:p>
    <w:p w14:paraId="1988ABC6" w14:textId="7FA50BEF" w:rsidR="00142ED7" w:rsidRDefault="00142ED7" w:rsidP="00B121DD">
      <w:pPr>
        <w:jc w:val="both"/>
      </w:pPr>
      <w:r>
        <w:t xml:space="preserve">Definice a parametry pro sítě s velmi vysokou kapacitou (VHCN) vycházejí ze </w:t>
      </w:r>
      <w:hyperlink r:id="rId12" w:history="1">
        <w:r w:rsidRPr="009E1AD2">
          <w:rPr>
            <w:rStyle w:val="Hypertextovodkaz"/>
          </w:rPr>
          <w:t>Směrnice</w:t>
        </w:r>
      </w:hyperlink>
      <w:r>
        <w:t xml:space="preserve"> Evropského parlamentu a Rady (EU) 2018/1972 ze dne 11. prosince 2018, kterou se stanoví evropský kodex pro elektronické komunikace (čl. 2/2 a recitál 13) a ze souvisejících </w:t>
      </w:r>
      <w:hyperlink r:id="rId13" w:history="1">
        <w:r w:rsidRPr="006328C9">
          <w:rPr>
            <w:rStyle w:val="Hypertextovodkaz"/>
          </w:rPr>
          <w:t>Pokynů BEREC pro sítě s velmi vysokou kapacitou</w:t>
        </w:r>
      </w:hyperlink>
      <w:r>
        <w:t xml:space="preserve"> ze dne </w:t>
      </w:r>
      <w:r w:rsidR="006328C9">
        <w:t>1</w:t>
      </w:r>
      <w:r w:rsidR="006328C9" w:rsidRPr="006328C9">
        <w:t>. října 2020.</w:t>
      </w:r>
      <w:r w:rsidR="006328C9">
        <w:t xml:space="preserve"> </w:t>
      </w:r>
      <w:r>
        <w:t>Připojení prostřednictvím VHCN sítí se v kontextu uvedených dokumentů člení na pevné a bezdrátové, přičemž pevným připojením se v</w:t>
      </w:r>
      <w:r w:rsidR="000066A7">
        <w:t>e</w:t>
      </w:r>
      <w:r>
        <w:t> </w:t>
      </w:r>
      <w:r w:rsidR="000066A7">
        <w:t xml:space="preserve">vztahu k </w:t>
      </w:r>
      <w:r>
        <w:t>VHCN rozumí připojení prostřednictvím sítí, které pro přenos dat využívají kovová</w:t>
      </w:r>
      <w:r w:rsidR="00C86F4B">
        <w:t xml:space="preserve"> </w:t>
      </w:r>
      <w:r w:rsidR="00C86F4B" w:rsidRPr="00C86F4B">
        <w:rPr>
          <w:rFonts w:ascii="Calibri" w:eastAsia="Times New Roman" w:hAnsi="Calibri" w:cs="Calibri"/>
        </w:rPr>
        <w:t>(včetně koaxiálních)</w:t>
      </w:r>
      <w:r>
        <w:t xml:space="preserve"> a optická přenosová média. </w:t>
      </w:r>
    </w:p>
    <w:p w14:paraId="14954A90" w14:textId="03684FDE" w:rsidR="00BC10C9" w:rsidRDefault="00BC10C9" w:rsidP="00B121DD">
      <w:pPr>
        <w:jc w:val="both"/>
      </w:pPr>
      <w:r>
        <w:t xml:space="preserve">Sítí VHCN je v případě pevného připojení: a) síť sestávající plně z optických vláken až do budovy, nebo b) jiná pevná síť </w:t>
      </w:r>
      <w:r w:rsidR="0081317B">
        <w:t xml:space="preserve">umožňující na koncovém bodu sítě zajistit </w:t>
      </w:r>
      <w:r w:rsidR="00047ADB">
        <w:t>„</w:t>
      </w:r>
      <w:proofErr w:type="spellStart"/>
      <w:r w:rsidRPr="00C77F6C">
        <w:rPr>
          <w:i/>
          <w:iCs/>
        </w:rPr>
        <w:t>downl</w:t>
      </w:r>
      <w:r w:rsidR="00B36566" w:rsidRPr="00C77F6C">
        <w:rPr>
          <w:i/>
          <w:iCs/>
        </w:rPr>
        <w:t>ink</w:t>
      </w:r>
      <w:proofErr w:type="spellEnd"/>
      <w:r w:rsidRPr="00C77F6C">
        <w:rPr>
          <w:i/>
          <w:iCs/>
        </w:rPr>
        <w:t xml:space="preserve"> </w:t>
      </w:r>
      <w:r w:rsidR="00C77F6C" w:rsidRPr="00C77F6C">
        <w:rPr>
          <w:i/>
          <w:iCs/>
        </w:rPr>
        <w:t xml:space="preserve">data </w:t>
      </w:r>
      <w:proofErr w:type="spellStart"/>
      <w:r w:rsidR="00C77F6C" w:rsidRPr="00C77F6C">
        <w:rPr>
          <w:i/>
          <w:iCs/>
        </w:rPr>
        <w:t>rate</w:t>
      </w:r>
      <w:proofErr w:type="spellEnd"/>
      <w:r w:rsidR="00047ADB">
        <w:rPr>
          <w:i/>
          <w:iCs/>
        </w:rPr>
        <w:t>“</w:t>
      </w:r>
      <w:r w:rsidR="00C77F6C">
        <w:t xml:space="preserve"> </w:t>
      </w:r>
      <w:r>
        <w:t xml:space="preserve">o </w:t>
      </w:r>
      <w:r w:rsidRPr="00841185">
        <w:rPr>
          <w:strike/>
        </w:rPr>
        <w:t>rychlosti</w:t>
      </w:r>
      <w:r>
        <w:t xml:space="preserve"> </w:t>
      </w:r>
      <w:r w:rsidR="00841185">
        <w:t xml:space="preserve">šířce pásma </w:t>
      </w:r>
      <w:r w:rsidRPr="00841185">
        <w:rPr>
          <w:strike/>
        </w:rPr>
        <w:t>od</w:t>
      </w:r>
      <w:r>
        <w:t xml:space="preserve"> 1 </w:t>
      </w:r>
      <w:proofErr w:type="spellStart"/>
      <w:r>
        <w:t>Gbit</w:t>
      </w:r>
      <w:proofErr w:type="spellEnd"/>
      <w:r>
        <w:t xml:space="preserve">/s, </w:t>
      </w:r>
      <w:r w:rsidR="00047ADB">
        <w:t>„</w:t>
      </w:r>
      <w:proofErr w:type="spellStart"/>
      <w:r w:rsidRPr="00C77F6C">
        <w:rPr>
          <w:i/>
          <w:iCs/>
        </w:rPr>
        <w:t>upl</w:t>
      </w:r>
      <w:r w:rsidR="00B36566" w:rsidRPr="00C77F6C">
        <w:rPr>
          <w:i/>
          <w:iCs/>
        </w:rPr>
        <w:t>ink</w:t>
      </w:r>
      <w:proofErr w:type="spellEnd"/>
      <w:r w:rsidR="00C77F6C" w:rsidRPr="00C77F6C">
        <w:rPr>
          <w:i/>
          <w:iCs/>
        </w:rPr>
        <w:t xml:space="preserve"> data </w:t>
      </w:r>
      <w:proofErr w:type="spellStart"/>
      <w:r w:rsidR="00C77F6C" w:rsidRPr="00C77F6C">
        <w:rPr>
          <w:i/>
          <w:iCs/>
        </w:rPr>
        <w:t>rate</w:t>
      </w:r>
      <w:proofErr w:type="spellEnd"/>
      <w:r w:rsidR="00047ADB">
        <w:rPr>
          <w:i/>
          <w:iCs/>
        </w:rPr>
        <w:t>“</w:t>
      </w:r>
      <w:r>
        <w:t xml:space="preserve"> o </w:t>
      </w:r>
      <w:r w:rsidRPr="00841185">
        <w:rPr>
          <w:strike/>
        </w:rPr>
        <w:t>rychlosti</w:t>
      </w:r>
      <w:r>
        <w:t xml:space="preserve"> </w:t>
      </w:r>
      <w:r w:rsidR="00841185">
        <w:t xml:space="preserve">šířce pásma </w:t>
      </w:r>
      <w:r>
        <w:t xml:space="preserve">od 200 Mbit/s, chybovost paketů max. 0,05 %, ztrátovost paketů max. 0,0025 %, obousměrné zpoždění IP paketů max. 10 </w:t>
      </w:r>
      <w:proofErr w:type="spellStart"/>
      <w:r>
        <w:t>ms</w:t>
      </w:r>
      <w:proofErr w:type="spellEnd"/>
      <w:r>
        <w:t xml:space="preserve">, </w:t>
      </w:r>
      <w:r w:rsidRPr="00317874">
        <w:rPr>
          <w:strike/>
        </w:rPr>
        <w:t>kolísání latence</w:t>
      </w:r>
      <w:r>
        <w:t xml:space="preserve"> </w:t>
      </w:r>
      <w:r w:rsidR="00317874" w:rsidRPr="00953373">
        <w:t xml:space="preserve">kolísání zpoždění </w:t>
      </w:r>
      <w:r w:rsidR="00317874">
        <w:t xml:space="preserve">IP </w:t>
      </w:r>
      <w:r w:rsidR="00317874" w:rsidRPr="00953373">
        <w:t>paketů</w:t>
      </w:r>
      <w:r w:rsidR="00317874">
        <w:t xml:space="preserve"> </w:t>
      </w:r>
      <w:r>
        <w:t xml:space="preserve">max. 2 </w:t>
      </w:r>
      <w:proofErr w:type="spellStart"/>
      <w:r>
        <w:t>ms</w:t>
      </w:r>
      <w:proofErr w:type="spellEnd"/>
      <w:r>
        <w:t xml:space="preserve"> a </w:t>
      </w:r>
      <w:r w:rsidRPr="00317874">
        <w:rPr>
          <w:strike/>
        </w:rPr>
        <w:t xml:space="preserve">spolehlivost </w:t>
      </w:r>
      <w:r w:rsidR="00B82092" w:rsidRPr="00317874">
        <w:rPr>
          <w:strike/>
        </w:rPr>
        <w:t>dosažení těchto parametrů</w:t>
      </w:r>
      <w:r w:rsidR="00317874">
        <w:t xml:space="preserve"> </w:t>
      </w:r>
      <w:r w:rsidR="00317874" w:rsidRPr="00317874">
        <w:t>dostupnost služby</w:t>
      </w:r>
      <w:r w:rsidR="00B82092">
        <w:t xml:space="preserve"> </w:t>
      </w:r>
      <w:r>
        <w:t>min. 99,9 % za rok.</w:t>
      </w:r>
    </w:p>
    <w:p w14:paraId="04BD5EDE" w14:textId="77777777" w:rsidR="00047ADB" w:rsidRDefault="00BC10C9" w:rsidP="00B121DD">
      <w:pPr>
        <w:pStyle w:val="Nadpis1"/>
        <w:jc w:val="both"/>
      </w:pPr>
      <w:r>
        <w:lastRenderedPageBreak/>
        <w:t xml:space="preserve">Nápověda k VHCN (ESD) – </w:t>
      </w:r>
      <w:r w:rsidR="00047ADB" w:rsidRPr="00047ADB">
        <w:t>„bezdrátový přístup v licen</w:t>
      </w:r>
      <w:r w:rsidR="00047ADB">
        <w:t>c</w:t>
      </w:r>
      <w:r w:rsidR="00047ADB" w:rsidRPr="00047ADB">
        <w:t>ovaných pásmech“ a „bezdrátový přístup ve volných pásmech“</w:t>
      </w:r>
    </w:p>
    <w:p w14:paraId="402EF2D9" w14:textId="7556528E" w:rsidR="00BC10C9" w:rsidRDefault="00BC10C9" w:rsidP="00B121DD">
      <w:pPr>
        <w:pStyle w:val="Nadpis1"/>
        <w:jc w:val="both"/>
      </w:pPr>
    </w:p>
    <w:p w14:paraId="088E376C" w14:textId="77777777" w:rsidR="00047ADB" w:rsidRDefault="00047ADB" w:rsidP="00B121DD">
      <w:pPr>
        <w:jc w:val="both"/>
      </w:pPr>
    </w:p>
    <w:p w14:paraId="52F0E37B" w14:textId="77777777" w:rsidR="00047ADB" w:rsidRDefault="00047ADB" w:rsidP="00047ADB">
      <w:pPr>
        <w:jc w:val="both"/>
      </w:pPr>
      <w:r>
        <w:t>V případě, že alespoň jedna disponibilní přípojka</w:t>
      </w:r>
      <w:r w:rsidRPr="00047ADB">
        <w:t xml:space="preserve"> </w:t>
      </w:r>
      <w:r>
        <w:t>v daném adresním místě splňuje podmínky pro koncový bod sítě VHCN, vyplňte u daného záznamu "ANO".</w:t>
      </w:r>
    </w:p>
    <w:p w14:paraId="4D3ED566" w14:textId="13D6DD38" w:rsidR="00142ED7" w:rsidRDefault="00142ED7" w:rsidP="00B121DD">
      <w:pPr>
        <w:jc w:val="both"/>
      </w:pPr>
      <w:r>
        <w:t xml:space="preserve">Definice a parametry pro sítě s velmi vysokou kapacitou (VHCN) vycházejí ze </w:t>
      </w:r>
      <w:hyperlink r:id="rId14" w:history="1">
        <w:r w:rsidRPr="009E1AD2">
          <w:rPr>
            <w:rStyle w:val="Hypertextovodkaz"/>
          </w:rPr>
          <w:t>Směrnice</w:t>
        </w:r>
      </w:hyperlink>
      <w:r>
        <w:t xml:space="preserve"> Evropského parlamentu a Rady (EU) 2018/1972 ze dne 11. prosince 2018, kterou se stanoví evropský kodex pro elektronické komunikace (čl. 2/2 a recitál 13) a ze souvisejících </w:t>
      </w:r>
      <w:hyperlink r:id="rId15" w:history="1">
        <w:r w:rsidRPr="006328C9">
          <w:rPr>
            <w:rStyle w:val="Hypertextovodkaz"/>
          </w:rPr>
          <w:t>Pokynů BEREC pro sítě s velmi vysokou kapacitou</w:t>
        </w:r>
      </w:hyperlink>
      <w:r>
        <w:t xml:space="preserve"> ze </w:t>
      </w:r>
      <w:r w:rsidR="006328C9" w:rsidRPr="006328C9">
        <w:t xml:space="preserve">dne </w:t>
      </w:r>
      <w:r w:rsidR="006328C9">
        <w:t>1</w:t>
      </w:r>
      <w:r w:rsidR="006328C9" w:rsidRPr="006328C9">
        <w:t>. října 2020.</w:t>
      </w:r>
      <w:r w:rsidR="006328C9">
        <w:t xml:space="preserve"> </w:t>
      </w:r>
      <w:r>
        <w:t>Připojení prostřednictvím VHCN sítí se v kontextu uvedených dokumentů člení na pevné a bezdrátové, přičemž pevným připojením se v</w:t>
      </w:r>
      <w:r w:rsidR="000066A7">
        <w:t>e</w:t>
      </w:r>
      <w:r>
        <w:t> </w:t>
      </w:r>
      <w:r w:rsidR="000066A7">
        <w:t xml:space="preserve">vztahu k </w:t>
      </w:r>
      <w:r>
        <w:t xml:space="preserve">VHCN rozumí připojení prostřednictvím sítí, které pro přenos dat využívají kovová </w:t>
      </w:r>
      <w:r w:rsidR="00C86F4B" w:rsidRPr="00C86F4B">
        <w:rPr>
          <w:rFonts w:ascii="Calibri" w:eastAsia="Times New Roman" w:hAnsi="Calibri" w:cs="Calibri"/>
        </w:rPr>
        <w:t>(včetně koaxiálních)</w:t>
      </w:r>
      <w:r w:rsidR="00C86F4B">
        <w:rPr>
          <w:rFonts w:ascii="Calibri" w:eastAsia="Times New Roman" w:hAnsi="Calibri" w:cs="Calibri"/>
        </w:rPr>
        <w:t xml:space="preserve"> </w:t>
      </w:r>
      <w:r>
        <w:t xml:space="preserve">a optická přenosová média. </w:t>
      </w:r>
    </w:p>
    <w:p w14:paraId="03263F96" w14:textId="5C93CFED" w:rsidR="00BC10C9" w:rsidRDefault="00BC10C9" w:rsidP="00B121DD">
      <w:pPr>
        <w:jc w:val="both"/>
      </w:pPr>
      <w:r>
        <w:t xml:space="preserve">Sítí VHCN je v případě bezdrátového připojení: a) síť sestávající plně z optických vláken až k základnové stanici (či obdobnému </w:t>
      </w:r>
      <w:r w:rsidR="00D7127B">
        <w:t xml:space="preserve">bezdrátovému </w:t>
      </w:r>
      <w:r>
        <w:t xml:space="preserve">přístupovému bodu (AP), tzn. bodu s aktivním komunikačním zařízením pro vysílání, přenos a směrování provozu ke a od koncového uživatele), nebo b) jiná bezdrátová síť </w:t>
      </w:r>
      <w:r w:rsidR="0081317B">
        <w:t xml:space="preserve">umožňující na koncovém bodu sítě zajistit </w:t>
      </w:r>
      <w:r w:rsidR="00047ADB">
        <w:t>„</w:t>
      </w:r>
      <w:proofErr w:type="spellStart"/>
      <w:r w:rsidRPr="00C77F6C">
        <w:rPr>
          <w:i/>
          <w:iCs/>
        </w:rPr>
        <w:t>downl</w:t>
      </w:r>
      <w:r w:rsidR="00B36566" w:rsidRPr="00C77F6C">
        <w:rPr>
          <w:i/>
          <w:iCs/>
        </w:rPr>
        <w:t>ink</w:t>
      </w:r>
      <w:proofErr w:type="spellEnd"/>
      <w:r w:rsidR="00C77F6C" w:rsidRPr="00C77F6C">
        <w:rPr>
          <w:i/>
          <w:iCs/>
        </w:rPr>
        <w:t xml:space="preserve"> data </w:t>
      </w:r>
      <w:proofErr w:type="spellStart"/>
      <w:r w:rsidR="00C77F6C" w:rsidRPr="00C77F6C">
        <w:rPr>
          <w:i/>
          <w:iCs/>
        </w:rPr>
        <w:t>rate</w:t>
      </w:r>
      <w:proofErr w:type="spellEnd"/>
      <w:r w:rsidR="00047ADB">
        <w:rPr>
          <w:i/>
          <w:iCs/>
        </w:rPr>
        <w:t>“</w:t>
      </w:r>
      <w:r>
        <w:t xml:space="preserve"> o </w:t>
      </w:r>
      <w:r w:rsidRPr="00841185">
        <w:rPr>
          <w:strike/>
        </w:rPr>
        <w:t>rychlosti</w:t>
      </w:r>
      <w:r>
        <w:t xml:space="preserve"> </w:t>
      </w:r>
      <w:r w:rsidR="00841185">
        <w:t xml:space="preserve">šířce pásma </w:t>
      </w:r>
      <w:r>
        <w:t xml:space="preserve">od 150 Mbit/s, </w:t>
      </w:r>
      <w:r w:rsidR="00047ADB">
        <w:t>„</w:t>
      </w:r>
      <w:proofErr w:type="spellStart"/>
      <w:r w:rsidRPr="00C77F6C">
        <w:rPr>
          <w:i/>
          <w:iCs/>
        </w:rPr>
        <w:t>upl</w:t>
      </w:r>
      <w:r w:rsidR="00B36566" w:rsidRPr="00C77F6C">
        <w:rPr>
          <w:i/>
          <w:iCs/>
        </w:rPr>
        <w:t>ink</w:t>
      </w:r>
      <w:proofErr w:type="spellEnd"/>
      <w:r w:rsidR="00C77F6C" w:rsidRPr="00C77F6C">
        <w:rPr>
          <w:i/>
          <w:iCs/>
        </w:rPr>
        <w:t xml:space="preserve"> data </w:t>
      </w:r>
      <w:proofErr w:type="spellStart"/>
      <w:r w:rsidR="00C77F6C" w:rsidRPr="00C77F6C">
        <w:rPr>
          <w:i/>
          <w:iCs/>
        </w:rPr>
        <w:t>rate</w:t>
      </w:r>
      <w:proofErr w:type="spellEnd"/>
      <w:r w:rsidR="00047ADB">
        <w:rPr>
          <w:i/>
          <w:iCs/>
        </w:rPr>
        <w:t>“</w:t>
      </w:r>
      <w:r>
        <w:t xml:space="preserve"> o </w:t>
      </w:r>
      <w:r w:rsidRPr="00841185">
        <w:rPr>
          <w:strike/>
        </w:rPr>
        <w:t>rychlosti</w:t>
      </w:r>
      <w:r>
        <w:t xml:space="preserve"> </w:t>
      </w:r>
      <w:r w:rsidR="00841185">
        <w:t xml:space="preserve">šířce pásma </w:t>
      </w:r>
      <w:r>
        <w:t xml:space="preserve">od 50 Mbit/s, chybovost paketů max. 0,01 %, ztrátovost paketů max. 0,005 %, obousměrné zpoždění IP paketů max. 25 </w:t>
      </w:r>
      <w:proofErr w:type="spellStart"/>
      <w:r>
        <w:t>ms</w:t>
      </w:r>
      <w:proofErr w:type="spellEnd"/>
      <w:r>
        <w:t xml:space="preserve">, </w:t>
      </w:r>
      <w:r w:rsidRPr="00953373">
        <w:rPr>
          <w:strike/>
        </w:rPr>
        <w:t>kolísání latence</w:t>
      </w:r>
      <w:r>
        <w:t xml:space="preserve"> </w:t>
      </w:r>
      <w:r w:rsidR="00953373" w:rsidRPr="00953373">
        <w:t xml:space="preserve">kolísání zpoždění </w:t>
      </w:r>
      <w:r w:rsidR="00953373">
        <w:t xml:space="preserve">IP </w:t>
      </w:r>
      <w:r w:rsidR="00953373" w:rsidRPr="00953373">
        <w:t>paketů</w:t>
      </w:r>
      <w:r w:rsidR="00953373">
        <w:t xml:space="preserve"> </w:t>
      </w:r>
      <w:r>
        <w:t xml:space="preserve">max. 6 </w:t>
      </w:r>
      <w:proofErr w:type="spellStart"/>
      <w:r>
        <w:t>ms</w:t>
      </w:r>
      <w:proofErr w:type="spellEnd"/>
      <w:r>
        <w:t xml:space="preserve"> a </w:t>
      </w:r>
      <w:r w:rsidRPr="00317874">
        <w:rPr>
          <w:strike/>
        </w:rPr>
        <w:t xml:space="preserve">spolehlivost </w:t>
      </w:r>
      <w:r w:rsidR="00B82092" w:rsidRPr="00317874">
        <w:rPr>
          <w:strike/>
        </w:rPr>
        <w:t>dosažení těchto parametrů</w:t>
      </w:r>
      <w:r w:rsidR="00317874">
        <w:t xml:space="preserve"> </w:t>
      </w:r>
      <w:r w:rsidR="00317874" w:rsidRPr="00317874">
        <w:t>dostupnost služby</w:t>
      </w:r>
      <w:r w:rsidR="00B82092">
        <w:t xml:space="preserve"> </w:t>
      </w:r>
      <w:r>
        <w:t>min. 99,81 % za rok.</w:t>
      </w:r>
    </w:p>
    <w:p w14:paraId="53C9B01C" w14:textId="77777777" w:rsidR="00BC4FFB" w:rsidRDefault="00BC4FFB" w:rsidP="00B121DD">
      <w:pPr>
        <w:jc w:val="both"/>
      </w:pPr>
    </w:p>
    <w:sectPr w:rsidR="00BC4FFB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Jakub Rejzek" w:date="2020-10-30T15:27:00Z" w:initials="JR">
    <w:p w14:paraId="34132C04" w14:textId="4AB66CE9" w:rsidR="00C62771" w:rsidRDefault="00C62771" w:rsidP="00C62771">
      <w:pPr>
        <w:pStyle w:val="Textkomente"/>
      </w:pPr>
      <w:r>
        <w:rPr>
          <w:rStyle w:val="Odkaznakoment"/>
        </w:rPr>
        <w:annotationRef/>
      </w:r>
      <w:r>
        <w:t xml:space="preserve">Základní popis VHCN sítě navádí k závěru, že přípojka nevyhovuje definici VHCN, pokud například běžně poskytuje rychlost připojení k internetu rychlost například 500Mbps. To však není pravda. Pravda je, že síťová rychlost přípojky odpovídající definici má umožnit využití šíře pásma s rychlostí 1 Gbps, což garantuje službu přístupu k internetu (TCP) s rychlostí vyšší nežli 100 Mbps (Definice </w:t>
      </w:r>
      <w:hyperlink r:id="rId1" w:history="1">
        <w:r w:rsidRPr="001E5D85">
          <w:rPr>
            <w:rStyle w:val="Hypertextovodkaz"/>
          </w:rPr>
          <w:t>v kodexu</w:t>
        </w:r>
      </w:hyperlink>
      <w:r>
        <w:t xml:space="preserve"> odstavec 63).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4132C0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6AF77" w16cex:dateUtc="2020-10-30T14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4132C04" w16cid:durableId="2346AF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FBF678" w14:textId="77777777" w:rsidR="00F7748D" w:rsidRDefault="00F7748D" w:rsidP="00B121DD">
      <w:pPr>
        <w:spacing w:after="0" w:line="240" w:lineRule="auto"/>
      </w:pPr>
      <w:r>
        <w:separator/>
      </w:r>
    </w:p>
  </w:endnote>
  <w:endnote w:type="continuationSeparator" w:id="0">
    <w:p w14:paraId="69EE2BAD" w14:textId="77777777" w:rsidR="00F7748D" w:rsidRDefault="00F7748D" w:rsidP="00B1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0121141"/>
      <w:docPartObj>
        <w:docPartGallery w:val="Page Numbers (Bottom of Page)"/>
        <w:docPartUnique/>
      </w:docPartObj>
    </w:sdtPr>
    <w:sdtEndPr/>
    <w:sdtContent>
      <w:p w14:paraId="6D8A5EA6" w14:textId="60AB4C4D" w:rsidR="00230B31" w:rsidRDefault="00230B3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703648" w14:textId="77777777" w:rsidR="00230B31" w:rsidRDefault="00230B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529CD" w14:textId="77777777" w:rsidR="00F7748D" w:rsidRDefault="00F7748D" w:rsidP="00B121DD">
      <w:pPr>
        <w:spacing w:after="0" w:line="240" w:lineRule="auto"/>
      </w:pPr>
      <w:r>
        <w:separator/>
      </w:r>
    </w:p>
  </w:footnote>
  <w:footnote w:type="continuationSeparator" w:id="0">
    <w:p w14:paraId="448566DA" w14:textId="77777777" w:rsidR="00F7748D" w:rsidRDefault="00F7748D" w:rsidP="00B121DD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akub Rejzek">
    <w15:presenceInfo w15:providerId="Windows Live" w15:userId="972e870e409ad0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1C"/>
    <w:rsid w:val="000066A7"/>
    <w:rsid w:val="000276BC"/>
    <w:rsid w:val="00045A86"/>
    <w:rsid w:val="00047ADB"/>
    <w:rsid w:val="000B1913"/>
    <w:rsid w:val="000F1748"/>
    <w:rsid w:val="00104DE1"/>
    <w:rsid w:val="00110210"/>
    <w:rsid w:val="00142A1C"/>
    <w:rsid w:val="00142ED7"/>
    <w:rsid w:val="001C0647"/>
    <w:rsid w:val="001D5069"/>
    <w:rsid w:val="0022339B"/>
    <w:rsid w:val="00230B31"/>
    <w:rsid w:val="002E0079"/>
    <w:rsid w:val="00317874"/>
    <w:rsid w:val="003833E9"/>
    <w:rsid w:val="00441972"/>
    <w:rsid w:val="0048289A"/>
    <w:rsid w:val="004D2E53"/>
    <w:rsid w:val="00554D29"/>
    <w:rsid w:val="00573FDF"/>
    <w:rsid w:val="0060005A"/>
    <w:rsid w:val="006308F6"/>
    <w:rsid w:val="006328C9"/>
    <w:rsid w:val="00640BFD"/>
    <w:rsid w:val="00671148"/>
    <w:rsid w:val="006E00BD"/>
    <w:rsid w:val="006E2D3D"/>
    <w:rsid w:val="006E65ED"/>
    <w:rsid w:val="006F6F67"/>
    <w:rsid w:val="0076373E"/>
    <w:rsid w:val="007A64E6"/>
    <w:rsid w:val="007B5A3F"/>
    <w:rsid w:val="0081317B"/>
    <w:rsid w:val="00841185"/>
    <w:rsid w:val="00843480"/>
    <w:rsid w:val="0084769C"/>
    <w:rsid w:val="00953373"/>
    <w:rsid w:val="009E1AD2"/>
    <w:rsid w:val="00A04D9D"/>
    <w:rsid w:val="00A669F2"/>
    <w:rsid w:val="00A67160"/>
    <w:rsid w:val="00B121DD"/>
    <w:rsid w:val="00B36566"/>
    <w:rsid w:val="00B42D98"/>
    <w:rsid w:val="00B441AD"/>
    <w:rsid w:val="00B82092"/>
    <w:rsid w:val="00BC10C9"/>
    <w:rsid w:val="00BC4FFB"/>
    <w:rsid w:val="00C62771"/>
    <w:rsid w:val="00C77F6C"/>
    <w:rsid w:val="00C86F4B"/>
    <w:rsid w:val="00C920A6"/>
    <w:rsid w:val="00CD71C0"/>
    <w:rsid w:val="00D7127B"/>
    <w:rsid w:val="00D842DD"/>
    <w:rsid w:val="00DD6CCB"/>
    <w:rsid w:val="00EB2DCA"/>
    <w:rsid w:val="00EB3F53"/>
    <w:rsid w:val="00EC5EDE"/>
    <w:rsid w:val="00ED639F"/>
    <w:rsid w:val="00EF2B03"/>
    <w:rsid w:val="00F0710A"/>
    <w:rsid w:val="00F7748D"/>
    <w:rsid w:val="00F80757"/>
    <w:rsid w:val="00FB26A5"/>
    <w:rsid w:val="00FD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EF51"/>
  <w15:chartTrackingRefBased/>
  <w15:docId w15:val="{49F13899-1BEF-44BE-B5B6-E1AC0629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42A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2A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9E1AD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E1AD2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FF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C4F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C4F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C4F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4F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4FFB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B121DD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12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21DD"/>
  </w:style>
  <w:style w:type="paragraph" w:styleId="Zpat">
    <w:name w:val="footer"/>
    <w:basedOn w:val="Normln"/>
    <w:link w:val="ZpatChar"/>
    <w:uiPriority w:val="99"/>
    <w:unhideWhenUsed/>
    <w:rsid w:val="00B12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2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CS/TXT/PDF/?uri=CELEX:32018L1972&amp;from=en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berec.europa.eu/eng/document_register/subject_matter/berec/download/0/9439-berec-guidelines-on-very-high-capacity-n_0.pdf" TargetMode="External"/><Relationship Id="rId1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yperlink" Target="https://berec.europa.eu/eng/document_register/subject_matter/berec/download/0/9439-berec-guidelines-on-very-high-capacity-n_0.pdf" TargetMode="External"/><Relationship Id="rId12" Type="http://schemas.openxmlformats.org/officeDocument/2006/relationships/hyperlink" Target="https://eur-lex.europa.eu/legal-content/CS/TXT/HTML/?uri=CELEX:52016PC0590&amp;from=EN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eur-lex.europa.eu/legal-content/CS/TXT/HTML/?uri=CELEX:32018L1972&amp;from=en" TargetMode="External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5" Type="http://schemas.openxmlformats.org/officeDocument/2006/relationships/hyperlink" Target="https://berec.europa.eu/eng/document_register/subject_matter/berec/download/0/9439-berec-guidelines-on-very-high-capacity-n_0.pdf" TargetMode="Externa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commentsExtended" Target="commentsExtended.xml"/><Relationship Id="rId14" Type="http://schemas.openxmlformats.org/officeDocument/2006/relationships/hyperlink" Target="https://eur-lex.europa.eu/legal-content/CS/TXT/HTML/?uri=CELEX:52016PC0590&amp;from=E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799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 Jan</dc:creator>
  <cp:keywords/>
  <dc:description/>
  <cp:lastModifiedBy>Jakub Rejzek</cp:lastModifiedBy>
  <cp:revision>2</cp:revision>
  <cp:lastPrinted>2020-09-07T08:16:00Z</cp:lastPrinted>
  <dcterms:created xsi:type="dcterms:W3CDTF">2020-10-30T14:29:00Z</dcterms:created>
  <dcterms:modified xsi:type="dcterms:W3CDTF">2020-10-30T14:29:00Z</dcterms:modified>
</cp:coreProperties>
</file>