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6C" w:rsidRDefault="00903B6C">
      <w:pPr>
        <w:spacing w:after="0"/>
      </w:pPr>
      <w:bookmarkStart w:id="0" w:name="_GoBack"/>
      <w:bookmarkEnd w:id="0"/>
    </w:p>
    <w:p w:rsidR="00903B6C" w:rsidRDefault="00060EEB">
      <w:pPr>
        <w:spacing w:after="0"/>
        <w:jc w:val="center"/>
      </w:pPr>
      <w:r>
        <w:rPr>
          <w:rFonts w:ascii="Calibri" w:hAnsi="Calibri"/>
          <w:color w:val="0000FF"/>
        </w:rPr>
        <w:t> </w:t>
      </w:r>
    </w:p>
    <w:p w:rsidR="00903B6C" w:rsidRDefault="00060EEB">
      <w:pPr>
        <w:spacing w:after="0"/>
        <w:jc w:val="center"/>
      </w:pPr>
      <w:bookmarkStart w:id="1" w:name="document_fragment_onrf6mrqga4v6nbrgywto"/>
      <w:r>
        <w:rPr>
          <w:rFonts w:ascii="Calibri" w:hAnsi="Calibri"/>
          <w:color w:val="000000"/>
        </w:rPr>
        <w:t xml:space="preserve">                                       </w:t>
      </w:r>
      <w:r>
        <w:rPr>
          <w:rFonts w:ascii="Calibri" w:hAnsi="Calibri"/>
          <w:color w:val="0000FF"/>
        </w:rPr>
        <w:t> </w:t>
      </w:r>
    </w:p>
    <w:p w:rsidR="00903B6C" w:rsidRDefault="00060EEB">
      <w:pPr>
        <w:spacing w:after="0"/>
        <w:jc w:val="center"/>
      </w:pPr>
      <w:bookmarkStart w:id="2" w:name="ca1"/>
      <w:bookmarkStart w:id="3" w:name="document_fragment_onrf6mrqga4v6nbrgyxggy"/>
      <w:r>
        <w:rPr>
          <w:rFonts w:ascii="Calibri" w:hAnsi="Calibri"/>
          <w:b/>
          <w:color w:val="BA3347"/>
          <w:sz w:val="20"/>
        </w:rPr>
        <w:t>Část první</w:t>
      </w:r>
    </w:p>
    <w:p w:rsidR="00903B6C" w:rsidRDefault="00060EEB">
      <w:pPr>
        <w:spacing w:after="0"/>
        <w:jc w:val="center"/>
      </w:pPr>
      <w:r>
        <w:rPr>
          <w:rFonts w:ascii="Calibri" w:hAnsi="Calibri"/>
          <w:b/>
          <w:color w:val="000000"/>
          <w:sz w:val="26"/>
        </w:rPr>
        <w:t xml:space="preserve">               Urychlení výstavby dopravní, vodní a energetické infrastruktury                a infrastruktury elektronických komunikací                (§ 1-5)            </w:t>
      </w:r>
    </w:p>
    <w:bookmarkEnd w:id="2"/>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4" w:name="pf1"/>
      <w:r>
        <w:rPr>
          <w:rFonts w:ascii="Calibri" w:hAnsi="Calibri"/>
          <w:b/>
          <w:color w:val="BA3347"/>
          <w:sz w:val="20"/>
        </w:rPr>
        <w:t>§ 1</w:t>
      </w:r>
    </w:p>
    <w:tbl>
      <w:tblPr>
        <w:tblW w:w="0" w:type="auto"/>
        <w:tblCellSpacing w:w="0" w:type="dxa"/>
        <w:tblLook w:val="04A0" w:firstRow="1" w:lastRow="0" w:firstColumn="1" w:lastColumn="0" w:noHBand="0" w:noVBand="1"/>
      </w:tblPr>
      <w:tblGrid>
        <w:gridCol w:w="274"/>
        <w:gridCol w:w="60"/>
        <w:gridCol w:w="8663"/>
        <w:gridCol w:w="30"/>
      </w:tblGrid>
      <w:tr w:rsidR="00903B6C">
        <w:trPr>
          <w:trHeight w:val="30"/>
          <w:tblCellSpacing w:w="0" w:type="dxa"/>
        </w:trPr>
        <w:tc>
          <w:tcPr>
            <w:tcW w:w="380" w:type="dxa"/>
            <w:gridSpan w:val="2"/>
            <w:tcMar>
              <w:top w:w="30" w:type="dxa"/>
              <w:left w:w="15" w:type="dxa"/>
              <w:bottom w:w="15" w:type="dxa"/>
              <w:right w:w="15" w:type="dxa"/>
            </w:tcMar>
          </w:tcPr>
          <w:bookmarkEnd w:id="4"/>
          <w:p w:rsidR="00903B6C" w:rsidRDefault="00060EEB">
            <w:pPr>
              <w:spacing w:after="0"/>
            </w:pPr>
            <w:r>
              <w:rPr>
                <w:rFonts w:ascii="Calibri" w:hAnsi="Calibri"/>
                <w:color w:val="000000"/>
                <w:sz w:val="20"/>
              </w:rPr>
              <w:t>(1)</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Tento zákon upravuje postupy při přípravě, umisťování a povolování staveb dopravní, vodní a energetické infrastruktury a infrastruktury elektronických komunikací </w:t>
            </w:r>
            <w:r>
              <w:rPr>
                <w:rFonts w:ascii="Calibri" w:hAnsi="Calibri"/>
                <w:color w:val="008000"/>
                <w:u w:val="single"/>
              </w:rPr>
              <w:t>, při získávání práv k pozemkům</w:t>
            </w:r>
            <w:r>
              <w:rPr>
                <w:rFonts w:ascii="Calibri" w:hAnsi="Calibri"/>
                <w:color w:val="444444"/>
              </w:rPr>
              <w:t xml:space="preserve"> a </w:t>
            </w:r>
            <w:r>
              <w:rPr>
                <w:rFonts w:ascii="Calibri" w:hAnsi="Calibri"/>
                <w:color w:val="008000"/>
                <w:u w:val="single"/>
              </w:rPr>
              <w:t>stavbám potřebných pro uskutečnění uvedených staveb</w:t>
            </w:r>
            <w:r>
              <w:rPr>
                <w:rFonts w:ascii="Calibri" w:hAnsi="Calibri"/>
                <w:color w:val="444444"/>
              </w:rPr>
              <w:t xml:space="preserve">  </w:t>
            </w:r>
            <w:r>
              <w:rPr>
                <w:rFonts w:ascii="Calibri" w:hAnsi="Calibri"/>
                <w:color w:val="008000"/>
                <w:u w:val="single"/>
              </w:rPr>
              <w:t>a</w:t>
            </w:r>
            <w:r>
              <w:rPr>
                <w:rFonts w:ascii="Calibri" w:hAnsi="Calibri"/>
                <w:color w:val="444444"/>
              </w:rPr>
              <w:t xml:space="preserve"> uvádění těchto staveb do užívání s cílem urychlit jejich majetkoprávní přípravu, umisťování, povolování a povolování jejich užívání, jakož i vydávání podmiňujících podkladových správních rozhodnutí, a urychlení následného soudního přezkumu všech správních rozhodnutí v souvislosti s těmito stavbami. Tento zákon dále upravuje v návaznosti na přímo použitelný předpis Evropské unie 10 ⁣  výkon státní správy a postup při povolování projektů společného zájmu.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Dopravní infrastrukturou se pro účely tohoto zákona rozumí </w:t>
            </w:r>
          </w:p>
          <w:tbl>
            <w:tblPr>
              <w:tblW w:w="0" w:type="auto"/>
              <w:tblCellSpacing w:w="0" w:type="dxa"/>
              <w:tblLook w:val="04A0" w:firstRow="1" w:lastRow="0" w:firstColumn="1" w:lastColumn="0" w:noHBand="0" w:noVBand="1"/>
            </w:tblPr>
            <w:tblGrid>
              <w:gridCol w:w="315"/>
              <w:gridCol w:w="8303"/>
            </w:tblGrid>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stavby dálnic nebo silnic I. třídy nebo stavby s nimi související,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stavby dráhy celostátní nebo stavby s nimi související,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další  stavby dopravní infrastruktury 1 ⁣  nebo stavby s nimi související umisťované v plochách nebo koridorech vymezených v platné politice územního rozvoje, nebo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v územně plánovací dokumentaci vymezené veřejně prospěšné stavby dopravní infrastruktury 1 ⁣  nebo stavby s nimi související. </w:t>
                  </w:r>
                </w:p>
              </w:tc>
            </w:tr>
          </w:tbl>
          <w:p w:rsidR="00903B6C" w:rsidRDefault="00903B6C"/>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(3)</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Vodní infrastrukturou se pro účely tohoto zákona rozumí </w:t>
            </w:r>
          </w:p>
          <w:tbl>
            <w:tblPr>
              <w:tblW w:w="0" w:type="auto"/>
              <w:tblCellSpacing w:w="0" w:type="dxa"/>
              <w:tblLook w:val="04A0" w:firstRow="1" w:lastRow="0" w:firstColumn="1" w:lastColumn="0" w:noHBand="0" w:noVBand="1"/>
            </w:tblPr>
            <w:tblGrid>
              <w:gridCol w:w="315"/>
              <w:gridCol w:w="8303"/>
            </w:tblGrid>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stavba vodního díla 11 ⁣  umisťovaného v plochách a koridorech vymezených v platné politice územního rozvoje a stavby s ní související, nebo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stavba vodního díla 11 ⁣  budovaná ve veřejném zájmu na ochranu před povodněmi, k prevenci nebo zmírnění následků sucha, jakož i k jiným účelům podle  vodního zákona 11 ⁣  a ve veřejném zájmu, a stavby s ní související. </w:t>
                  </w:r>
                </w:p>
              </w:tc>
            </w:tr>
          </w:tbl>
          <w:p w:rsidR="00903B6C" w:rsidRDefault="00903B6C"/>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(4)</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Energetickou infrastrukturou se pro účely tohoto zákona rozumějí stavby a zařízení elektrizační soustavy, plynárenské soustavy, soustavy zásobování tepelnou energií a stavby a zařízení ropovodů a produktovodů podle jiného zákona zřizované a provozované ve veřejném zájmu 5 ⁣ , pokud nejsou v rozporu s platnou politikou územního rozvoje a se zásadami územního rozvoje. Vybranými stavbami energetické infrastruktury se rozumí </w:t>
            </w:r>
          </w:p>
          <w:tbl>
            <w:tblPr>
              <w:tblW w:w="0" w:type="auto"/>
              <w:tblCellSpacing w:w="0" w:type="dxa"/>
              <w:tblLook w:val="04A0" w:firstRow="1" w:lastRow="0" w:firstColumn="1" w:lastColumn="0" w:noHBand="0" w:noVBand="1"/>
            </w:tblPr>
            <w:tblGrid>
              <w:gridCol w:w="315"/>
              <w:gridCol w:w="8303"/>
            </w:tblGrid>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stavby a zařízení přenosové soustavy,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výrobny elektřiny o celkovém instalovaném výkonu 100 MW a více,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stavby a zařízení přepravní soustavy,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zásobníky plynu,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stavby a zařízení ropovodů a produktovodů,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lastRenderedPageBreak/>
                    <w:t>f)</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stavby a zařízení distribuční soustavy o napětí 110 kV včetně transformovny 110 kV a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stavby a zařízení vysokotlakých plynovodů distribuční soustavy. </w:t>
                  </w:r>
                </w:p>
              </w:tc>
            </w:tr>
          </w:tbl>
          <w:p w:rsidR="00903B6C" w:rsidRDefault="00903B6C"/>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lastRenderedPageBreak/>
              <w:t>(5)</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Infrastrukturou elektronických komunikací se pro účely tohoto zákona rozumí komunikační vedení veřejné komunikační sítě.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10</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Nařízení Evropského parlamentu a Rady (EU) č.  347/2013  ze dne 17. dubna 2013, kterým se stanoví hlavní směry pro transevropské energetické sítě a kterým se zrušuje rozhodnutí č. 1364/2006/ES a mění nařízení (ES) č.  713/2009 , (ES) č. 714/2009 a (ES) č. 715/2009.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2  odst. 1 písm. k) bod 1 zákona č. 183/2006 Sb., o územním plánování a stavebním řádu ( stavební zákon ).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2  odst. 1 písm. k) bod 1 zákona č. 183/2006 Sb., o územním plánování a stavebním řádu ( stavební zákon ).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11</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Zákon č.  254/2001 Sb. , o vodách a o změně některých zákonů, ve znění pozdějších předpisů.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11</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Zákon č.  254/2001 Sb. , o vodách a o změně některých zákonů, ve znění pozdějších předpisů.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11</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Zákon č.  254/2001 Sb. , o vodách a o změně některých zákonů, ve znění pozdějších předpisů.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5</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2  zákona č. 458/2000 Sb., o podmínkách podnikání a o výkonu státní správy v energetických odvětvích a o změně některých zákonů ( energetický zákon ), ve znění pozdějších předpisů. </w:t>
            </w:r>
          </w:p>
          <w:p w:rsidR="00903B6C" w:rsidRDefault="00060EEB">
            <w:pPr>
              <w:spacing w:after="60"/>
              <w:jc w:val="both"/>
            </w:pPr>
            <w:r>
              <w:rPr>
                <w:rFonts w:ascii="Calibri" w:hAnsi="Calibri"/>
                <w:color w:val="444444"/>
              </w:rPr>
              <w:t xml:space="preserve"> Zákon č.  189/1999 Sb. , o nouzových zásobách ropy, o řešení ropné nouze a o změně některých souvisejících zákonů ( zákon o nouzových zásobách ropy ), ve znění pozdějších předpisů.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5" w:name="pf2"/>
      <w:r>
        <w:rPr>
          <w:rFonts w:ascii="Calibri" w:hAnsi="Calibri"/>
          <w:b/>
          <w:color w:val="BA3347"/>
          <w:sz w:val="20"/>
        </w:rPr>
        <w:t>§ 2</w:t>
      </w:r>
    </w:p>
    <w:tbl>
      <w:tblPr>
        <w:tblW w:w="0" w:type="auto"/>
        <w:tblCellSpacing w:w="0" w:type="dxa"/>
        <w:tblLook w:val="04A0" w:firstRow="1" w:lastRow="0" w:firstColumn="1" w:lastColumn="0" w:noHBand="0" w:noVBand="1"/>
      </w:tblPr>
      <w:tblGrid>
        <w:gridCol w:w="268"/>
        <w:gridCol w:w="69"/>
        <w:gridCol w:w="3783"/>
        <w:gridCol w:w="4907"/>
      </w:tblGrid>
      <w:tr w:rsidR="00903B6C">
        <w:trPr>
          <w:trHeight w:val="30"/>
          <w:tblCellSpacing w:w="0" w:type="dxa"/>
        </w:trPr>
        <w:tc>
          <w:tcPr>
            <w:tcW w:w="380" w:type="dxa"/>
            <w:gridSpan w:val="2"/>
            <w:tcMar>
              <w:top w:w="30" w:type="dxa"/>
              <w:left w:w="15" w:type="dxa"/>
              <w:bottom w:w="15" w:type="dxa"/>
              <w:right w:w="15" w:type="dxa"/>
            </w:tcMar>
          </w:tcPr>
          <w:bookmarkEnd w:id="5"/>
          <w:p w:rsidR="00903B6C" w:rsidRDefault="00060EEB">
            <w:pPr>
              <w:spacing w:after="0"/>
            </w:pPr>
            <w:r>
              <w:rPr>
                <w:rFonts w:ascii="Calibri" w:hAnsi="Calibri"/>
                <w:color w:val="000000"/>
                <w:sz w:val="20"/>
              </w:rPr>
              <w:t>(1)</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Vztahuje-li se na řízení tento zákon, příslušný úřad v oznámení o zahájení řízení poučí účastníky o této skutečnosti.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Lhůty pro podání žalob k soudům k přezkoumání nebo nahrazení správních rozhodnutí vydaných v řízeních podle § 1 se zkracují na polovinu. O žalobách rozhodne soud ve lhůtě 90 dnů. Ustanovení předchozí věty obdobně platí i pro řízení o opravných prostředcích proti rozhodnutí soudu o žalobě.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(3)</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Po dobu vyvlastňovacího řízení se běh lhůty platnosti rozhodnutí o povolení stavby staví.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(4)</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Při rozhodování o žalobách proti správním rozhodnutím vydaným v řízeních podle odstavce 2 rozhodne soud vždy o všech žalobních bodech 1a ⁣ </w:t>
            </w:r>
            <w:r>
              <w:rPr>
                <w:rFonts w:ascii="Calibri" w:hAnsi="Calibri"/>
                <w:color w:val="008000"/>
                <w:u w:val="single"/>
              </w:rPr>
              <w:t>.</w:t>
            </w:r>
            <w:r>
              <w:rPr>
                <w:rFonts w:ascii="Calibri" w:hAnsi="Calibri"/>
                <w:color w:val="444444"/>
              </w:rPr>
              <w:t xml:space="preserve">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8000"/>
                <w:sz w:val="20"/>
                <w:u w:val="single"/>
              </w:rPr>
              <w:t>(5)</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w:t>
            </w:r>
            <w:r>
              <w:rPr>
                <w:rFonts w:ascii="Calibri" w:hAnsi="Calibri"/>
                <w:color w:val="008000"/>
                <w:u w:val="single"/>
              </w:rPr>
              <w:t xml:space="preserve">V řízení podle </w:t>
            </w:r>
            <w:r>
              <w:rPr>
                <w:rFonts w:ascii="Calibri" w:hAnsi="Calibri"/>
                <w:color w:val="444444"/>
              </w:rPr>
              <w:t xml:space="preserve"> </w:t>
            </w:r>
            <w:r>
              <w:rPr>
                <w:rFonts w:ascii="Calibri" w:hAnsi="Calibri"/>
                <w:color w:val="008000"/>
                <w:u w:val="single"/>
              </w:rPr>
              <w:t xml:space="preserve">stavebního zákona , které je řízením s velkým počtem účastníků, se oznámení o zahájení řízení doručuje postupem podle </w:t>
            </w:r>
            <w:r>
              <w:rPr>
                <w:rFonts w:ascii="Calibri" w:hAnsi="Calibri"/>
                <w:color w:val="444444"/>
              </w:rPr>
              <w:t xml:space="preserve"> </w:t>
            </w:r>
            <w:r>
              <w:rPr>
                <w:rFonts w:ascii="Calibri" w:hAnsi="Calibri"/>
                <w:color w:val="008000"/>
                <w:u w:val="single"/>
              </w:rPr>
              <w:t>stavebního zákona . Ostatní písemnosti se doručují jednotlivě pouze žadateli, obci, na jejímž území má být záměr uskutečněn, a dotčeným orgánům; ostatním účastníkům řízení se doručují veřejnou vyhláškou, o čemž se tito účastníci poučí v oznámení o zahájení řízení, je-li jim doručováno jednotlivě.</w:t>
            </w:r>
            <w:r>
              <w:rPr>
                <w:rFonts w:ascii="Calibri" w:hAnsi="Calibri"/>
                <w:color w:val="444444"/>
              </w:rPr>
              <w:t xml:space="preserve">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8000"/>
                <w:sz w:val="20"/>
                <w:u w:val="single"/>
              </w:rPr>
              <w:t>(6)</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w:t>
            </w:r>
            <w:r>
              <w:rPr>
                <w:rFonts w:ascii="Calibri" w:hAnsi="Calibri"/>
                <w:color w:val="008000"/>
                <w:u w:val="single"/>
              </w:rPr>
              <w:t xml:space="preserve">Zemřela-li osoba, která byla nebo by měla být účastníkem řízení podle </w:t>
            </w:r>
            <w:r>
              <w:rPr>
                <w:rFonts w:ascii="Calibri" w:hAnsi="Calibri"/>
                <w:color w:val="444444"/>
              </w:rPr>
              <w:t xml:space="preserve"> </w:t>
            </w:r>
            <w:r>
              <w:rPr>
                <w:rFonts w:ascii="Calibri" w:hAnsi="Calibri"/>
                <w:color w:val="008000"/>
                <w:u w:val="single"/>
              </w:rPr>
              <w:t xml:space="preserve">stavebního zákona , jemuž má být doručena písemnost jednotlivě, nebo účastníkem vyvlastňovacího řízení, a úřadu příslušnému k vedení tohoto řízení se do 60 dnů ode dne, kdy zjistil, že zemřela, nepodaří zjistit osoby, které by se v důsledku její smrti staly účastníky řízení, ustanoví jim opatrovníka; to neplatí, </w:t>
            </w:r>
            <w:r>
              <w:rPr>
                <w:rFonts w:ascii="Calibri" w:hAnsi="Calibri"/>
                <w:color w:val="008000"/>
                <w:u w:val="single"/>
              </w:rPr>
              <w:lastRenderedPageBreak/>
              <w:t xml:space="preserve">má-li být podle </w:t>
            </w:r>
            <w:r>
              <w:rPr>
                <w:rFonts w:ascii="Calibri" w:hAnsi="Calibri"/>
                <w:color w:val="444444"/>
              </w:rPr>
              <w:t xml:space="preserve"> </w:t>
            </w:r>
            <w:r>
              <w:rPr>
                <w:rFonts w:ascii="Calibri" w:hAnsi="Calibri"/>
                <w:color w:val="008000"/>
                <w:u w:val="single"/>
              </w:rPr>
              <w:t xml:space="preserve">správního řádu </w:t>
            </w:r>
            <w:r>
              <w:rPr>
                <w:rFonts w:ascii="Calibri" w:hAnsi="Calibri"/>
                <w:color w:val="444444"/>
              </w:rPr>
              <w:t xml:space="preserve"> </w:t>
            </w:r>
            <w:r>
              <w:rPr>
                <w:rFonts w:ascii="Calibri" w:hAnsi="Calibri"/>
                <w:color w:val="008000"/>
                <w:u w:val="single"/>
              </w:rPr>
              <w:t>namísto ustanovení</w:t>
            </w:r>
            <w:r>
              <w:rPr>
                <w:rFonts w:ascii="Calibri" w:hAnsi="Calibri"/>
                <w:color w:val="444444"/>
              </w:rPr>
              <w:t xml:space="preserve"> opatrovníka </w:t>
            </w:r>
            <w:r>
              <w:rPr>
                <w:rFonts w:ascii="Calibri" w:hAnsi="Calibri"/>
                <w:color w:val="008000"/>
                <w:u w:val="single"/>
              </w:rPr>
              <w:t>písemnost doručena veřejnou vyhláškou․</w:t>
            </w:r>
            <w:r>
              <w:rPr>
                <w:rFonts w:ascii="Calibri" w:hAnsi="Calibri"/>
                <w:color w:val="444444"/>
              </w:rPr>
              <w:t xml:space="preserve">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8000"/>
                <w:sz w:val="20"/>
                <w:u w:val="single"/>
              </w:rPr>
              <w:lastRenderedPageBreak/>
              <w:t>(7)</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w:t>
            </w:r>
            <w:r>
              <w:rPr>
                <w:rFonts w:ascii="Calibri" w:hAnsi="Calibri"/>
                <w:color w:val="008000"/>
                <w:u w:val="single"/>
              </w:rPr>
              <w:t>Pokud je správní rozhodnutí v řízení podle § 1 podmíněno závazným stanoviskem a dotčený orgán příslušný k vydání závazného stanoviska toto závazné stanovisko nevydá ani ve lhůtě 60 dní ode dne, kdy o to byl správním orgánem příslušným k vedení řízení podle § 1 vyzván, platí, že rozhodnutí není podmíněno tímto závazným stanoviskem a k případnému později vydanému závaznému stanovisku se nepřihlíží. Ustanovení věty první se pro vydání závazného stanoviska k posouzení vlivů provedení záměru na životní prostředí nepoužije.</w:t>
            </w:r>
            <w:r>
              <w:rPr>
                <w:rFonts w:ascii="Calibri" w:hAnsi="Calibri"/>
                <w:strike/>
                <w:color w:val="FF0000"/>
              </w:rPr>
              <w:t xml:space="preserve"> ․</w:t>
            </w:r>
            <w:r>
              <w:rPr>
                <w:rFonts w:ascii="Calibri" w:hAnsi="Calibri"/>
                <w:color w:val="444444"/>
              </w:rPr>
              <w:t xml:space="preserve"> </w:t>
            </w:r>
          </w:p>
        </w:tc>
      </w:tr>
      <w:tr w:rsidR="00903B6C">
        <w:tblPrEx>
          <w:tblCellSpacing w:w="20" w:type="dxa"/>
          <w:tblBorders>
            <w:top w:val="dotted" w:sz="8" w:space="0" w:color="808080"/>
          </w:tblBorders>
        </w:tblPrEx>
        <w:trPr>
          <w:gridAfter w:val="1"/>
          <w:wAfter w:w="7234" w:type="dxa"/>
          <w:trHeight w:val="30"/>
          <w:tblCellSpacing w:w="20" w:type="dxa"/>
        </w:trPr>
        <w:tc>
          <w:tcPr>
            <w:tcW w:w="282" w:type="dxa"/>
            <w:tcMar>
              <w:top w:w="15" w:type="dxa"/>
              <w:left w:w="15" w:type="dxa"/>
              <w:bottom w:w="15" w:type="dxa"/>
              <w:right w:w="15" w:type="dxa"/>
            </w:tcMar>
          </w:tcPr>
          <w:p w:rsidR="00903B6C" w:rsidRDefault="00060EEB">
            <w:pPr>
              <w:spacing w:after="0"/>
              <w:jc w:val="center"/>
            </w:pPr>
            <w:r>
              <w:rPr>
                <w:rFonts w:ascii="Calibri" w:hAnsi="Calibri"/>
                <w:color w:val="000000"/>
                <w:sz w:val="16"/>
              </w:rPr>
              <w:t>1a</w:t>
            </w:r>
          </w:p>
        </w:tc>
        <w:tc>
          <w:tcPr>
            <w:tcW w:w="5438"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71 odst. 1 písm. d) soudního řádu správního.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6" w:name="pf2d"/>
      <w:r>
        <w:rPr>
          <w:rFonts w:ascii="Calibri" w:hAnsi="Calibri"/>
          <w:b/>
          <w:color w:val="BA3347"/>
          <w:sz w:val="20"/>
        </w:rPr>
        <w:t>§ 2d</w:t>
      </w:r>
    </w:p>
    <w:p w:rsidR="00903B6C" w:rsidRDefault="00060EEB">
      <w:pPr>
        <w:spacing w:after="0"/>
        <w:jc w:val="center"/>
      </w:pPr>
      <w:r>
        <w:rPr>
          <w:rFonts w:ascii="Calibri" w:hAnsi="Calibri"/>
          <w:b/>
          <w:color w:val="000000"/>
        </w:rPr>
        <w:t xml:space="preserve">                  Územní rozhodnutí u vybraných staveb energetické infrastruktury                   </w:t>
      </w:r>
      <w:r>
        <w:rPr>
          <w:rFonts w:ascii="Calibri" w:hAnsi="Calibri"/>
          <w:b/>
          <w:color w:val="008000"/>
          <w:u w:val="single"/>
        </w:rPr>
        <w:t>a staveb infrastruktury elektronických komunikací</w:t>
      </w:r>
      <w:r>
        <w:rPr>
          <w:rFonts w:ascii="Calibri" w:hAnsi="Calibri"/>
          <w:b/>
          <w:color w:val="000000"/>
        </w:rPr>
        <w:t xml:space="preserve">               </w:t>
      </w:r>
    </w:p>
    <w:tbl>
      <w:tblPr>
        <w:tblW w:w="0" w:type="auto"/>
        <w:tblCellSpacing w:w="0" w:type="dxa"/>
        <w:tblLook w:val="04A0" w:firstRow="1" w:lastRow="0" w:firstColumn="1" w:lastColumn="0" w:noHBand="0" w:noVBand="1"/>
      </w:tblPr>
      <w:tblGrid>
        <w:gridCol w:w="336"/>
        <w:gridCol w:w="8691"/>
      </w:tblGrid>
      <w:tr w:rsidR="00903B6C">
        <w:trPr>
          <w:trHeight w:val="30"/>
          <w:tblCellSpacing w:w="0" w:type="dxa"/>
        </w:trPr>
        <w:tc>
          <w:tcPr>
            <w:tcW w:w="380" w:type="dxa"/>
            <w:tcMar>
              <w:top w:w="30" w:type="dxa"/>
              <w:left w:w="15" w:type="dxa"/>
              <w:bottom w:w="15" w:type="dxa"/>
              <w:right w:w="15" w:type="dxa"/>
            </w:tcMar>
          </w:tcPr>
          <w:bookmarkEnd w:id="6"/>
          <w:p w:rsidR="00903B6C" w:rsidRDefault="00060EEB">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U vybraných staveb energetické infrastruktury uvedených v § 1 odst. 4 písm. f) a g)                         </w:t>
            </w:r>
            <w:r>
              <w:rPr>
                <w:rFonts w:ascii="Calibri" w:hAnsi="Calibri"/>
                <w:color w:val="008000"/>
                <w:u w:val="single"/>
              </w:rPr>
              <w:t>a staveb infrastruktury elektronických komunikací</w:t>
            </w:r>
            <w:r>
              <w:rPr>
                <w:rFonts w:ascii="Calibri" w:hAnsi="Calibri"/>
                <w:color w:val="444444"/>
              </w:rPr>
              <w:t xml:space="preserve">                         předkládá stavebník k žádosti o vydání územního rozhodnutí závazná stanoviska dotčených orgánů podle zvláštních právních předpisů jen tehdy, jestliže byla opatřena před podáním žádosti.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Stavební úřad, je-li žádost o vydání územního rozhodnutí úplná, nařídí k zajištění závazných stanovisek dotčených orgánů a k jejich koordinaci společné jednání s dotčenými orgány. Dotčené orgány při společném jednání uplatní, popřípadě doplní svá závazná stanoviska a stavební úřad zajistí řešení případných rozporů tak, aby byla podkladem pro další řízení. Společné jednání je neveřejné, stavební úřad oznámí dotčeným orgánům jeho konání nejméně 15 dnů předem.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Dotčený orgán si může vyhradit uplatnění závazného stanoviska v prodloužené lhůtě 30 dnů ode dne konání společného jednání. Pokud dotčený orgán závazné stanovisko neuplatní ani v dodatečné lhůtě, má se za to, že nemá výhrady a jím hájený veřejný zájem není dotčen.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Odstavce 2 a 3 se pro vydání závazného stanoviska k posouzení vlivů provedení záměru na životní prostředí nepoužijí.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7" w:name="pf2f"/>
      <w:r>
        <w:rPr>
          <w:rFonts w:ascii="Calibri" w:hAnsi="Calibri"/>
          <w:b/>
          <w:color w:val="BA3347"/>
          <w:sz w:val="20"/>
        </w:rPr>
        <w:t>§ 2f</w:t>
      </w:r>
    </w:p>
    <w:bookmarkEnd w:id="7"/>
    <w:p w:rsidR="00903B6C" w:rsidRDefault="00060EEB">
      <w:pPr>
        <w:spacing w:after="60"/>
        <w:jc w:val="both"/>
      </w:pPr>
      <w:r>
        <w:rPr>
          <w:rFonts w:ascii="Calibri" w:hAnsi="Calibri"/>
          <w:color w:val="444444"/>
        </w:rPr>
        <w:t xml:space="preserve">               Každý je povinen umožnit provádění měření a průzkumných prací v rámci přípravy stavby dopravní infrastruktury prováděné oprávněným investorem                 14                         ⁣              , a to i před zahájením řízení, kterým se stavba umisťuje nebo povoluje, nebo řízení, kterým se stavba umisťuje a povoluje. Za tímto účelem má oprávněný investor a jím zmocněné osoby právo vstupovat a vjíždět na cizí nemovité věci. Oprávněný investor nebo jím zmocněné osoby jsou povinni co nejvíce šetřit práv vlastníků dotčených nemovitých věcí a nejméně 14 dní předem jim provádění měření nebo průzkumných prací na jejich nemovité věci písemně oznámit na adrese podle § 3 odst. 2. V oznámení podle předchozí věty musí být uveden důvod provádění měření nebo průzkumných prací na nemovité věci, popis činností, které mají být provedeny, rozsah, způsob, termín a upřesnění místa jejich provedení, označení oprávněného investora, jeho kontaktní údaje, datum vyhotovení oznámení a jméno, příjmení, funkce a podpis osoby oprávněné zastupovat oprávněného investora. Po skončení </w:t>
      </w:r>
      <w:r>
        <w:rPr>
          <w:rFonts w:ascii="Calibri" w:hAnsi="Calibri"/>
          <w:color w:val="444444"/>
        </w:rPr>
        <w:lastRenderedPageBreak/>
        <w:t xml:space="preserve">prací jsou oprávněný investor nebo jím zmocněné osoby povinni uvést nemovité věci do předchozího stavu, a není-li to možné s ohledem na povahu provedených prací, do stavu odpovídajícímu předchozímu účelu nebo užívání dotčené nemovité věci a bezprostředně písemně oznámit tuto skutečnost vlastníku nemovité věci na adrese podle § 3 odst. 2. Pokud byl vlastník nebo uživatel nemovité věci v důsledku výkonu práv oprávněného investora nebo jím zmocněné osoby podle tohoto odstavce omezen v obvyklém užívání nemovité věci nebo mu vznikla újma na majetku, má právo na přiměřenou jednorázovou náhradu ve výši dvojnásobku částky stanovené podle zákona o oceňování majetku                 10                         ⁣              .            </w:t>
      </w:r>
    </w:p>
    <w:tbl>
      <w:tblPr>
        <w:tblW w:w="0" w:type="auto"/>
        <w:tblCellSpacing w:w="20" w:type="dxa"/>
        <w:tblBorders>
          <w:top w:val="dotted" w:sz="8" w:space="0" w:color="808080"/>
        </w:tblBorders>
        <w:tblLook w:val="04A0" w:firstRow="1" w:lastRow="0" w:firstColumn="1" w:lastColumn="0" w:noHBand="0" w:noVBand="1"/>
      </w:tblPr>
      <w:tblGrid>
        <w:gridCol w:w="313"/>
        <w:gridCol w:w="8714"/>
      </w:tblGrid>
      <w:tr w:rsidR="00903B6C">
        <w:trPr>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14</w:t>
            </w:r>
          </w:p>
        </w:tc>
        <w:tc>
          <w:tcPr>
            <w:tcW w:w="12621" w:type="dxa"/>
            <w:tcMar>
              <w:top w:w="15" w:type="dxa"/>
              <w:left w:w="15" w:type="dxa"/>
              <w:bottom w:w="15" w:type="dxa"/>
              <w:right w:w="15" w:type="dxa"/>
            </w:tcMar>
          </w:tcPr>
          <w:p w:rsidR="00903B6C" w:rsidRDefault="00060EEB">
            <w:pPr>
              <w:spacing w:after="60"/>
              <w:jc w:val="both"/>
            </w:pPr>
            <w:r>
              <w:rPr>
                <w:rFonts w:ascii="Calibri" w:hAnsi="Calibri"/>
                <w:color w:val="444444"/>
              </w:rPr>
              <w:t xml:space="preserve">                        § 23a                         zákona č.                         183/2006 Sb.                        , o územním plánování a stavebním řádu, ve znění pozdějších předpisů.                     </w:t>
            </w:r>
          </w:p>
        </w:tc>
      </w:tr>
      <w:tr w:rsidR="00903B6C">
        <w:trPr>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10</w:t>
            </w:r>
          </w:p>
        </w:tc>
        <w:tc>
          <w:tcPr>
            <w:tcW w:w="12621" w:type="dxa"/>
            <w:tcMar>
              <w:top w:w="15" w:type="dxa"/>
              <w:left w:w="15" w:type="dxa"/>
              <w:bottom w:w="15" w:type="dxa"/>
              <w:right w:w="15" w:type="dxa"/>
            </w:tcMar>
          </w:tcPr>
          <w:p w:rsidR="00903B6C" w:rsidRDefault="00060EEB">
            <w:pPr>
              <w:spacing w:after="60"/>
              <w:jc w:val="both"/>
            </w:pPr>
            <w:r>
              <w:rPr>
                <w:rFonts w:ascii="Calibri" w:hAnsi="Calibri"/>
                <w:color w:val="444444"/>
              </w:rPr>
              <w:t xml:space="preserve">                        Nařízení Evropského parlamentu a Rady (EU) č.                         347/2013                         ze dne 17. dubna 2013, kterým se stanoví hlavní směry pro transevropské energetické sítě a kterým se zrušuje rozhodnutí č. 1364/2006/ES a mění nařízení (ES) č.                         713/2009                        , (ES) č. 714/2009 a (ES) č. 715/2009.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8" w:name="pf2g"/>
      <w:r>
        <w:rPr>
          <w:rFonts w:ascii="Calibri" w:hAnsi="Calibri"/>
          <w:b/>
          <w:color w:val="BA3347"/>
          <w:sz w:val="20"/>
        </w:rPr>
        <w:t>§ 2g</w:t>
      </w:r>
    </w:p>
    <w:tbl>
      <w:tblPr>
        <w:tblW w:w="0" w:type="auto"/>
        <w:tblCellSpacing w:w="0" w:type="dxa"/>
        <w:tblLook w:val="04A0" w:firstRow="1" w:lastRow="0" w:firstColumn="1" w:lastColumn="0" w:noHBand="0" w:noVBand="1"/>
      </w:tblPr>
      <w:tblGrid>
        <w:gridCol w:w="335"/>
        <w:gridCol w:w="8692"/>
      </w:tblGrid>
      <w:tr w:rsidR="00903B6C">
        <w:trPr>
          <w:trHeight w:val="30"/>
          <w:tblCellSpacing w:w="0" w:type="dxa"/>
        </w:trPr>
        <w:tc>
          <w:tcPr>
            <w:tcW w:w="380" w:type="dxa"/>
            <w:tcMar>
              <w:top w:w="30" w:type="dxa"/>
              <w:left w:w="15" w:type="dxa"/>
              <w:bottom w:w="15" w:type="dxa"/>
              <w:right w:w="15" w:type="dxa"/>
            </w:tcMar>
          </w:tcPr>
          <w:bookmarkEnd w:id="8"/>
          <w:p w:rsidR="00903B6C" w:rsidRDefault="00060EEB">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Pokud mezi stavebníkem stavby dopravní infrastruktury nebo vybrané stavby energetické infrastruktury a vlastníkem, provozovatelem nebo správcem dopravní nebo technické infrastruktury není dohodnuto jinak, je povinen vlastník, provozovatel nebo správce dopravní nebo technické infrastruktury provést její přeložku, překládku nebo jinou její změnu (dále jen „přeložka“) do 12 měsíců ode dne, kdy jej k tomu vyzve stavebník stavby dopravní infrastruktury nebo vybrané stavby energetické infrastruktury, pokud jsou v okamžiku provedení výzvy zajištěna věcná práva k pozemku nebo stavbě nezbytná k provedení přeložky; pokud v okamžiku provedení výzvy věcná práva zajištěna nejsou, prodlužuje se lhůta na 18 měsíců. Do 15 dnů ode dne obdržení výzvy je vlastník, provozovatel nebo správce dopravní nebo technické infrastruktury oprávněn požadovat, aby věcná práva zajistil jeho jménem stavebník stavby dopravní infrastruktury nebo vybrané stavby energetické infrastruktury; v takovém případě je vlastník, provozovatel nebo správce dopravní nebo technické infrastruktury povinen provést přeložku do 12 měsíců ode dne, kdy stavebník stavby dopravní infrastruktury nebo vybrané stavby energetické infrastruktury prokázal, že jsou věcná práva zajištěna. Zajišťuje-li věcná práva jménem vlastníka, provozovatele nebo správce dopravní nebo technické infrastruktury stavebník stavby dopravní infrastruktury nebo vybrané stavby energetické infrastruktury, použije se pro oceňování těchto práv ustanovení § 3b obdobně.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Výzvu podle odstavce 1 lze učinit po nabytí právní moci rozhodnutí, na základě kterého je možné stavbu přeložky dopravní nebo technické infrastruktury zahájit.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Lhůty podle odstavce 1 se staví po dobu trvání okolností, které brání provedení přeložky dopravní nebo technické infrastruktury, pokud jejich vznik a trvání vlastník, provozovatel nebo správce dopravní nebo technické infrastruktury nezavinil.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Vlastník, provozovatel nebo správce dopravní nebo technické infrastruktury je povinen předem písemně seznámit stavebníka stavby dopravní infrastruktury nebo vybrané stavby energetické infrastruktury se způsobem provedení přeložky a se způsobem určení nákladů jejího provedení.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Stavebník stavby dopravní infrastruktury nebo vybrané stavby energetické infrastruktury je povinen nahradit vlastníku, provozovateli nebo správci dopravní nebo technické infrastruktury, který provedl přeložku technické nebo dopravní infrastruktury, pouze prokazatelně nezbytně nutně vynaložené náklady na provedení této přeložky.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9" w:name="pf2h"/>
      <w:r>
        <w:rPr>
          <w:rFonts w:ascii="Calibri" w:hAnsi="Calibri"/>
          <w:b/>
          <w:color w:val="BA3347"/>
          <w:sz w:val="20"/>
        </w:rPr>
        <w:t>§ 2h</w:t>
      </w:r>
    </w:p>
    <w:tbl>
      <w:tblPr>
        <w:tblW w:w="0" w:type="auto"/>
        <w:tblCellSpacing w:w="0" w:type="dxa"/>
        <w:tblLook w:val="04A0" w:firstRow="1" w:lastRow="0" w:firstColumn="1" w:lastColumn="0" w:noHBand="0" w:noVBand="1"/>
      </w:tblPr>
      <w:tblGrid>
        <w:gridCol w:w="336"/>
        <w:gridCol w:w="8691"/>
      </w:tblGrid>
      <w:tr w:rsidR="00903B6C">
        <w:trPr>
          <w:trHeight w:val="30"/>
          <w:tblCellSpacing w:w="0" w:type="dxa"/>
        </w:trPr>
        <w:tc>
          <w:tcPr>
            <w:tcW w:w="380" w:type="dxa"/>
            <w:tcMar>
              <w:top w:w="30" w:type="dxa"/>
              <w:left w:w="15" w:type="dxa"/>
              <w:bottom w:w="15" w:type="dxa"/>
              <w:right w:w="15" w:type="dxa"/>
            </w:tcMar>
          </w:tcPr>
          <w:bookmarkEnd w:id="9"/>
          <w:p w:rsidR="00903B6C" w:rsidRDefault="00060EEB">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Žádost o vydání souhlasu s odnětím zemědělské půdy ze zemědělského půdního fondu pro účely stavby dopravní nebo energetické infrastruktury se podává u orgánu ochrany zemědělského půdního fondu, který je příslušný k jejímu vyřízení.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Při převodu majetku v souvislosti s uskutečněním stavby dopravní infrastruktury se nevyžaduje udělení souhlasu, výjimky nebo schválení podle zákona o majetku státu.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10" w:name="pf2i"/>
      <w:r>
        <w:rPr>
          <w:rFonts w:ascii="Calibri" w:hAnsi="Calibri"/>
          <w:b/>
          <w:color w:val="BA3347"/>
          <w:sz w:val="20"/>
        </w:rPr>
        <w:t>§ 2i</w:t>
      </w:r>
    </w:p>
    <w:p w:rsidR="00903B6C" w:rsidRDefault="00060EEB">
      <w:pPr>
        <w:spacing w:after="0"/>
        <w:jc w:val="center"/>
      </w:pPr>
      <w:r>
        <w:rPr>
          <w:rFonts w:ascii="Calibri" w:hAnsi="Calibri"/>
          <w:b/>
          <w:color w:val="000000"/>
        </w:rPr>
        <w:t xml:space="preserve">                  Budování infrastruktury elektronických komunikací               </w:t>
      </w:r>
    </w:p>
    <w:tbl>
      <w:tblPr>
        <w:tblW w:w="0" w:type="auto"/>
        <w:tblCellSpacing w:w="0" w:type="dxa"/>
        <w:tblLook w:val="04A0" w:firstRow="1" w:lastRow="0" w:firstColumn="1" w:lastColumn="0" w:noHBand="0" w:noVBand="1"/>
      </w:tblPr>
      <w:tblGrid>
        <w:gridCol w:w="273"/>
        <w:gridCol w:w="60"/>
        <w:gridCol w:w="8666"/>
        <w:gridCol w:w="28"/>
      </w:tblGrid>
      <w:tr w:rsidR="00903B6C">
        <w:trPr>
          <w:trHeight w:val="30"/>
          <w:tblCellSpacing w:w="0" w:type="dxa"/>
        </w:trPr>
        <w:tc>
          <w:tcPr>
            <w:tcW w:w="380" w:type="dxa"/>
            <w:gridSpan w:val="2"/>
            <w:tcMar>
              <w:top w:w="30" w:type="dxa"/>
              <w:left w:w="15" w:type="dxa"/>
              <w:bottom w:w="15" w:type="dxa"/>
              <w:right w:w="15" w:type="dxa"/>
            </w:tcMar>
          </w:tcPr>
          <w:bookmarkEnd w:id="10"/>
          <w:p w:rsidR="00903B6C" w:rsidRDefault="00060EEB">
            <w:pPr>
              <w:spacing w:after="0"/>
            </w:pPr>
            <w:r>
              <w:rPr>
                <w:rFonts w:ascii="Calibri" w:hAnsi="Calibri"/>
                <w:color w:val="000000"/>
                <w:sz w:val="20"/>
              </w:rPr>
              <w:t>(1)</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Rozhodnutí o umístění stavby ani územní souhlas podle                         stavebního zákona                         nevyžadují přípojky elektronických komunikací do délky 100 metrů; to neplatí v případech, kdy je vyžadováno závazné stanovisko k posouzení vlivů provedení záměru na životní prostředí podle zákona o posuzování vlivů na životní prostředí                 16                         ⁣              .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K užívání stavby infrastruktury elektronických komunikací se nevyžaduje kolaudační souhlas ani kolaudační rozhodnutí podle                         stavebního zákona                        . Stavebník předloží do 60 dnů ode dne zahájení užívání stavby příslušnému stavebnímu úřadu údaje určující polohu definičního bodu stavby, dokumentaci skutečného provedení stavby, pokud při jejím provádění došlo k nepodstatným odchylkám oproti ověřené dokumentaci nebo ověřené projektové dokumentaci, a geometrický plán umístění stavby.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16</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45i                         odst. 2 zákona č.                         114/1992 Sb.                        , o ochraně přírody a krajiny, ve znění pozdějších předpisů.                     </w:t>
            </w:r>
          </w:p>
          <w:p w:rsidR="00903B6C" w:rsidRDefault="00060EEB">
            <w:pPr>
              <w:spacing w:after="60"/>
              <w:jc w:val="both"/>
            </w:pPr>
            <w:r>
              <w:rPr>
                <w:rFonts w:ascii="Calibri" w:hAnsi="Calibri"/>
                <w:color w:val="444444"/>
              </w:rPr>
              <w:t xml:space="preserve">                        Zákon č.                         100/2001 Sb.                        , o posuzování vlivů na životní prostředí a o změně některých souvisejících zákonů (                        zákon o posuzování vlivů na životní prostředí                        ), ve znění pozdějších předpisů.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11" w:name="pf3"/>
      <w:r>
        <w:rPr>
          <w:rFonts w:ascii="Calibri" w:hAnsi="Calibri"/>
          <w:b/>
          <w:color w:val="BA3347"/>
          <w:sz w:val="20"/>
        </w:rPr>
        <w:t>§ 3</w:t>
      </w:r>
    </w:p>
    <w:tbl>
      <w:tblPr>
        <w:tblW w:w="0" w:type="auto"/>
        <w:tblCellSpacing w:w="0" w:type="dxa"/>
        <w:tblLook w:val="04A0" w:firstRow="1" w:lastRow="0" w:firstColumn="1" w:lastColumn="0" w:noHBand="0" w:noVBand="1"/>
      </w:tblPr>
      <w:tblGrid>
        <w:gridCol w:w="334"/>
        <w:gridCol w:w="8693"/>
      </w:tblGrid>
      <w:tr w:rsidR="00903B6C">
        <w:trPr>
          <w:trHeight w:val="30"/>
          <w:tblCellSpacing w:w="0" w:type="dxa"/>
        </w:trPr>
        <w:tc>
          <w:tcPr>
            <w:tcW w:w="380" w:type="dxa"/>
            <w:tcMar>
              <w:top w:w="30" w:type="dxa"/>
              <w:left w:w="15" w:type="dxa"/>
              <w:bottom w:w="15" w:type="dxa"/>
              <w:right w:w="15" w:type="dxa"/>
            </w:tcMar>
          </w:tcPr>
          <w:bookmarkEnd w:id="11"/>
          <w:p w:rsidR="00903B6C" w:rsidRDefault="00060EEB">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Pro odejmutí nebo omezení práv k pozemkům nebo stavbám potřebným pro uskutečnění dopravní, vodní a energetické infrastruktury  a infrastruktury elektronických komunikací  platí  zákon o vyvlastnění , pokud tento zákon nestanoví jinak.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Pro splnění podmínky přípustnosti vyvlastnění podle zákona o vyvlastnění, spočívající v povinnosti nejprve učinit návrh na získání potřebných práv k pozemku nebo stavbě dohodou, postačí doručení návrhu smlouvy na získání potřebných práv </w:t>
            </w:r>
          </w:p>
          <w:tbl>
            <w:tblPr>
              <w:tblW w:w="0" w:type="auto"/>
              <w:tblCellSpacing w:w="0" w:type="dxa"/>
              <w:tblLook w:val="04A0" w:firstRow="1" w:lastRow="0" w:firstColumn="1" w:lastColumn="0" w:noHBand="0" w:noVBand="1"/>
            </w:tblPr>
            <w:tblGrid>
              <w:gridCol w:w="313"/>
              <w:gridCol w:w="8305"/>
            </w:tblGrid>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na adresu, kterou vlastník nemovitosti předem písemně sdělil, nebo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na adresu místa trvalého pobytu vlastníka nemovitosti nebo jeho adresu bydliště v cizině nebo  na adresu evidovanou v katastru nemovitostí, jde-li o fyzickou osobu, nebo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na adresu sídla evidovanou v katastru nemovitostí, jde-li o právnickou osobu. </w:t>
                  </w:r>
                </w:p>
                <w:p w:rsidR="00903B6C" w:rsidRDefault="00060EEB">
                  <w:pPr>
                    <w:spacing w:after="60"/>
                    <w:jc w:val="both"/>
                  </w:pPr>
                  <w:r>
                    <w:rPr>
                      <w:rFonts w:ascii="Calibri" w:hAnsi="Calibri"/>
                      <w:color w:val="444444"/>
                    </w:rPr>
                    <w:lastRenderedPageBreak/>
                    <w:t xml:space="preserve"> Lhůta podle § 5 odst. 1 zákona o vyvlastnění počíná plynout ode dne doručení na adresy uvedené v písmenech a) až c). Doručení návrhu smlouvy na získání potřebných práv má účinky i vůči všem právním nástupcům vyvlastňovaného. </w:t>
                  </w:r>
                </w:p>
              </w:tc>
            </w:tr>
          </w:tbl>
          <w:p w:rsidR="00903B6C" w:rsidRDefault="00903B6C"/>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Nedojde-li k dohodě na získání potřebných práv k pozemku nebo stavbě, platí pro doručování oznámení účelu vyvlastnění odstavec 2.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Splnění podmínek přípustnosti vyvlastnění uvedených v odstavci 2 nebo 3 se nevyžaduje, pokud doručení na adresy podle odstavce 2 není možné, neboť vlastník nemovitosti se na nich nezdržuje, odstěhoval se nebo v místě adresy není znám.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Návrh smlouvy o získání práv k pozemku nebo stavbě potřebných pro uskutečnění účelu vyvlastnění může obsahovat požadavek, aby tento pozemek nebo stavba nebyl zatížen právy, která zanikají vyvlastněním.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8000"/>
                <w:sz w:val="20"/>
                <w:u w:val="single"/>
              </w:rPr>
              <w:t>(6)</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w:t>
            </w:r>
            <w:r>
              <w:rPr>
                <w:rFonts w:ascii="Calibri" w:hAnsi="Calibri"/>
                <w:color w:val="008000"/>
                <w:u w:val="single"/>
              </w:rPr>
              <w:t>Jde-li o práva potřebná pro uskutečnění stavby dopravní nebo energetické infrastruktury, je podmínka přípustnosti vyvlastnění spočívající v nemožnosti získat tato práva dohodou nebo jiným způsobem splněna, pokud byl vyvlastňovanému doručen návrh na uzavření smlouvy o získání práv k pozemku nebo ke stavbě, která jsou předmětem vyvlastnění, a smlouva nebyla ve lhůtě 90 dnů ode dne doručení návrhu uzavřena, přestože se vyvlastnitel nejméně 30 dnů před podáním žádosti o vyvlastnění pokusil s vyvlastňovaným o návrhu smlouvy jednat.</w:t>
            </w:r>
            <w:r>
              <w:rPr>
                <w:rFonts w:ascii="Calibri" w:hAnsi="Calibri"/>
                <w:color w:val="444444"/>
              </w:rPr>
              <w:t xml:space="preserve">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12" w:name="pf3a"/>
      <w:r>
        <w:rPr>
          <w:rFonts w:ascii="Calibri" w:hAnsi="Calibri"/>
          <w:b/>
          <w:color w:val="BA3347"/>
          <w:sz w:val="20"/>
        </w:rPr>
        <w:t>§ 3a</w:t>
      </w:r>
    </w:p>
    <w:bookmarkEnd w:id="12"/>
    <w:p w:rsidR="00903B6C" w:rsidRDefault="00060EEB">
      <w:pPr>
        <w:spacing w:after="60"/>
        <w:jc w:val="both"/>
      </w:pPr>
      <w:r>
        <w:rPr>
          <w:rFonts w:ascii="Calibri" w:hAnsi="Calibri"/>
          <w:color w:val="444444"/>
        </w:rPr>
        <w:t xml:space="preserve"> Smlouva o získání potřebných práv k pozemku nebo ke stavbě podle zákona upravujícího vyvlastnění 6 ⁣  musí v případě, že se jí získávají práva k pozemku nebo stavbě potřebná pro uskutečnění stavby dopravní infrastruktury a infrastruktury elektronických komunikací nebo energetické infrastruktury, založit též právo osoby, která touto smlouvou převádí potřebná práva k pozemku nebo stavbě, na vrácení převedených práv, pokud nebude zahájeno uskutečňování účelu převodu do 5 let od uzavření smlouvy. U infrastruktury elektronických komunikací se ustanovení § 3b nepoužije.  </w:t>
      </w:r>
      <w:r>
        <w:rPr>
          <w:rFonts w:ascii="Calibri" w:hAnsi="Calibri"/>
          <w:color w:val="008000"/>
          <w:u w:val="single"/>
        </w:rPr>
        <w:t>Získávají-li se práva podle věty první převodem spoluvlastnického podílu, předkupní právo spoluvlastníka k tomuto podílu vzniklé ze zákona nebo zřízené smlouvou se neuplatní.</w:t>
      </w:r>
      <w:r>
        <w:rPr>
          <w:rFonts w:ascii="Calibri" w:hAnsi="Calibri"/>
          <w:color w:val="444444"/>
        </w:rPr>
        <w:t xml:space="preserve"> </w:t>
      </w:r>
    </w:p>
    <w:tbl>
      <w:tblPr>
        <w:tblW w:w="0" w:type="auto"/>
        <w:tblCellSpacing w:w="20" w:type="dxa"/>
        <w:tblBorders>
          <w:top w:val="dotted" w:sz="8" w:space="0" w:color="808080"/>
        </w:tblBorders>
        <w:tblLook w:val="04A0" w:firstRow="1" w:lastRow="0" w:firstColumn="1" w:lastColumn="0" w:noHBand="0" w:noVBand="1"/>
      </w:tblPr>
      <w:tblGrid>
        <w:gridCol w:w="222"/>
        <w:gridCol w:w="8915"/>
      </w:tblGrid>
      <w:tr w:rsidR="00903B6C">
        <w:trPr>
          <w:trHeight w:val="30"/>
          <w:tblCellSpacing w:w="20" w:type="dxa"/>
        </w:trPr>
        <w:tc>
          <w:tcPr>
            <w:tcW w:w="187" w:type="dxa"/>
            <w:tcMar>
              <w:top w:w="15" w:type="dxa"/>
              <w:left w:w="15" w:type="dxa"/>
              <w:bottom w:w="15" w:type="dxa"/>
              <w:right w:w="15" w:type="dxa"/>
            </w:tcMar>
          </w:tcPr>
          <w:p w:rsidR="00903B6C" w:rsidRDefault="00060EEB">
            <w:pPr>
              <w:spacing w:after="0"/>
              <w:jc w:val="center"/>
            </w:pPr>
            <w:r>
              <w:rPr>
                <w:rFonts w:ascii="Calibri" w:hAnsi="Calibri"/>
                <w:color w:val="000000"/>
                <w:sz w:val="16"/>
              </w:rPr>
              <w:t>6</w:t>
            </w:r>
          </w:p>
        </w:tc>
        <w:tc>
          <w:tcPr>
            <w:tcW w:w="12727" w:type="dxa"/>
            <w:tcMar>
              <w:top w:w="15" w:type="dxa"/>
              <w:left w:w="15" w:type="dxa"/>
              <w:bottom w:w="15" w:type="dxa"/>
              <w:right w:w="15" w:type="dxa"/>
            </w:tcMar>
          </w:tcPr>
          <w:p w:rsidR="00903B6C" w:rsidRDefault="00060EEB">
            <w:pPr>
              <w:spacing w:after="60"/>
              <w:jc w:val="both"/>
            </w:pPr>
            <w:r>
              <w:rPr>
                <w:rFonts w:ascii="Calibri" w:hAnsi="Calibri"/>
                <w:color w:val="444444"/>
              </w:rPr>
              <w:t xml:space="preserve"> § 5  odst. 1 a  4  zákona č. 184/2006 Sb., o odnětí nebo omezení vlastnického práva k pozemku nebo ke stavbě ( zákon o vyvlastnění ), ve znění zákona č.  405/2012 Sb.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13" w:name="pf3b"/>
      <w:r>
        <w:rPr>
          <w:rFonts w:ascii="Calibri" w:hAnsi="Calibri"/>
          <w:b/>
          <w:color w:val="BA3347"/>
          <w:sz w:val="20"/>
        </w:rPr>
        <w:t>§ 3b</w:t>
      </w:r>
    </w:p>
    <w:tbl>
      <w:tblPr>
        <w:tblW w:w="0" w:type="auto"/>
        <w:tblCellSpacing w:w="0" w:type="dxa"/>
        <w:tblLook w:val="04A0" w:firstRow="1" w:lastRow="0" w:firstColumn="1" w:lastColumn="0" w:noHBand="0" w:noVBand="1"/>
      </w:tblPr>
      <w:tblGrid>
        <w:gridCol w:w="275"/>
        <w:gridCol w:w="60"/>
        <w:gridCol w:w="8693"/>
        <w:gridCol w:w="29"/>
      </w:tblGrid>
      <w:tr w:rsidR="00903B6C">
        <w:trPr>
          <w:trHeight w:val="30"/>
          <w:tblCellSpacing w:w="0" w:type="dxa"/>
        </w:trPr>
        <w:tc>
          <w:tcPr>
            <w:tcW w:w="380" w:type="dxa"/>
            <w:gridSpan w:val="2"/>
            <w:tcMar>
              <w:top w:w="30" w:type="dxa"/>
              <w:left w:w="15" w:type="dxa"/>
              <w:bottom w:w="15" w:type="dxa"/>
              <w:right w:w="15" w:type="dxa"/>
            </w:tcMar>
          </w:tcPr>
          <w:bookmarkEnd w:id="13"/>
          <w:p w:rsidR="00903B6C" w:rsidRDefault="00060EEB">
            <w:pPr>
              <w:spacing w:after="0"/>
            </w:pPr>
            <w:r>
              <w:rPr>
                <w:rFonts w:ascii="Calibri" w:hAnsi="Calibri"/>
                <w:color w:val="000000"/>
                <w:sz w:val="20"/>
              </w:rPr>
              <w:t>(1)</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Získávají-li se potřebná práva podle § 3a koupí, sjednává se v kupní smlouvě kupní cena ve výši </w:t>
            </w:r>
          </w:p>
          <w:tbl>
            <w:tblPr>
              <w:tblW w:w="0" w:type="auto"/>
              <w:tblCellSpacing w:w="0" w:type="dxa"/>
              <w:tblLook w:val="04A0" w:firstRow="1" w:lastRow="0" w:firstColumn="1" w:lastColumn="0" w:noHBand="0" w:noVBand="1"/>
            </w:tblPr>
            <w:tblGrid>
              <w:gridCol w:w="316"/>
              <w:gridCol w:w="8331"/>
            </w:tblGrid>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ceny stanovené znaleckým posudkem vynásobené koeficientem 8 v případě pozemku s výjimkou stavebního pozemku 7 ⁣ , nebo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ceny stanovené znaleckým posudkem vynásobené koeficientem 1,15 v případě stavebního pozemku 7 ⁣  nebo stavby. </w:t>
                  </w:r>
                </w:p>
              </w:tc>
            </w:tr>
          </w:tbl>
          <w:p w:rsidR="00903B6C" w:rsidRDefault="00903B6C"/>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Znalecký posudek, který je podkladem pro navržení výše kupní ceny v návrhu kupní smlouvy, stanoví cenu ve výši obvyklé ceny pozemku nebo stavby 8 ⁣ , včetně všech jejich součástí a příslušenství. Ocenění se provede podle oceňovacího předpisu 10 ⁣  účinného ke dni odeslání návrhu kupní smlouvy a cena pozemku nebo stavby se ve znaleckém posudku určí vždy podle jejich skutečného stavu </w:t>
            </w:r>
            <w:r>
              <w:rPr>
                <w:rFonts w:ascii="Calibri" w:hAnsi="Calibri"/>
                <w:strike/>
                <w:color w:val="FF0000"/>
              </w:rPr>
              <w:t xml:space="preserve"> a účelu užití</w:t>
            </w:r>
            <w:r>
              <w:rPr>
                <w:rFonts w:ascii="Calibri" w:hAnsi="Calibri"/>
                <w:color w:val="444444"/>
              </w:rPr>
              <w:t xml:space="preserve">  k tomuto dni; přitom se nepřihlédne k jejich zhodnocení nebo znehodnocení v souvislosti s tím, že jsou určeny k uskutečnění stavby dopravní infrastruktury. Při ocenění se rovněž nepřihlédne k navýšení obvyklé ceny jiného pozemku nebo stavby koeficienty podle odstavce 1.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(3)</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Získávají-li se potřebná práva podle § 3a smlouvou o zřízení, změně nebo zrušení práva odpovídajícího věcnému břemenu nebo práva stavby, </w:t>
            </w:r>
            <w:r>
              <w:rPr>
                <w:rFonts w:ascii="Calibri" w:hAnsi="Calibri"/>
                <w:color w:val="008000"/>
                <w:u w:val="single"/>
              </w:rPr>
              <w:t>sjednává se výše úplaty ve výši 10 000 Kč. Nesouhlasí-li vyvlastňovaný s částkou podle předchozí věty,</w:t>
            </w:r>
            <w:r>
              <w:rPr>
                <w:rFonts w:ascii="Calibri" w:hAnsi="Calibri"/>
                <w:color w:val="444444"/>
              </w:rPr>
              <w:t xml:space="preserve"> použijí se odstavce 1 a 2 přiměřeně. </w:t>
            </w:r>
            <w:r>
              <w:rPr>
                <w:rFonts w:ascii="Calibri" w:hAnsi="Calibri"/>
                <w:strike/>
                <w:color w:val="FF0000"/>
              </w:rPr>
              <w:t xml:space="preserve"> Je-li cena stanovená podle odstavce 1 nebo 2 nižší než 1 000 Kč, sjednává se úplata ve výši 1 000 Kč.</w:t>
            </w:r>
            <w:r>
              <w:rPr>
                <w:rFonts w:ascii="Calibri" w:hAnsi="Calibri"/>
                <w:color w:val="444444"/>
              </w:rPr>
              <w:t xml:space="preserve">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(4)</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Získávají-li se potřebná práva podle § 3a za úplatu od právnické osoby zřízené zákonem nebo zřízené nebo založené státem, vůči níž je stát ovládající osobou, použije se pro ocenění odstavec 2 obdobně a odstavec 1 se nepoužije.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(5)</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Odstavce 1 až 4 se použijí na získávání potřebných práv podle § 3a, </w:t>
            </w:r>
          </w:p>
          <w:tbl>
            <w:tblPr>
              <w:tblW w:w="0" w:type="auto"/>
              <w:tblCellSpacing w:w="0" w:type="dxa"/>
              <w:tblLook w:val="04A0" w:firstRow="1" w:lastRow="0" w:firstColumn="1" w:lastColumn="0" w:noHBand="0" w:noVBand="1"/>
            </w:tblPr>
            <w:tblGrid>
              <w:gridCol w:w="315"/>
              <w:gridCol w:w="8332"/>
            </w:tblGrid>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je-li jejich nabyvatelem Česká republika nebo právnická osoba zřízená zákonem nebo zřízená nebo založená státem, vůči níž je stát ovládající osobou, nebo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jde-li o zřízení, změnu nebo zrušení práva odpovídajícího věcnému břemenu nebo práva stavby za účelem provedení přeložky inženýrské sítě v souvislosti se stavbou dálnice nebo silnice I. třídy. </w:t>
                  </w:r>
                </w:p>
              </w:tc>
            </w:tr>
          </w:tbl>
          <w:p w:rsidR="00903B6C" w:rsidRDefault="00903B6C"/>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(6)</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w:t>
            </w:r>
            <w:r>
              <w:rPr>
                <w:rFonts w:ascii="Calibri" w:hAnsi="Calibri"/>
                <w:color w:val="008000"/>
                <w:u w:val="single"/>
              </w:rPr>
              <w:t>Postup podle odstavců 1 až 5 lze rozšířit i na právo k pozemku nebo stavbě, které není nezbytné pro uskutečnění stavby dopravní infrastruktury, pokud by v důsledku převodu práv podle § 3a tento pozemek nebo stavbu nebylo možné užívat vůbec nebo jen s nepřiměřenými obtížemi.</w:t>
            </w:r>
            <w:r>
              <w:rPr>
                <w:rFonts w:ascii="Calibri" w:hAnsi="Calibri"/>
                <w:color w:val="444444"/>
              </w:rPr>
              <w:t xml:space="preserve">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8000"/>
                <w:sz w:val="20"/>
                <w:u w:val="single"/>
              </w:rPr>
              <w:t>(7)</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U energetické infrastruktury se odstavce 1 až  </w:t>
            </w:r>
            <w:r>
              <w:rPr>
                <w:rFonts w:ascii="Calibri" w:hAnsi="Calibri"/>
                <w:color w:val="008000"/>
                <w:u w:val="single"/>
              </w:rPr>
              <w:t>6</w:t>
            </w:r>
            <w:r>
              <w:rPr>
                <w:rFonts w:ascii="Calibri" w:hAnsi="Calibri"/>
                <w:strike/>
                <w:color w:val="FF0000"/>
              </w:rPr>
              <w:t xml:space="preserve"> 5</w:t>
            </w:r>
            <w:r>
              <w:rPr>
                <w:rFonts w:ascii="Calibri" w:hAnsi="Calibri"/>
                <w:color w:val="444444"/>
              </w:rPr>
              <w:t xml:space="preserve">  nepoužijí.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7</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9 odst. 1 písm. a) a  § 9  odst. 3 zákona č. 151/1997 Sb., o oceňování majetku a o změně některých zákonů ( zákon o oceňování majetku ).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7</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9 odst. 1 písm. a) a  § 9  odst. 3 zákona č. 151/1997 Sb., o oceňování majetku a o změně některých zákonů ( zákon o oceňování majetku ). </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8</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2  odst. 1 zákona č. 151/1997 Sb.</w:t>
            </w:r>
          </w:p>
        </w:tc>
      </w:tr>
      <w:tr w:rsidR="00903B6C">
        <w:tblPrEx>
          <w:tblCellSpacing w:w="20" w:type="dxa"/>
          <w:tblBorders>
            <w:top w:val="dotted" w:sz="8" w:space="0" w:color="808080"/>
          </w:tblBorders>
        </w:tblPrEx>
        <w:trPr>
          <w:gridAfter w:val="1"/>
          <w:wAfter w:w="40"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10</w:t>
            </w:r>
          </w:p>
        </w:tc>
        <w:tc>
          <w:tcPr>
            <w:tcW w:w="12621"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Nařízení Evropského parlamentu a Rady (EU) č.  347/2013  ze dne 17. dubna 2013, kterým se stanoví hlavní směry pro transevropské energetické sítě a kterým se zrušuje rozhodnutí č. 1364/2006/ES a mění nařízení (ES) č.  713/2009 , (ES) č. 714/2009 a (ES) č. 715/2009.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14" w:name="pf3d"/>
      <w:r>
        <w:rPr>
          <w:rFonts w:ascii="Calibri" w:hAnsi="Calibri"/>
          <w:b/>
          <w:color w:val="BA3347"/>
          <w:sz w:val="20"/>
        </w:rPr>
        <w:t>§ 3d</w:t>
      </w:r>
    </w:p>
    <w:bookmarkEnd w:id="14"/>
    <w:p w:rsidR="00903B6C" w:rsidRDefault="00060EEB">
      <w:pPr>
        <w:spacing w:after="60"/>
        <w:jc w:val="both"/>
      </w:pPr>
      <w:r>
        <w:rPr>
          <w:rFonts w:ascii="Calibri" w:hAnsi="Calibri"/>
          <w:color w:val="444444"/>
        </w:rPr>
        <w:t xml:space="preserve"> </w:t>
      </w:r>
      <w:r>
        <w:rPr>
          <w:rFonts w:ascii="Calibri" w:hAnsi="Calibri"/>
          <w:color w:val="008000"/>
          <w:u w:val="single"/>
        </w:rPr>
        <w:t>Směnnou smlouvou lze</w:t>
      </w:r>
      <w:r>
        <w:rPr>
          <w:rFonts w:ascii="Calibri" w:hAnsi="Calibri"/>
          <w:strike/>
          <w:color w:val="FF0000"/>
        </w:rPr>
        <w:t xml:space="preserve"> Mají-li být</w:t>
      </w:r>
      <w:r>
        <w:rPr>
          <w:rFonts w:ascii="Calibri" w:hAnsi="Calibri"/>
          <w:color w:val="444444"/>
        </w:rPr>
        <w:t xml:space="preserve"> práva </w:t>
      </w:r>
      <w:r>
        <w:rPr>
          <w:rFonts w:ascii="Calibri" w:hAnsi="Calibri"/>
          <w:strike/>
          <w:color w:val="FF0000"/>
        </w:rPr>
        <w:t xml:space="preserve"> k pozemku</w:t>
      </w:r>
      <w:r>
        <w:rPr>
          <w:rFonts w:ascii="Calibri" w:hAnsi="Calibri"/>
          <w:color w:val="444444"/>
        </w:rPr>
        <w:t xml:space="preserve"> potřebná pro uskutečnění stavby dopravní infrastruktury </w:t>
      </w:r>
      <w:r>
        <w:rPr>
          <w:rFonts w:ascii="Calibri" w:hAnsi="Calibri"/>
          <w:color w:val="008000"/>
          <w:u w:val="single"/>
        </w:rPr>
        <w:t>získat pouze výměnou</w:t>
      </w:r>
      <w:r>
        <w:rPr>
          <w:rFonts w:ascii="Calibri" w:hAnsi="Calibri"/>
          <w:strike/>
          <w:color w:val="FF0000"/>
        </w:rPr>
        <w:t xml:space="preserve"> získána směnnou smlouvou a je-li dohodou stran určen jiný pozemek,</w:t>
      </w:r>
      <w:r>
        <w:rPr>
          <w:rFonts w:ascii="Calibri" w:hAnsi="Calibri"/>
          <w:color w:val="444444"/>
        </w:rPr>
        <w:t xml:space="preserve"> za </w:t>
      </w:r>
      <w:r>
        <w:rPr>
          <w:rFonts w:ascii="Calibri" w:hAnsi="Calibri"/>
          <w:color w:val="008000"/>
          <w:u w:val="single"/>
        </w:rPr>
        <w:t>práva k pozemku ve vlastnictví České republiky</w:t>
      </w:r>
      <w:r>
        <w:rPr>
          <w:rFonts w:ascii="Calibri" w:hAnsi="Calibri"/>
          <w:strike/>
          <w:color w:val="FF0000"/>
        </w:rPr>
        <w:t xml:space="preserve"> který má být pozemek potřebný pro uskutečnění stavby dopravní infrastruktury směněn, může tento jiný pozemek za účelem provedení směny nabýt koupí Česká republika</w:t>
      </w:r>
      <w:r>
        <w:rPr>
          <w:rFonts w:ascii="Calibri" w:hAnsi="Calibri"/>
          <w:color w:val="444444"/>
        </w:rPr>
        <w:t xml:space="preserve"> nebo </w:t>
      </w:r>
      <w:r>
        <w:rPr>
          <w:rFonts w:ascii="Calibri" w:hAnsi="Calibri"/>
          <w:color w:val="008000"/>
          <w:u w:val="single"/>
        </w:rPr>
        <w:t>právnické osoby zřízené</w:t>
      </w:r>
      <w:r>
        <w:rPr>
          <w:rFonts w:ascii="Calibri" w:hAnsi="Calibri"/>
          <w:strike/>
          <w:color w:val="FF0000"/>
        </w:rPr>
        <w:t xml:space="preserve"> právnická osoba zřízená</w:t>
      </w:r>
      <w:r>
        <w:rPr>
          <w:rFonts w:ascii="Calibri" w:hAnsi="Calibri"/>
          <w:color w:val="444444"/>
        </w:rPr>
        <w:t xml:space="preserve"> zákonem nebo </w:t>
      </w:r>
      <w:r>
        <w:rPr>
          <w:rFonts w:ascii="Calibri" w:hAnsi="Calibri"/>
          <w:color w:val="008000"/>
          <w:u w:val="single"/>
        </w:rPr>
        <w:t>zřízené</w:t>
      </w:r>
      <w:r>
        <w:rPr>
          <w:rFonts w:ascii="Calibri" w:hAnsi="Calibri"/>
          <w:strike/>
          <w:color w:val="FF0000"/>
        </w:rPr>
        <w:t xml:space="preserve"> zřízená</w:t>
      </w:r>
      <w:r>
        <w:rPr>
          <w:rFonts w:ascii="Calibri" w:hAnsi="Calibri"/>
          <w:color w:val="444444"/>
        </w:rPr>
        <w:t xml:space="preserve"> nebo </w:t>
      </w:r>
      <w:r>
        <w:rPr>
          <w:rFonts w:ascii="Calibri" w:hAnsi="Calibri"/>
          <w:color w:val="008000"/>
          <w:u w:val="single"/>
        </w:rPr>
        <w:t>založené</w:t>
      </w:r>
      <w:r>
        <w:rPr>
          <w:rFonts w:ascii="Calibri" w:hAnsi="Calibri"/>
          <w:strike/>
          <w:color w:val="FF0000"/>
        </w:rPr>
        <w:t xml:space="preserve"> založená</w:t>
      </w:r>
      <w:r>
        <w:rPr>
          <w:rFonts w:ascii="Calibri" w:hAnsi="Calibri"/>
          <w:color w:val="444444"/>
        </w:rPr>
        <w:t xml:space="preserve"> státem, vůči níž je stát ovládající osobou. Pro </w:t>
      </w:r>
      <w:r>
        <w:rPr>
          <w:rFonts w:ascii="Calibri" w:hAnsi="Calibri"/>
          <w:color w:val="008000"/>
          <w:u w:val="single"/>
        </w:rPr>
        <w:t>ocenění</w:t>
      </w:r>
      <w:r>
        <w:rPr>
          <w:rFonts w:ascii="Calibri" w:hAnsi="Calibri"/>
          <w:strike/>
          <w:color w:val="FF0000"/>
        </w:rPr>
        <w:t xml:space="preserve"> sjednání kupní ceny</w:t>
      </w:r>
      <w:r>
        <w:rPr>
          <w:rFonts w:ascii="Calibri" w:hAnsi="Calibri"/>
          <w:color w:val="444444"/>
        </w:rPr>
        <w:t xml:space="preserve"> se </w:t>
      </w:r>
      <w:r>
        <w:rPr>
          <w:rFonts w:ascii="Calibri" w:hAnsi="Calibri"/>
          <w:color w:val="008000"/>
          <w:u w:val="single"/>
        </w:rPr>
        <w:t>použije</w:t>
      </w:r>
      <w:r>
        <w:rPr>
          <w:rFonts w:ascii="Calibri" w:hAnsi="Calibri"/>
          <w:color w:val="444444"/>
        </w:rPr>
        <w:t xml:space="preserve"> § 3b </w:t>
      </w:r>
      <w:r>
        <w:rPr>
          <w:rFonts w:ascii="Calibri" w:hAnsi="Calibri"/>
          <w:strike/>
          <w:color w:val="FF0000"/>
        </w:rPr>
        <w:t xml:space="preserve"> nepoužije, s výjimkou ustanovení § 3b</w:t>
      </w:r>
      <w:r>
        <w:rPr>
          <w:rFonts w:ascii="Calibri" w:hAnsi="Calibri"/>
          <w:color w:val="444444"/>
        </w:rPr>
        <w:t xml:space="preserve"> odst. 2. </w:t>
      </w:r>
    </w:p>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15" w:name="pf4a"/>
      <w:r>
        <w:rPr>
          <w:rFonts w:ascii="Calibri" w:hAnsi="Calibri"/>
          <w:b/>
          <w:color w:val="BA3347"/>
          <w:sz w:val="20"/>
        </w:rPr>
        <w:t>§ 4a</w:t>
      </w:r>
    </w:p>
    <w:tbl>
      <w:tblPr>
        <w:tblW w:w="0" w:type="auto"/>
        <w:tblCellSpacing w:w="0" w:type="dxa"/>
        <w:tblLook w:val="04A0" w:firstRow="1" w:lastRow="0" w:firstColumn="1" w:lastColumn="0" w:noHBand="0" w:noVBand="1"/>
      </w:tblPr>
      <w:tblGrid>
        <w:gridCol w:w="275"/>
        <w:gridCol w:w="60"/>
        <w:gridCol w:w="5643"/>
        <w:gridCol w:w="3079"/>
      </w:tblGrid>
      <w:tr w:rsidR="00903B6C">
        <w:trPr>
          <w:trHeight w:val="30"/>
          <w:tblCellSpacing w:w="0" w:type="dxa"/>
        </w:trPr>
        <w:tc>
          <w:tcPr>
            <w:tcW w:w="380" w:type="dxa"/>
            <w:gridSpan w:val="2"/>
            <w:tcMar>
              <w:top w:w="30" w:type="dxa"/>
              <w:left w:w="15" w:type="dxa"/>
              <w:bottom w:w="15" w:type="dxa"/>
              <w:right w:w="15" w:type="dxa"/>
            </w:tcMar>
          </w:tcPr>
          <w:bookmarkEnd w:id="15"/>
          <w:p w:rsidR="00903B6C" w:rsidRDefault="00060EEB">
            <w:pPr>
              <w:spacing w:after="0"/>
            </w:pPr>
            <w:r>
              <w:rPr>
                <w:rFonts w:ascii="Calibri" w:hAnsi="Calibri"/>
                <w:color w:val="000000"/>
                <w:sz w:val="20"/>
              </w:rPr>
              <w:t>(1)</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Dospěje-li vyvlastňovací úřad ve vyvlastňovacím řízení, které se týká práva k pozemku nebo ke stavbě potřebného k uskutečnění stavby dopravní infrastruktury vymezené v zásadách územního rozvoje a uvedené v příloze k tomuto zákonu, k závěru, že podmínky pro vyvlastnění jsou s výjimkou určení výše náhrady za vyvlastnění splněny, vydá na žádost vyvlastnitele mezitímní rozhodnutí                 15                         ⁣               obsahující výroky podle § 24 odst. 3 zákona o vyvlastnění (dále jen „mezitímní rozhodnutí“).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Odvolání proti mezitímnímu rozhodnutí není přípustné.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(3)</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O žalobě proti mezitímnímu rozhodnutí rozhodne soud ve lhůtě 60 dnů; to platí obdobně i pro řízení o opravných prostředcích proti rozhodnutí soudu o žalobě.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(4)</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Návrh na přiznání odkladného účinku žaloby proti mezitímnímu rozhodnutí lze podat pouze společně se žalobou. Návrh na přiznání odkladného účinku opravného prostředku proti rozhodnutí soudu o žalobě podle předchozí věty lze podat pouze společně s opravným prostředkem. K později podanému návrhu na přiznání odkladného účinku soud nepřihlíží.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(5)</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Nebylo-li mezitímní rozhodnutí soudem zrušeno, vyvlastnitel zaplatí vyvlastňovanému zálohu na náhradu za vyvlastnění ve výši stanovené znaleckým posudkem, který připojil k návrhu smlouvy o získání práv k pozemku nebo ke stavbě, do 60 dnů od právní moci                     </w:t>
            </w:r>
          </w:p>
          <w:tbl>
            <w:tblPr>
              <w:tblW w:w="0" w:type="auto"/>
              <w:tblCellSpacing w:w="0" w:type="dxa"/>
              <w:tblLook w:val="04A0" w:firstRow="1" w:lastRow="0" w:firstColumn="1" w:lastColumn="0" w:noHBand="0" w:noVBand="1"/>
            </w:tblPr>
            <w:tblGrid>
              <w:gridCol w:w="316"/>
              <w:gridCol w:w="8331"/>
            </w:tblGrid>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mezitímního rozhodnutí,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rozhodnutí soudu o žalobě proti mezitímnímu rozhodnutí, byla-li podána, nebo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rozhodnutí soudu o opravném prostředku proti rozhodnutí soudu o žalobě, byl-li podán.                              </w:t>
                  </w:r>
                </w:p>
              </w:tc>
            </w:tr>
          </w:tbl>
          <w:p w:rsidR="00903B6C" w:rsidRDefault="00903B6C"/>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(6)</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Byla-li podána žaloba proti mezitímnímu rozhodnutí nebo byl-li podán opravný prostředek proti rozhodnutí soudu o této žalobě, vyvlastňovací úřad nevydá rozhodnutí o zbytku věci dříve, než nabude právní moci rozhodnutí soudu o žalobě nebo opravném prostředku.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(7)</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Je-li náhrada za vyvlastnění stanovená v rozhodnutí o zbytku věci vyšší než zaplacená záloha na náhradu za vyvlastnění, vyvlastnitel vyrovná rozdíl nejpozději do 60 dnů od právní moci rozhodnutí o zbytku věci. Je-li náhrada za vyvlastnění stanovená v rozhodnutí o zbytku věci nižší než zaplacená záloha na náhradu za vyvlastnění, vyvlastňovaný vrátí rozdíl nejpozději do 60 dnů od právní moci rozhodnutí o zbytku věci.                     </w:t>
            </w:r>
          </w:p>
        </w:tc>
      </w:tr>
      <w:tr w:rsidR="00903B6C">
        <w:trPr>
          <w:trHeight w:val="30"/>
          <w:tblCellSpacing w:w="0" w:type="dxa"/>
        </w:trPr>
        <w:tc>
          <w:tcPr>
            <w:tcW w:w="380" w:type="dxa"/>
            <w:gridSpan w:val="2"/>
            <w:tcMar>
              <w:top w:w="30" w:type="dxa"/>
              <w:left w:w="15" w:type="dxa"/>
              <w:bottom w:w="15" w:type="dxa"/>
              <w:right w:w="15" w:type="dxa"/>
            </w:tcMar>
          </w:tcPr>
          <w:p w:rsidR="00903B6C" w:rsidRDefault="00060EEB">
            <w:pPr>
              <w:spacing w:after="0"/>
            </w:pPr>
            <w:r>
              <w:rPr>
                <w:rFonts w:ascii="Calibri" w:hAnsi="Calibri"/>
                <w:color w:val="000000"/>
                <w:sz w:val="20"/>
              </w:rPr>
              <w:t>(8)</w:t>
            </w:r>
          </w:p>
        </w:tc>
        <w:tc>
          <w:tcPr>
            <w:tcW w:w="12574" w:type="dxa"/>
            <w:gridSpan w:val="2"/>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Zanikají-li vyvlastněním současně i věcná břemena váznoucí na pozemku nebo stavbě, odstavce 5 a 7 se uplatní obdobně i vůči oprávněnému z věcného břemene, jehož práva vyvlastněním zanikají.                     </w:t>
            </w:r>
          </w:p>
        </w:tc>
      </w:tr>
      <w:tr w:rsidR="00903B6C">
        <w:tblPrEx>
          <w:tblCellSpacing w:w="20" w:type="dxa"/>
          <w:tblBorders>
            <w:top w:val="dotted" w:sz="8" w:space="0" w:color="808080"/>
          </w:tblBorders>
        </w:tblPrEx>
        <w:trPr>
          <w:gridAfter w:val="1"/>
          <w:wAfter w:w="4534" w:type="dxa"/>
          <w:trHeight w:val="30"/>
          <w:tblCellSpacing w:w="20" w:type="dxa"/>
        </w:trPr>
        <w:tc>
          <w:tcPr>
            <w:tcW w:w="293" w:type="dxa"/>
            <w:tcMar>
              <w:top w:w="15" w:type="dxa"/>
              <w:left w:w="15" w:type="dxa"/>
              <w:bottom w:w="15" w:type="dxa"/>
              <w:right w:w="15" w:type="dxa"/>
            </w:tcMar>
          </w:tcPr>
          <w:p w:rsidR="00903B6C" w:rsidRDefault="00060EEB">
            <w:pPr>
              <w:spacing w:after="0"/>
              <w:jc w:val="center"/>
            </w:pPr>
            <w:r>
              <w:rPr>
                <w:rFonts w:ascii="Calibri" w:hAnsi="Calibri"/>
                <w:color w:val="000000"/>
                <w:sz w:val="16"/>
              </w:rPr>
              <w:t>15</w:t>
            </w:r>
          </w:p>
        </w:tc>
        <w:tc>
          <w:tcPr>
            <w:tcW w:w="8127" w:type="dxa"/>
            <w:gridSpan w:val="2"/>
            <w:tcMar>
              <w:top w:w="15" w:type="dxa"/>
              <w:left w:w="15" w:type="dxa"/>
              <w:bottom w:w="15" w:type="dxa"/>
              <w:right w:w="15" w:type="dxa"/>
            </w:tcMar>
          </w:tcPr>
          <w:p w:rsidR="00903B6C" w:rsidRDefault="00060EEB">
            <w:pPr>
              <w:spacing w:after="60"/>
              <w:jc w:val="both"/>
            </w:pPr>
            <w:r>
              <w:rPr>
                <w:rFonts w:ascii="Calibri" w:hAnsi="Calibri"/>
                <w:color w:val="444444"/>
              </w:rPr>
              <w:t xml:space="preserve">                        § 148                         zákona č.                         500/2004 Sb.                        ,                         správní řád                        , ve znění pozdějších předpisů.                     </w:t>
            </w:r>
          </w:p>
        </w:tc>
      </w:tr>
    </w:tbl>
    <w:p w:rsidR="00903B6C" w:rsidRDefault="00060EEB">
      <w:pPr>
        <w:spacing w:after="0"/>
        <w:jc w:val="center"/>
      </w:pPr>
      <w:r>
        <w:rPr>
          <w:rFonts w:ascii="Calibri" w:hAnsi="Calibri"/>
          <w:color w:val="000000"/>
        </w:rPr>
        <w:t xml:space="preserve">      </w:t>
      </w:r>
      <w:r>
        <w:rPr>
          <w:rFonts w:ascii="Calibri" w:hAnsi="Calibri"/>
          <w:color w:val="0000FF"/>
        </w:rPr>
        <w:t> </w:t>
      </w:r>
    </w:p>
    <w:p w:rsidR="00903B6C" w:rsidRDefault="00060EEB">
      <w:pPr>
        <w:spacing w:after="0"/>
        <w:jc w:val="center"/>
      </w:pPr>
      <w:bookmarkStart w:id="16" w:name="pf5"/>
      <w:bookmarkStart w:id="17" w:name="document_fragment_onrf6mrqga4v6nbrgyxhaz"/>
      <w:r>
        <w:rPr>
          <w:rFonts w:ascii="Calibri" w:hAnsi="Calibri"/>
          <w:b/>
          <w:color w:val="BA3347"/>
          <w:sz w:val="20"/>
        </w:rPr>
        <w:t>§ 5</w:t>
      </w:r>
    </w:p>
    <w:bookmarkEnd w:id="16"/>
    <w:p w:rsidR="00903B6C" w:rsidRDefault="00060EEB">
      <w:pPr>
        <w:spacing w:after="0"/>
        <w:jc w:val="center"/>
      </w:pPr>
      <w:r>
        <w:rPr>
          <w:rFonts w:ascii="Calibri" w:hAnsi="Calibri"/>
          <w:strike/>
          <w:color w:val="FF0000"/>
        </w:rPr>
        <w:t>( 1)</w:t>
      </w:r>
      <w:r>
        <w:rPr>
          <w:rFonts w:ascii="Calibri" w:hAnsi="Calibri"/>
          <w:color w:val="000000"/>
        </w:rPr>
        <w:t xml:space="preserve">  </w:t>
      </w:r>
    </w:p>
    <w:p w:rsidR="00903B6C" w:rsidRDefault="00060EEB">
      <w:pPr>
        <w:spacing w:after="60"/>
        <w:jc w:val="both"/>
      </w:pPr>
      <w:r>
        <w:rPr>
          <w:rFonts w:ascii="Calibri" w:hAnsi="Calibri"/>
          <w:color w:val="444444"/>
        </w:rPr>
        <w:t xml:space="preserve"> Pokud uskutečnění </w:t>
      </w:r>
      <w:r>
        <w:rPr>
          <w:rFonts w:ascii="Calibri" w:hAnsi="Calibri"/>
          <w:color w:val="008000"/>
          <w:u w:val="single"/>
        </w:rPr>
        <w:t>stavby</w:t>
      </w:r>
      <w:r>
        <w:rPr>
          <w:rFonts w:ascii="Calibri" w:hAnsi="Calibri"/>
          <w:color w:val="444444"/>
        </w:rPr>
        <w:t xml:space="preserve"> dopravní, vodní </w:t>
      </w:r>
      <w:r>
        <w:rPr>
          <w:rFonts w:ascii="Calibri" w:hAnsi="Calibri"/>
          <w:color w:val="008000"/>
          <w:u w:val="single"/>
        </w:rPr>
        <w:t>nebo</w:t>
      </w:r>
      <w:r>
        <w:rPr>
          <w:rFonts w:ascii="Calibri" w:hAnsi="Calibri"/>
          <w:strike/>
          <w:color w:val="FF0000"/>
        </w:rPr>
        <w:t xml:space="preserve"> a</w:t>
      </w:r>
      <w:r>
        <w:rPr>
          <w:rFonts w:ascii="Calibri" w:hAnsi="Calibri"/>
          <w:color w:val="444444"/>
        </w:rPr>
        <w:t xml:space="preserve"> energetické infrastruktury brání </w:t>
      </w:r>
      <w:r>
        <w:rPr>
          <w:rFonts w:ascii="Calibri" w:hAnsi="Calibri"/>
          <w:color w:val="008000"/>
          <w:u w:val="single"/>
        </w:rPr>
        <w:t>nájem nebo pacht vztahující se</w:t>
      </w:r>
      <w:r>
        <w:rPr>
          <w:rFonts w:ascii="Calibri" w:hAnsi="Calibri"/>
          <w:strike/>
          <w:color w:val="FF0000"/>
        </w:rPr>
        <w:t xml:space="preserve"> nájemní právo</w:t>
      </w:r>
      <w:r>
        <w:rPr>
          <w:rFonts w:ascii="Calibri" w:hAnsi="Calibri"/>
          <w:color w:val="444444"/>
        </w:rPr>
        <w:t xml:space="preserve"> k pozemku nebo stavbě ve vlastnictví stavebníka, </w:t>
      </w:r>
      <w:r>
        <w:rPr>
          <w:rFonts w:ascii="Calibri" w:hAnsi="Calibri"/>
          <w:strike/>
          <w:color w:val="FF0000"/>
        </w:rPr>
        <w:t xml:space="preserve"> které by zaniklo vyvlastněním podle zákona o vyvlastnění,</w:t>
      </w:r>
      <w:r>
        <w:rPr>
          <w:rFonts w:ascii="Calibri" w:hAnsi="Calibri"/>
          <w:color w:val="444444"/>
        </w:rPr>
        <w:t xml:space="preserve"> je stavebník oprávněn nájem </w:t>
      </w:r>
      <w:r>
        <w:rPr>
          <w:rFonts w:ascii="Calibri" w:hAnsi="Calibri"/>
          <w:strike/>
          <w:color w:val="FF0000"/>
        </w:rPr>
        <w:t xml:space="preserve"> pozemku</w:t>
      </w:r>
      <w:r>
        <w:rPr>
          <w:rFonts w:ascii="Calibri" w:hAnsi="Calibri"/>
          <w:color w:val="444444"/>
        </w:rPr>
        <w:t xml:space="preserve"> nebo </w:t>
      </w:r>
      <w:r>
        <w:rPr>
          <w:rFonts w:ascii="Calibri" w:hAnsi="Calibri"/>
          <w:color w:val="008000"/>
          <w:u w:val="single"/>
        </w:rPr>
        <w:t>pacht</w:t>
      </w:r>
      <w:r>
        <w:rPr>
          <w:rFonts w:ascii="Calibri" w:hAnsi="Calibri"/>
          <w:strike/>
          <w:color w:val="FF0000"/>
        </w:rPr>
        <w:t xml:space="preserve"> stavby</w:t>
      </w:r>
      <w:r>
        <w:rPr>
          <w:rFonts w:ascii="Calibri" w:hAnsi="Calibri"/>
          <w:color w:val="444444"/>
        </w:rPr>
        <w:t xml:space="preserve"> vypovědět </w:t>
      </w:r>
      <w:r>
        <w:rPr>
          <w:rFonts w:ascii="Calibri" w:hAnsi="Calibri"/>
          <w:strike/>
          <w:color w:val="FF0000"/>
        </w:rPr>
        <w:t xml:space="preserve"> podle zvláštního zákona,</w:t>
      </w:r>
      <w:r>
        <w:rPr>
          <w:rFonts w:ascii="Calibri" w:hAnsi="Calibri"/>
          <w:color w:val="444444"/>
        </w:rPr>
        <w:t xml:space="preserve"> bez ohledu na sjednanou dobu trvání nájmu </w:t>
      </w:r>
      <w:r>
        <w:rPr>
          <w:rFonts w:ascii="Calibri" w:hAnsi="Calibri"/>
          <w:color w:val="008000"/>
          <w:u w:val="single"/>
        </w:rPr>
        <w:t>nebo pachtu. Nájem nebo pacht skončí uplynutím výpovědní doby</w:t>
      </w:r>
      <w:r>
        <w:rPr>
          <w:rFonts w:ascii="Calibri" w:hAnsi="Calibri"/>
          <w:color w:val="444444"/>
        </w:rPr>
        <w:t xml:space="preserve">, </w:t>
      </w:r>
      <w:r>
        <w:rPr>
          <w:rFonts w:ascii="Calibri" w:hAnsi="Calibri"/>
          <w:color w:val="008000"/>
          <w:u w:val="single"/>
        </w:rPr>
        <w:t>která je 3 měsíce, bez ohledu na konec pachtovního roku</w:t>
      </w:r>
      <w:r>
        <w:rPr>
          <w:rFonts w:ascii="Calibri" w:hAnsi="Calibri"/>
          <w:strike/>
          <w:color w:val="FF0000"/>
        </w:rPr>
        <w:t xml:space="preserve"> pokud se s nájemcem nedohodne jinak</w:t>
      </w:r>
      <w:r>
        <w:rPr>
          <w:rFonts w:ascii="Calibri" w:hAnsi="Calibri"/>
          <w:color w:val="444444"/>
        </w:rPr>
        <w:t xml:space="preserve">. </w:t>
      </w:r>
      <w:r>
        <w:rPr>
          <w:rFonts w:ascii="Calibri" w:hAnsi="Calibri"/>
          <w:color w:val="008000"/>
          <w:u w:val="single"/>
        </w:rPr>
        <w:t>Nájemce nebo pachtýř má nárok na náhradu škody způsobené</w:t>
      </w:r>
      <w:r>
        <w:rPr>
          <w:rFonts w:ascii="Calibri" w:hAnsi="Calibri"/>
          <w:strike/>
          <w:color w:val="FF0000"/>
        </w:rPr>
        <w:t xml:space="preserve"> Nájemci v takovém případě přísluší náhrada nákladů spojených s</w:t>
      </w:r>
      <w:r>
        <w:rPr>
          <w:rFonts w:ascii="Calibri" w:hAnsi="Calibri"/>
          <w:color w:val="444444"/>
        </w:rPr>
        <w:t xml:space="preserve"> ukončením nájmu </w:t>
      </w:r>
      <w:r>
        <w:rPr>
          <w:rFonts w:ascii="Calibri" w:hAnsi="Calibri"/>
          <w:color w:val="008000"/>
          <w:u w:val="single"/>
        </w:rPr>
        <w:t>nebo pachtu</w:t>
      </w:r>
      <w:r>
        <w:rPr>
          <w:rFonts w:ascii="Calibri" w:hAnsi="Calibri"/>
          <w:color w:val="444444"/>
        </w:rPr>
        <w:t xml:space="preserve">. </w:t>
      </w:r>
      <w:r>
        <w:rPr>
          <w:rFonts w:ascii="Calibri" w:hAnsi="Calibri"/>
          <w:strike/>
          <w:color w:val="FF0000"/>
        </w:rPr>
        <w:t>( 2) Ustanovení odstavce 1 se použije i pro nájem bytu. Právo nájemce na bytovou náhradu podle zvláštního právního předpisu není dotčeno.</w:t>
      </w:r>
      <w:r>
        <w:rPr>
          <w:rFonts w:ascii="Calibri" w:hAnsi="Calibri"/>
          <w:color w:val="444444"/>
        </w:rPr>
        <w:t xml:space="preserve"> </w:t>
      </w:r>
    </w:p>
    <w:bookmarkEnd w:id="3"/>
    <w:bookmarkEnd w:id="17"/>
    <w:p w:rsidR="00903B6C" w:rsidRDefault="00060EEB">
      <w:pPr>
        <w:spacing w:after="0"/>
        <w:jc w:val="center"/>
      </w:pPr>
      <w:r>
        <w:rPr>
          <w:rFonts w:ascii="Calibri" w:hAnsi="Calibri"/>
          <w:color w:val="000000"/>
        </w:rPr>
        <w:t xml:space="preserve">                     </w:t>
      </w:r>
      <w:bookmarkStart w:id="18" w:name="document_fragment_anchor_onrf6mrqga4v6nb"/>
      <w:r>
        <w:rPr>
          <w:rFonts w:ascii="Calibri" w:hAnsi="Calibri"/>
          <w:color w:val="0000FF"/>
        </w:rPr>
        <w:t> </w:t>
      </w:r>
      <w:bookmarkEnd w:id="18"/>
    </w:p>
    <w:p w:rsidR="00903B6C" w:rsidRDefault="00060EEB">
      <w:pPr>
        <w:spacing w:after="75"/>
        <w:jc w:val="right"/>
      </w:pPr>
      <w:bookmarkStart w:id="19" w:name="pr1"/>
      <w:bookmarkStart w:id="20" w:name="document_fragment_onrf6mrqga4v6nbrgyxha4"/>
      <w:r>
        <w:rPr>
          <w:rFonts w:ascii="Calibri" w:hAnsi="Calibri"/>
          <w:b/>
          <w:color w:val="BA3347"/>
          <w:sz w:val="20"/>
        </w:rPr>
        <w:t>Příloha</w:t>
      </w:r>
    </w:p>
    <w:tbl>
      <w:tblPr>
        <w:tblW w:w="0" w:type="auto"/>
        <w:tblCellSpacing w:w="0" w:type="dxa"/>
        <w:tblLook w:val="04A0" w:firstRow="1" w:lastRow="0" w:firstColumn="1" w:lastColumn="0" w:noHBand="0" w:noVBand="1"/>
      </w:tblPr>
      <w:tblGrid>
        <w:gridCol w:w="310"/>
        <w:gridCol w:w="8747"/>
      </w:tblGrid>
      <w:tr w:rsidR="00903B6C">
        <w:trPr>
          <w:trHeight w:val="30"/>
          <w:tblCellSpacing w:w="0" w:type="dxa"/>
        </w:trPr>
        <w:tc>
          <w:tcPr>
            <w:tcW w:w="380" w:type="dxa"/>
            <w:tcMar>
              <w:top w:w="30" w:type="dxa"/>
              <w:left w:w="15" w:type="dxa"/>
              <w:bottom w:w="15" w:type="dxa"/>
              <w:right w:w="15" w:type="dxa"/>
            </w:tcMar>
          </w:tcPr>
          <w:bookmarkEnd w:id="19"/>
          <w:p w:rsidR="00903B6C" w:rsidRDefault="00060EEB">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Dálnice a silnice                     </w:t>
            </w:r>
          </w:p>
          <w:tbl>
            <w:tblPr>
              <w:tblW w:w="0" w:type="auto"/>
              <w:tblCellSpacing w:w="0" w:type="dxa"/>
              <w:tblLook w:val="04A0" w:firstRow="1" w:lastRow="0" w:firstColumn="1" w:lastColumn="0" w:noHBand="0" w:noVBand="1"/>
            </w:tblPr>
            <w:tblGrid>
              <w:gridCol w:w="348"/>
              <w:gridCol w:w="8324"/>
            </w:tblGrid>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1.1</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Dálnice                              </w:t>
                  </w:r>
                </w:p>
                <w:p w:rsidR="00903B6C" w:rsidRDefault="00060EEB">
                  <w:pPr>
                    <w:spacing w:after="60"/>
                    <w:jc w:val="both"/>
                  </w:pPr>
                  <w:r>
                    <w:rPr>
                      <w:rFonts w:ascii="Calibri" w:hAnsi="Calibri"/>
                      <w:color w:val="444444"/>
                    </w:rPr>
                    <w:t xml:space="preserve">                                 D0 (Pražský okruh), D1, D2, D3, D4, D5, D6, D7, D8, D10, D11, D35, D43, D48, D49, D52, D55,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1.2</w:t>
                  </w:r>
                </w:p>
              </w:tc>
              <w:tc>
                <w:tcPr>
                  <w:tcW w:w="1211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Silnice I. třídy                              </w:t>
                  </w:r>
                </w:p>
                <w:p w:rsidR="00903B6C" w:rsidRDefault="00060EEB">
                  <w:pPr>
                    <w:spacing w:after="60"/>
                    <w:jc w:val="both"/>
                  </w:pPr>
                  <w:r>
                    <w:rPr>
                      <w:rFonts w:ascii="Calibri" w:hAnsi="Calibri"/>
                      <w:color w:val="444444"/>
                    </w:rPr>
                    <w:t xml:space="preserve">                                 I/12, I/33, I/35, I/42, I/49,                              </w:t>
                  </w:r>
                </w:p>
              </w:tc>
            </w:tr>
          </w:tbl>
          <w:p w:rsidR="00903B6C" w:rsidRDefault="00903B6C"/>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Dráhy                     </w:t>
            </w:r>
          </w:p>
          <w:p w:rsidR="00903B6C" w:rsidRDefault="00060EEB">
            <w:pPr>
              <w:spacing w:after="60"/>
              <w:jc w:val="both"/>
            </w:pPr>
            <w:r>
              <w:rPr>
                <w:rFonts w:ascii="Calibri" w:hAnsi="Calibri"/>
                <w:color w:val="444444"/>
              </w:rPr>
              <w:t xml:space="preserve">                        železniční trať Praha – Plzeň – Domažlice – státní hranice,                     </w:t>
            </w:r>
          </w:p>
          <w:p w:rsidR="00903B6C" w:rsidRDefault="00060EEB">
            <w:pPr>
              <w:spacing w:after="60"/>
              <w:jc w:val="both"/>
            </w:pPr>
            <w:r>
              <w:rPr>
                <w:rFonts w:ascii="Calibri" w:hAnsi="Calibri"/>
                <w:color w:val="444444"/>
              </w:rPr>
              <w:t xml:space="preserve">                        železniční trať Ústí nad Labem – Cheb,                     </w:t>
            </w:r>
          </w:p>
          <w:p w:rsidR="00903B6C" w:rsidRDefault="00060EEB">
            <w:pPr>
              <w:spacing w:after="60"/>
              <w:jc w:val="both"/>
            </w:pPr>
            <w:r>
              <w:rPr>
                <w:rFonts w:ascii="Calibri" w:hAnsi="Calibri"/>
                <w:color w:val="444444"/>
              </w:rPr>
              <w:t xml:space="preserve">                        železniční trať Plzeň – České Budějovice,                     </w:t>
            </w:r>
          </w:p>
          <w:p w:rsidR="00903B6C" w:rsidRDefault="00060EEB">
            <w:pPr>
              <w:spacing w:after="60"/>
              <w:jc w:val="both"/>
            </w:pPr>
            <w:r>
              <w:rPr>
                <w:rFonts w:ascii="Calibri" w:hAnsi="Calibri"/>
                <w:color w:val="444444"/>
              </w:rPr>
              <w:t xml:space="preserve">                        železniční trať Praha – České Budějovice – Horní Dvořiště – státní hranice,                     </w:t>
            </w:r>
          </w:p>
          <w:p w:rsidR="00903B6C" w:rsidRDefault="00060EEB">
            <w:pPr>
              <w:spacing w:after="60"/>
              <w:jc w:val="both"/>
            </w:pPr>
            <w:r>
              <w:rPr>
                <w:rFonts w:ascii="Calibri" w:hAnsi="Calibri"/>
                <w:color w:val="444444"/>
              </w:rPr>
              <w:t xml:space="preserve">                        železniční spojení Praha – Kladno vč. napojení letiště Václava Havla Praha,                     </w:t>
            </w:r>
          </w:p>
          <w:p w:rsidR="00903B6C" w:rsidRDefault="00060EEB">
            <w:pPr>
              <w:spacing w:after="60"/>
              <w:jc w:val="both"/>
            </w:pPr>
            <w:r>
              <w:rPr>
                <w:rFonts w:ascii="Calibri" w:hAnsi="Calibri"/>
                <w:color w:val="444444"/>
              </w:rPr>
              <w:t xml:space="preserve">                        železniční trať Praha Vysočany – Lysá nad Labem,                     </w:t>
            </w:r>
          </w:p>
          <w:p w:rsidR="00903B6C" w:rsidRDefault="00060EEB">
            <w:pPr>
              <w:spacing w:after="60"/>
              <w:jc w:val="both"/>
            </w:pPr>
            <w:r>
              <w:rPr>
                <w:rFonts w:ascii="Calibri" w:hAnsi="Calibri"/>
                <w:color w:val="444444"/>
              </w:rPr>
              <w:t xml:space="preserve">                        železniční trať Hradec Králové – Pardubice – Chrudim,                     </w:t>
            </w:r>
          </w:p>
          <w:p w:rsidR="00903B6C" w:rsidRDefault="00060EEB">
            <w:pPr>
              <w:spacing w:after="60"/>
              <w:jc w:val="both"/>
            </w:pPr>
            <w:r>
              <w:rPr>
                <w:rFonts w:ascii="Calibri" w:hAnsi="Calibri"/>
                <w:color w:val="444444"/>
              </w:rPr>
              <w:t xml:space="preserve">                        železniční trať Praha – Česká Třebová – Brno,                     </w:t>
            </w:r>
          </w:p>
          <w:p w:rsidR="00903B6C" w:rsidRDefault="00060EEB">
            <w:pPr>
              <w:spacing w:after="60"/>
              <w:jc w:val="both"/>
            </w:pPr>
            <w:r>
              <w:rPr>
                <w:rFonts w:ascii="Calibri" w:hAnsi="Calibri"/>
                <w:color w:val="444444"/>
              </w:rPr>
              <w:t xml:space="preserve">                        železniční trať Velký Osek – Hradec Králové – Choceň,                     </w:t>
            </w:r>
          </w:p>
          <w:p w:rsidR="00903B6C" w:rsidRDefault="00060EEB">
            <w:pPr>
              <w:spacing w:after="60"/>
              <w:jc w:val="both"/>
            </w:pPr>
            <w:r>
              <w:rPr>
                <w:rFonts w:ascii="Calibri" w:hAnsi="Calibri"/>
                <w:color w:val="444444"/>
              </w:rPr>
              <w:t xml:space="preserve">                        železniční trať Týniště nad Orlicí – Častolovice – Solnice,                     </w:t>
            </w:r>
          </w:p>
          <w:p w:rsidR="00903B6C" w:rsidRDefault="00060EEB">
            <w:pPr>
              <w:spacing w:after="60"/>
              <w:jc w:val="both"/>
            </w:pPr>
            <w:r>
              <w:rPr>
                <w:rFonts w:ascii="Calibri" w:hAnsi="Calibri"/>
                <w:color w:val="444444"/>
              </w:rPr>
              <w:t xml:space="preserve">                        železniční trať Prostřední Žleb – Děčín – Mělník – Kolín – Havlíčkův Brod – Brno,                     </w:t>
            </w:r>
          </w:p>
          <w:p w:rsidR="00903B6C" w:rsidRDefault="00060EEB">
            <w:pPr>
              <w:spacing w:after="60"/>
              <w:jc w:val="both"/>
            </w:pPr>
            <w:r>
              <w:rPr>
                <w:rFonts w:ascii="Calibri" w:hAnsi="Calibri"/>
                <w:color w:val="444444"/>
              </w:rPr>
              <w:t xml:space="preserve">                        železniční trať Brno – Zastávka u Brna – Okříšky,                     </w:t>
            </w:r>
          </w:p>
          <w:p w:rsidR="00903B6C" w:rsidRDefault="00060EEB">
            <w:pPr>
              <w:spacing w:after="60"/>
              <w:jc w:val="both"/>
            </w:pPr>
            <w:r>
              <w:rPr>
                <w:rFonts w:ascii="Calibri" w:hAnsi="Calibri"/>
                <w:color w:val="444444"/>
              </w:rPr>
              <w:t xml:space="preserve">                        RS 1 Praha – Brno – Přerov – Ostrava – hranice PL,                     </w:t>
            </w:r>
          </w:p>
          <w:p w:rsidR="00903B6C" w:rsidRDefault="00060EEB">
            <w:pPr>
              <w:spacing w:after="60"/>
              <w:jc w:val="both"/>
            </w:pPr>
            <w:r>
              <w:rPr>
                <w:rFonts w:ascii="Calibri" w:hAnsi="Calibri"/>
                <w:color w:val="444444"/>
              </w:rPr>
              <w:t xml:space="preserve">                        RS 2 Brno – Břeclav – st. hr. SK/                        AT                        ,                     </w:t>
            </w:r>
          </w:p>
          <w:p w:rsidR="00903B6C" w:rsidRDefault="00060EEB">
            <w:pPr>
              <w:spacing w:after="60"/>
              <w:jc w:val="both"/>
            </w:pPr>
            <w:r>
              <w:rPr>
                <w:rFonts w:ascii="Calibri" w:hAnsi="Calibri"/>
                <w:color w:val="444444"/>
              </w:rPr>
              <w:t xml:space="preserve">                        RS 4 Drážďany – Ústí n. Labem – Praha vč. odbočky Kralupy (Nová Ves) – Louny – Most,                     </w:t>
            </w:r>
          </w:p>
          <w:p w:rsidR="00903B6C" w:rsidRDefault="00060EEB">
            <w:pPr>
              <w:spacing w:after="60"/>
              <w:jc w:val="both"/>
            </w:pPr>
            <w:r>
              <w:rPr>
                <w:rFonts w:ascii="Calibri" w:hAnsi="Calibri"/>
                <w:color w:val="444444"/>
              </w:rPr>
              <w:t xml:space="preserve">                        železniční trať Otrokovice – Vizovice,                     </w:t>
            </w:r>
          </w:p>
          <w:p w:rsidR="00903B6C" w:rsidRDefault="00060EEB">
            <w:pPr>
              <w:spacing w:after="60"/>
              <w:jc w:val="both"/>
            </w:pPr>
            <w:r>
              <w:rPr>
                <w:rFonts w:ascii="Calibri" w:hAnsi="Calibri"/>
                <w:color w:val="444444"/>
              </w:rPr>
              <w:t xml:space="preserve">                        železniční trať Hranice na Moravě – Horní Lideč,                     </w:t>
            </w:r>
          </w:p>
          <w:p w:rsidR="00903B6C" w:rsidRDefault="00060EEB">
            <w:pPr>
              <w:spacing w:after="60"/>
              <w:jc w:val="both"/>
            </w:pPr>
            <w:r>
              <w:rPr>
                <w:rFonts w:ascii="Calibri" w:hAnsi="Calibri"/>
                <w:color w:val="444444"/>
              </w:rPr>
              <w:t xml:space="preserve">                        stavby v rámci železničního uzlu Praha (ohraničeného železničními stanicemi Praha-Ruzyně, Praha-Zličín, Praha-Řeporyje, Praha-Radotín, Praha-Zbraslav, Praha-Uhříněves, Praha-Běchovice, Praha-Horní Počernice, Praha-Čakovice, Roztoky u Prahy),                     </w:t>
            </w:r>
          </w:p>
          <w:p w:rsidR="00903B6C" w:rsidRDefault="00060EEB">
            <w:pPr>
              <w:spacing w:after="60"/>
              <w:jc w:val="both"/>
            </w:pPr>
            <w:r>
              <w:rPr>
                <w:rFonts w:ascii="Calibri" w:hAnsi="Calibri"/>
                <w:color w:val="444444"/>
              </w:rPr>
              <w:t xml:space="preserve">                        stavby v rámci železničního uzlu Brno (ohraničeného železničními stanicemi Brno-Maloměřice, Starý Lískovec, Modřice, Chrlice, Ponětovice),                     </w:t>
            </w:r>
          </w:p>
          <w:p w:rsidR="00903B6C" w:rsidRDefault="00060EEB">
            <w:pPr>
              <w:spacing w:after="60"/>
              <w:jc w:val="both"/>
            </w:pPr>
            <w:r>
              <w:rPr>
                <w:rFonts w:ascii="Calibri" w:hAnsi="Calibri"/>
                <w:color w:val="444444"/>
              </w:rPr>
              <w:t xml:space="preserve">                        stavby v rámci železničního uzlu Ostrava (ohraničeného železničními stanicemi Polanka nad Odrou, Frýdek-Místek, Český Těšín, Petrovice u Karviné, hraniční přechod Bohumín/Chalupki, Ostrava-Třebovice),                     </w:t>
            </w:r>
          </w:p>
          <w:p w:rsidR="00903B6C" w:rsidRDefault="00060EEB">
            <w:pPr>
              <w:spacing w:after="60"/>
              <w:jc w:val="both"/>
            </w:pPr>
            <w:r>
              <w:rPr>
                <w:rFonts w:ascii="Calibri" w:hAnsi="Calibri"/>
                <w:color w:val="444444"/>
              </w:rPr>
              <w:t xml:space="preserve">                        železniční trať Olomouc – Šumperk,                     </w:t>
            </w:r>
          </w:p>
          <w:p w:rsidR="00903B6C" w:rsidRDefault="00060EEB">
            <w:pPr>
              <w:spacing w:after="60"/>
              <w:jc w:val="both"/>
            </w:pPr>
            <w:r>
              <w:rPr>
                <w:rFonts w:ascii="Calibri" w:hAnsi="Calibri"/>
                <w:color w:val="444444"/>
              </w:rPr>
              <w:t xml:space="preserve">                        dráhy speciální,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Infrastruktura pro vodní dopravu                     </w:t>
            </w:r>
          </w:p>
          <w:p w:rsidR="00903B6C" w:rsidRDefault="00060EEB">
            <w:pPr>
              <w:spacing w:after="60"/>
              <w:jc w:val="both"/>
            </w:pPr>
            <w:r>
              <w:rPr>
                <w:rFonts w:ascii="Calibri" w:hAnsi="Calibri"/>
                <w:color w:val="444444"/>
              </w:rPr>
              <w:t xml:space="preserve">                        plavební stupeň Děčín,                     </w:t>
            </w:r>
          </w:p>
          <w:p w:rsidR="00903B6C" w:rsidRDefault="00060EEB">
            <w:pPr>
              <w:spacing w:after="60"/>
              <w:jc w:val="both"/>
            </w:pPr>
            <w:r>
              <w:rPr>
                <w:rFonts w:ascii="Calibri" w:hAnsi="Calibri"/>
                <w:color w:val="444444"/>
              </w:rPr>
              <w:t xml:space="preserve">                        plavební stupeň Přelouč,                     </w:t>
            </w:r>
          </w:p>
        </w:tc>
      </w:tr>
      <w:tr w:rsidR="00903B6C">
        <w:trPr>
          <w:trHeight w:val="30"/>
          <w:tblCellSpacing w:w="0" w:type="dxa"/>
        </w:trPr>
        <w:tc>
          <w:tcPr>
            <w:tcW w:w="380" w:type="dxa"/>
            <w:tcMar>
              <w:top w:w="30" w:type="dxa"/>
              <w:left w:w="15" w:type="dxa"/>
              <w:bottom w:w="15" w:type="dxa"/>
              <w:right w:w="15" w:type="dxa"/>
            </w:tcMar>
          </w:tcPr>
          <w:p w:rsidR="00903B6C" w:rsidRDefault="00060EEB">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03B6C" w:rsidRDefault="00060EEB">
            <w:pPr>
              <w:spacing w:after="60"/>
              <w:jc w:val="both"/>
            </w:pPr>
            <w:r>
              <w:rPr>
                <w:rFonts w:ascii="Calibri" w:hAnsi="Calibri"/>
                <w:color w:val="444444"/>
              </w:rPr>
              <w:t xml:space="preserve">                        Infrastruktura pro leteckou dopravu                     </w:t>
            </w:r>
          </w:p>
          <w:p w:rsidR="00903B6C" w:rsidRDefault="00060EEB">
            <w:pPr>
              <w:spacing w:after="60"/>
              <w:jc w:val="both"/>
            </w:pPr>
            <w:r>
              <w:rPr>
                <w:rFonts w:ascii="Calibri" w:hAnsi="Calibri"/>
                <w:color w:val="444444"/>
              </w:rPr>
              <w:t xml:space="preserve">                        paralelní dráha ke vzletům a přistávání letadel na letišti Václava Havla Praha,                     </w:t>
            </w:r>
          </w:p>
          <w:p w:rsidR="00903B6C" w:rsidRDefault="00060EEB">
            <w:pPr>
              <w:spacing w:after="60"/>
              <w:jc w:val="both"/>
            </w:pPr>
            <w:r>
              <w:rPr>
                <w:rFonts w:ascii="Calibri" w:hAnsi="Calibri"/>
                <w:color w:val="444444"/>
              </w:rPr>
              <w:t xml:space="preserve">                        nové oplocení letiště Václava Havla Praha.                     </w:t>
            </w:r>
          </w:p>
        </w:tc>
      </w:tr>
      <w:bookmarkEnd w:id="1"/>
      <w:bookmarkEnd w:id="20"/>
    </w:tbl>
    <w:p w:rsidR="00903B6C" w:rsidRDefault="00903B6C">
      <w:pPr>
        <w:spacing w:after="0"/>
      </w:pPr>
    </w:p>
    <w:sectPr w:rsidR="00903B6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6C"/>
    <w:rsid w:val="00060EEB"/>
    <w:rsid w:val="006D7805"/>
    <w:rsid w:val="00903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DFF73-BE98-485B-AB69-A1811B88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472C4" w:themeColor="accent1"/>
    </w:rPr>
  </w:style>
  <w:style w:type="paragraph" w:styleId="Normlnodsazen">
    <w:name w:val="Normal Indent"/>
    <w:basedOn w:val="Normln"/>
    <w:uiPriority w:val="99"/>
    <w:unhideWhenUsed/>
    <w:rsid w:val="00841CD9"/>
    <w:pPr>
      <w:ind w:left="720"/>
    </w:pPr>
  </w:style>
  <w:style w:type="paragraph" w:styleId="Podnadpis">
    <w:name w:val="Subtitle"/>
    <w:basedOn w:val="Normln"/>
    <w:next w:val="Normln"/>
    <w:link w:val="Podnadpis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sid w:val="00841CD9"/>
    <w:rPr>
      <w:rFonts w:asciiTheme="majorHAnsi" w:eastAsiaTheme="majorEastAsia" w:hAnsiTheme="majorHAnsi" w:cstheme="majorBidi"/>
      <w:i/>
      <w:iCs/>
      <w:color w:val="4472C4" w:themeColor="accent1"/>
      <w:spacing w:val="15"/>
      <w:sz w:val="24"/>
      <w:szCs w:val="24"/>
    </w:rPr>
  </w:style>
  <w:style w:type="paragraph" w:styleId="Nzev">
    <w:name w:val="Title"/>
    <w:basedOn w:val="Normln"/>
    <w:next w:val="Normln"/>
    <w:link w:val="Nze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4331</Words>
  <Characters>25553</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Rejzek</dc:creator>
  <cp:lastModifiedBy>Jakub Rejzek</cp:lastModifiedBy>
  <cp:revision>2</cp:revision>
  <dcterms:created xsi:type="dcterms:W3CDTF">2018-09-10T09:57:00Z</dcterms:created>
  <dcterms:modified xsi:type="dcterms:W3CDTF">2018-09-10T09:57:00Z</dcterms:modified>
</cp:coreProperties>
</file>