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46A1" w14:textId="425145A6" w:rsidR="00C73310" w:rsidRDefault="00C73310">
      <w:pPr>
        <w:rPr>
          <w:sz w:val="24"/>
          <w:szCs w:val="24"/>
        </w:rPr>
      </w:pPr>
    </w:p>
    <w:p w14:paraId="42E9C0E1" w14:textId="1641C46C" w:rsidR="000E5690" w:rsidRPr="000E5690" w:rsidRDefault="000E5690" w:rsidP="000E5690">
      <w:pPr>
        <w:jc w:val="center"/>
        <w:rPr>
          <w:b/>
          <w:bCs/>
          <w:sz w:val="24"/>
          <w:szCs w:val="24"/>
          <w:u w:val="single"/>
        </w:rPr>
      </w:pPr>
      <w:r w:rsidRPr="000E5690">
        <w:rPr>
          <w:b/>
          <w:bCs/>
          <w:sz w:val="24"/>
          <w:szCs w:val="24"/>
          <w:u w:val="single"/>
        </w:rPr>
        <w:t>Návrh připomínek k textu výzvy</w:t>
      </w:r>
      <w:r w:rsidR="000F2A74">
        <w:rPr>
          <w:b/>
          <w:bCs/>
          <w:sz w:val="24"/>
          <w:szCs w:val="24"/>
          <w:u w:val="single"/>
        </w:rPr>
        <w:t xml:space="preserve"> VNICTP</w:t>
      </w:r>
    </w:p>
    <w:p w14:paraId="404BB2E7" w14:textId="77777777" w:rsidR="000E5690" w:rsidRPr="003A1C6E" w:rsidRDefault="000E5690">
      <w:pPr>
        <w:rPr>
          <w:sz w:val="24"/>
          <w:szCs w:val="24"/>
        </w:rPr>
      </w:pPr>
    </w:p>
    <w:p w14:paraId="57F8A768" w14:textId="05CCD2A7" w:rsidR="008657C5" w:rsidRDefault="00132108">
      <w:pPr>
        <w:rPr>
          <w:sz w:val="24"/>
          <w:szCs w:val="24"/>
        </w:rPr>
      </w:pPr>
      <w:r w:rsidRPr="003A1C6E">
        <w:rPr>
          <w:b/>
          <w:bCs/>
          <w:sz w:val="24"/>
          <w:szCs w:val="24"/>
        </w:rPr>
        <w:t xml:space="preserve">Nejasnosti plynoucí </w:t>
      </w:r>
      <w:r w:rsidR="00D706CF">
        <w:rPr>
          <w:b/>
          <w:bCs/>
          <w:sz w:val="24"/>
          <w:szCs w:val="24"/>
        </w:rPr>
        <w:t>z</w:t>
      </w:r>
      <w:r w:rsidRPr="003A1C6E">
        <w:rPr>
          <w:b/>
          <w:bCs/>
          <w:sz w:val="24"/>
          <w:szCs w:val="24"/>
        </w:rPr>
        <w:t xml:space="preserve">e souběhu dvou podporovaných aktivit (1. </w:t>
      </w:r>
      <w:r w:rsidR="00C73310" w:rsidRPr="003A1C6E">
        <w:rPr>
          <w:b/>
          <w:bCs/>
          <w:sz w:val="24"/>
          <w:szCs w:val="24"/>
        </w:rPr>
        <w:t xml:space="preserve">zavádění optických přípojných sítí </w:t>
      </w:r>
      <w:r w:rsidRPr="003A1C6E">
        <w:rPr>
          <w:b/>
          <w:bCs/>
          <w:sz w:val="24"/>
          <w:szCs w:val="24"/>
        </w:rPr>
        <w:t xml:space="preserve">– </w:t>
      </w:r>
      <w:proofErr w:type="spellStart"/>
      <w:r w:rsidRPr="003A1C6E">
        <w:rPr>
          <w:b/>
          <w:bCs/>
          <w:sz w:val="24"/>
          <w:szCs w:val="24"/>
        </w:rPr>
        <w:t>backhaul</w:t>
      </w:r>
      <w:proofErr w:type="spellEnd"/>
      <w:r w:rsidRPr="003A1C6E">
        <w:rPr>
          <w:b/>
          <w:bCs/>
          <w:sz w:val="24"/>
          <w:szCs w:val="24"/>
        </w:rPr>
        <w:t xml:space="preserve">, 2. </w:t>
      </w:r>
      <w:r w:rsidR="00C73310" w:rsidRPr="003A1C6E">
        <w:rPr>
          <w:b/>
          <w:bCs/>
          <w:sz w:val="24"/>
          <w:szCs w:val="24"/>
        </w:rPr>
        <w:t xml:space="preserve">zavádění přístupových sítí </w:t>
      </w:r>
      <w:proofErr w:type="gramStart"/>
      <w:r w:rsidR="00C73310" w:rsidRPr="003A1C6E">
        <w:rPr>
          <w:b/>
          <w:bCs/>
          <w:sz w:val="24"/>
          <w:szCs w:val="24"/>
        </w:rPr>
        <w:t>VHCN</w:t>
      </w:r>
      <w:r w:rsidRPr="003A1C6E">
        <w:rPr>
          <w:sz w:val="24"/>
          <w:szCs w:val="24"/>
        </w:rPr>
        <w:t>)  -</w:t>
      </w:r>
      <w:proofErr w:type="gramEnd"/>
      <w:r w:rsidR="007A5788" w:rsidRPr="003A1C6E">
        <w:rPr>
          <w:sz w:val="24"/>
          <w:szCs w:val="24"/>
        </w:rPr>
        <w:t xml:space="preserve">  Podporujeme obě navržené aktivity, protože mohou výrazně pomoci rozvoji sítí v oblastech, kde nelze očekávat jejich budování za tržních podmínek. V navrženém textu výzvy však není v některých </w:t>
      </w:r>
      <w:r w:rsidR="009D471D" w:rsidRPr="003A1C6E">
        <w:rPr>
          <w:sz w:val="24"/>
          <w:szCs w:val="24"/>
        </w:rPr>
        <w:t>případech jasné, zda se navržená textace týká pouze jedné či obou aktivit. Odlišnému charakteru přípojných a přístupových sítí je třeba přizpůsobit i text výzvy</w:t>
      </w:r>
      <w:r w:rsidR="00D706CF">
        <w:rPr>
          <w:sz w:val="24"/>
          <w:szCs w:val="24"/>
        </w:rPr>
        <w:t xml:space="preserve"> </w:t>
      </w:r>
      <w:r w:rsidR="009D471D" w:rsidRPr="003A1C6E">
        <w:rPr>
          <w:sz w:val="24"/>
          <w:szCs w:val="24"/>
        </w:rPr>
        <w:t>a jednotlivé přílohy (model hodnocení, velkoobchodní nabídka</w:t>
      </w:r>
      <w:r w:rsidR="00D706CF">
        <w:rPr>
          <w:sz w:val="24"/>
          <w:szCs w:val="24"/>
        </w:rPr>
        <w:t>, uznatelné náklady</w:t>
      </w:r>
      <w:r w:rsidR="009D471D" w:rsidRPr="003A1C6E">
        <w:rPr>
          <w:sz w:val="24"/>
          <w:szCs w:val="24"/>
        </w:rPr>
        <w:t xml:space="preserve"> atd.) a část podmínek stanovit odlišně, aby zohlednily tyto rozdíly.</w:t>
      </w:r>
    </w:p>
    <w:p w14:paraId="03BF56CF" w14:textId="77777777" w:rsidR="00B962F0" w:rsidRDefault="00B962F0">
      <w:pPr>
        <w:rPr>
          <w:sz w:val="24"/>
          <w:szCs w:val="24"/>
        </w:rPr>
      </w:pPr>
    </w:p>
    <w:p w14:paraId="3808EE9B" w14:textId="77777777" w:rsidR="008657C5" w:rsidRDefault="00F31622">
      <w:pPr>
        <w:rPr>
          <w:sz w:val="24"/>
          <w:szCs w:val="24"/>
        </w:rPr>
      </w:pPr>
      <w:r w:rsidRPr="008657C5">
        <w:rPr>
          <w:b/>
          <w:bCs/>
          <w:sz w:val="24"/>
          <w:szCs w:val="24"/>
        </w:rPr>
        <w:t xml:space="preserve">Dále je potřeba lépe vyvážit model hodnocení tak, aby nezvýhodňoval bývalého </w:t>
      </w:r>
      <w:proofErr w:type="spellStart"/>
      <w:r w:rsidRPr="008657C5">
        <w:rPr>
          <w:b/>
          <w:bCs/>
          <w:sz w:val="24"/>
          <w:szCs w:val="24"/>
        </w:rPr>
        <w:t>inkumenta</w:t>
      </w:r>
      <w:proofErr w:type="spellEnd"/>
      <w:r w:rsidRPr="008657C5">
        <w:rPr>
          <w:b/>
          <w:bCs/>
          <w:sz w:val="24"/>
          <w:szCs w:val="24"/>
        </w:rPr>
        <w:t xml:space="preserve"> a velké celonárodní vlastníky infrastruktury</w:t>
      </w:r>
      <w:r w:rsidR="008657C5">
        <w:rPr>
          <w:sz w:val="24"/>
          <w:szCs w:val="24"/>
        </w:rPr>
        <w:t>.</w:t>
      </w:r>
    </w:p>
    <w:p w14:paraId="7D339612" w14:textId="138DC7BA" w:rsidR="00F31622" w:rsidRDefault="008657C5">
      <w:pPr>
        <w:rPr>
          <w:sz w:val="24"/>
          <w:szCs w:val="24"/>
        </w:rPr>
      </w:pPr>
      <w:r>
        <w:rPr>
          <w:sz w:val="24"/>
          <w:szCs w:val="24"/>
        </w:rPr>
        <w:t xml:space="preserve">Příkladem je vyšší </w:t>
      </w:r>
      <w:r w:rsidR="00D17AC1">
        <w:rPr>
          <w:sz w:val="24"/>
          <w:szCs w:val="24"/>
        </w:rPr>
        <w:t>bodov</w:t>
      </w:r>
      <w:r>
        <w:rPr>
          <w:sz w:val="24"/>
          <w:szCs w:val="24"/>
        </w:rPr>
        <w:t>é</w:t>
      </w:r>
      <w:r w:rsidR="00D17AC1">
        <w:rPr>
          <w:sz w:val="24"/>
          <w:szCs w:val="24"/>
        </w:rPr>
        <w:t xml:space="preserve"> hodnocení celostní sítě </w:t>
      </w:r>
      <w:r w:rsidR="00025346">
        <w:rPr>
          <w:sz w:val="24"/>
          <w:szCs w:val="24"/>
        </w:rPr>
        <w:t xml:space="preserve">na úrovni </w:t>
      </w:r>
      <w:proofErr w:type="spellStart"/>
      <w:r w:rsidR="00025346">
        <w:rPr>
          <w:sz w:val="24"/>
          <w:szCs w:val="24"/>
        </w:rPr>
        <w:t>nenesvíceného</w:t>
      </w:r>
      <w:proofErr w:type="spellEnd"/>
      <w:r w:rsidR="00025346">
        <w:rPr>
          <w:sz w:val="24"/>
          <w:szCs w:val="24"/>
        </w:rPr>
        <w:t xml:space="preserve"> vlákna až do propojovací infrastruktury. Z praxe víme, že k pronájmu na bázi IRU u dotačních projektů nedošlo, nebo byly zamítnuty, protože bylo zjevné, že jde o požadavek pro stejný dotační program, o který měl celostátní poskytovatel infrastruktury také zájem. </w:t>
      </w:r>
      <w:r w:rsidR="0037357F">
        <w:rPr>
          <w:sz w:val="24"/>
          <w:szCs w:val="24"/>
        </w:rPr>
        <w:t>Měl</w:t>
      </w:r>
      <w:r w:rsidR="00270A5E">
        <w:rPr>
          <w:sz w:val="24"/>
          <w:szCs w:val="24"/>
        </w:rPr>
        <w:t>a</w:t>
      </w:r>
      <w:r w:rsidR="0037357F">
        <w:rPr>
          <w:sz w:val="24"/>
          <w:szCs w:val="24"/>
        </w:rPr>
        <w:t xml:space="preserve"> by být hodnocen</w:t>
      </w:r>
      <w:r w:rsidR="00270A5E">
        <w:rPr>
          <w:sz w:val="24"/>
          <w:szCs w:val="24"/>
        </w:rPr>
        <w:t xml:space="preserve">a schopnost připojit dotovanou infrastrukturu ke konektivitě nějakým binárním </w:t>
      </w:r>
      <w:r w:rsidR="002A2DDF">
        <w:rPr>
          <w:sz w:val="24"/>
          <w:szCs w:val="24"/>
        </w:rPr>
        <w:t>příznakem ANO/</w:t>
      </w:r>
      <w:proofErr w:type="gramStart"/>
      <w:r w:rsidR="002A2DDF">
        <w:rPr>
          <w:sz w:val="24"/>
          <w:szCs w:val="24"/>
        </w:rPr>
        <w:t>NE  a</w:t>
      </w:r>
      <w:proofErr w:type="gramEnd"/>
      <w:r w:rsidR="002A2DDF">
        <w:rPr>
          <w:sz w:val="24"/>
          <w:szCs w:val="24"/>
        </w:rPr>
        <w:t xml:space="preserve"> samotný způsob připojení ponechat na </w:t>
      </w:r>
      <w:r w:rsidR="00B6147F">
        <w:rPr>
          <w:sz w:val="24"/>
          <w:szCs w:val="24"/>
        </w:rPr>
        <w:t xml:space="preserve">bez výrazného bodového hodnocení. </w:t>
      </w:r>
    </w:p>
    <w:p w14:paraId="057ADC2F" w14:textId="4500B349" w:rsidR="005A49E9" w:rsidRDefault="00DE58DA">
      <w:pPr>
        <w:rPr>
          <w:sz w:val="24"/>
          <w:szCs w:val="24"/>
        </w:rPr>
      </w:pPr>
      <w:r>
        <w:rPr>
          <w:sz w:val="24"/>
          <w:szCs w:val="24"/>
        </w:rPr>
        <w:t>J</w:t>
      </w:r>
      <w:r w:rsidR="005A49E9">
        <w:rPr>
          <w:sz w:val="24"/>
          <w:szCs w:val="24"/>
        </w:rPr>
        <w:t xml:space="preserve">e nutné upravit bodové hodnocení tak, aby nebyl zvýhodněn vlastník rozsáhlé </w:t>
      </w:r>
      <w:proofErr w:type="spellStart"/>
      <w:r w:rsidR="005A49E9">
        <w:rPr>
          <w:sz w:val="24"/>
          <w:szCs w:val="24"/>
        </w:rPr>
        <w:t>infrastrukty</w:t>
      </w:r>
      <w:proofErr w:type="spellEnd"/>
      <w:r w:rsidR="005A49E9">
        <w:rPr>
          <w:sz w:val="24"/>
          <w:szCs w:val="24"/>
        </w:rPr>
        <w:t xml:space="preserve"> oproti MSP. </w:t>
      </w:r>
      <w:r w:rsidR="00D943BE">
        <w:rPr>
          <w:sz w:val="24"/>
          <w:szCs w:val="24"/>
        </w:rPr>
        <w:t xml:space="preserve">Požadujeme nastavení bodování tak, aby měl MSP šanci uspět. Například posouzením dostupné kapacity </w:t>
      </w:r>
      <w:r w:rsidR="00B24806">
        <w:rPr>
          <w:sz w:val="24"/>
          <w:szCs w:val="24"/>
        </w:rPr>
        <w:t xml:space="preserve">nabízené </w:t>
      </w:r>
      <w:proofErr w:type="spellStart"/>
      <w:r w:rsidR="00B24806">
        <w:rPr>
          <w:sz w:val="24"/>
          <w:szCs w:val="24"/>
        </w:rPr>
        <w:t>backhaulové</w:t>
      </w:r>
      <w:proofErr w:type="spellEnd"/>
      <w:r w:rsidR="00B24806">
        <w:rPr>
          <w:sz w:val="24"/>
          <w:szCs w:val="24"/>
        </w:rPr>
        <w:t xml:space="preserve"> sítě a porovnáním, zda není výhodnější veřejnými prostředky podpořit vznik sítě nové. </w:t>
      </w:r>
    </w:p>
    <w:p w14:paraId="53C23C1F" w14:textId="41BF13F7" w:rsidR="00B24806" w:rsidRPr="00B962F0" w:rsidRDefault="001C7D1C">
      <w:pPr>
        <w:rPr>
          <w:sz w:val="24"/>
          <w:szCs w:val="24"/>
        </w:rPr>
      </w:pPr>
      <w:proofErr w:type="spellStart"/>
      <w:r>
        <w:rPr>
          <w:sz w:val="24"/>
          <w:szCs w:val="24"/>
        </w:rPr>
        <w:t>Kriterium</w:t>
      </w:r>
      <w:proofErr w:type="spellEnd"/>
      <w:r>
        <w:rPr>
          <w:sz w:val="24"/>
          <w:szCs w:val="24"/>
        </w:rPr>
        <w:t xml:space="preserve"> A1 d) </w:t>
      </w:r>
      <w:r w:rsidR="0083005F" w:rsidRPr="00B962F0">
        <w:rPr>
          <w:sz w:val="24"/>
          <w:szCs w:val="24"/>
        </w:rPr>
        <w:t xml:space="preserve">zde je u </w:t>
      </w:r>
      <w:proofErr w:type="spellStart"/>
      <w:r w:rsidR="0083005F" w:rsidRPr="00B962F0">
        <w:rPr>
          <w:sz w:val="24"/>
          <w:szCs w:val="24"/>
        </w:rPr>
        <w:t>backhaulu</w:t>
      </w:r>
      <w:proofErr w:type="spellEnd"/>
      <w:r w:rsidR="0083005F" w:rsidRPr="00B962F0">
        <w:rPr>
          <w:sz w:val="24"/>
          <w:szCs w:val="24"/>
        </w:rPr>
        <w:t xml:space="preserve"> bodováno pokrytí pod </w:t>
      </w:r>
      <w:proofErr w:type="gramStart"/>
      <w:r w:rsidR="0083005F" w:rsidRPr="00B962F0">
        <w:rPr>
          <w:sz w:val="24"/>
          <w:szCs w:val="24"/>
        </w:rPr>
        <w:t>10%</w:t>
      </w:r>
      <w:proofErr w:type="gramEnd"/>
      <w:r w:rsidR="0083005F" w:rsidRPr="00B962F0">
        <w:rPr>
          <w:sz w:val="24"/>
          <w:szCs w:val="24"/>
        </w:rPr>
        <w:t xml:space="preserve"> ZSJ nula body, a až 60% šesti body. Vzhledem k velikosti intervenčních oblastí, MSP, který nemá pasivní infrastrukturu po celé intervenční oblasti, pokud by chtěl získat body za toto kritérium, spotřebuje celý finanční limit na intervenční oblast. </w:t>
      </w:r>
      <w:r w:rsidR="007E624C" w:rsidRPr="00B962F0">
        <w:rPr>
          <w:sz w:val="24"/>
          <w:szCs w:val="24"/>
        </w:rPr>
        <w:t xml:space="preserve">Pokud toto bude chtít MPO ponechat, je nutné zvednout bodovou výhodu pro MSP. </w:t>
      </w:r>
    </w:p>
    <w:p w14:paraId="66694BFF" w14:textId="76BABC85" w:rsidR="00DE0CD9" w:rsidRPr="00B962F0" w:rsidRDefault="00DE0CD9">
      <w:pPr>
        <w:rPr>
          <w:sz w:val="24"/>
          <w:szCs w:val="24"/>
        </w:rPr>
      </w:pPr>
      <w:r w:rsidRPr="00B962F0">
        <w:rPr>
          <w:sz w:val="24"/>
          <w:szCs w:val="24"/>
        </w:rPr>
        <w:t>Obdobně platí pro kritéria A1 c) a A1 e).</w:t>
      </w:r>
    </w:p>
    <w:p w14:paraId="56647B00" w14:textId="14CB24D2" w:rsidR="003A0123" w:rsidRDefault="00ED21C1" w:rsidP="00ED21C1">
      <w:pPr>
        <w:rPr>
          <w:sz w:val="24"/>
          <w:szCs w:val="24"/>
        </w:rPr>
      </w:pPr>
      <w:r>
        <w:rPr>
          <w:sz w:val="24"/>
          <w:szCs w:val="24"/>
        </w:rPr>
        <w:t>V</w:t>
      </w:r>
      <w:r w:rsidRPr="00ED21C1">
        <w:rPr>
          <w:sz w:val="24"/>
          <w:szCs w:val="24"/>
        </w:rPr>
        <w:t xml:space="preserve"> kritériu C1, koeficient </w:t>
      </w:r>
      <w:r w:rsidR="00B962F0" w:rsidRPr="00ED21C1">
        <w:rPr>
          <w:sz w:val="24"/>
          <w:szCs w:val="24"/>
        </w:rPr>
        <w:t>VKN – tento</w:t>
      </w:r>
      <w:r w:rsidRPr="00ED21C1">
        <w:rPr>
          <w:sz w:val="24"/>
          <w:szCs w:val="24"/>
        </w:rPr>
        <w:t xml:space="preserve"> koeficient </w:t>
      </w:r>
      <w:r w:rsidR="00E2071C">
        <w:rPr>
          <w:sz w:val="24"/>
          <w:szCs w:val="24"/>
        </w:rPr>
        <w:t>implikuje</w:t>
      </w:r>
      <w:r w:rsidR="005D20DA">
        <w:rPr>
          <w:sz w:val="24"/>
          <w:szCs w:val="24"/>
        </w:rPr>
        <w:t xml:space="preserve"> </w:t>
      </w:r>
      <w:r w:rsidRPr="00ED21C1">
        <w:rPr>
          <w:sz w:val="24"/>
          <w:szCs w:val="24"/>
        </w:rPr>
        <w:t>aktivit</w:t>
      </w:r>
      <w:r w:rsidR="005D20DA">
        <w:rPr>
          <w:sz w:val="24"/>
          <w:szCs w:val="24"/>
        </w:rPr>
        <w:t>u</w:t>
      </w:r>
      <w:r w:rsidRPr="00ED21C1">
        <w:rPr>
          <w:sz w:val="24"/>
          <w:szCs w:val="24"/>
        </w:rPr>
        <w:t xml:space="preserve"> I., tedy zajištění páteřního </w:t>
      </w:r>
      <w:r w:rsidR="00B962F0">
        <w:rPr>
          <w:sz w:val="24"/>
          <w:szCs w:val="24"/>
        </w:rPr>
        <w:t>připojení</w:t>
      </w:r>
      <w:r w:rsidRPr="00ED21C1">
        <w:rPr>
          <w:sz w:val="24"/>
          <w:szCs w:val="24"/>
        </w:rPr>
        <w:t xml:space="preserve">. V bodě f) se vyžaduje "přístup k fyzické infrastruktuře až do </w:t>
      </w:r>
      <w:proofErr w:type="spellStart"/>
      <w:r w:rsidRPr="00ED21C1">
        <w:rPr>
          <w:sz w:val="24"/>
          <w:szCs w:val="24"/>
        </w:rPr>
        <w:t>peeringového</w:t>
      </w:r>
      <w:proofErr w:type="spellEnd"/>
      <w:r w:rsidRPr="00ED21C1">
        <w:rPr>
          <w:sz w:val="24"/>
          <w:szCs w:val="24"/>
        </w:rPr>
        <w:t xml:space="preserve"> centra, vč. kolokace". Toto </w:t>
      </w:r>
      <w:r w:rsidR="005D20DA">
        <w:rPr>
          <w:sz w:val="24"/>
          <w:szCs w:val="24"/>
        </w:rPr>
        <w:t xml:space="preserve">je pro MSP těžko splnitelné a zvýhodňuje to </w:t>
      </w:r>
      <w:r w:rsidR="003A0123">
        <w:rPr>
          <w:sz w:val="24"/>
          <w:szCs w:val="24"/>
        </w:rPr>
        <w:t>velké podniky, což není účel dotačního programu</w:t>
      </w:r>
      <w:r w:rsidRPr="00ED21C1">
        <w:rPr>
          <w:sz w:val="24"/>
          <w:szCs w:val="24"/>
        </w:rPr>
        <w:t>.</w:t>
      </w:r>
    </w:p>
    <w:p w14:paraId="2FCD3476" w14:textId="26A2E763" w:rsidR="003A0123" w:rsidRDefault="00ED21C1" w:rsidP="00ED21C1">
      <w:pPr>
        <w:rPr>
          <w:sz w:val="24"/>
          <w:szCs w:val="24"/>
        </w:rPr>
      </w:pPr>
      <w:r w:rsidRPr="00ED21C1">
        <w:rPr>
          <w:sz w:val="24"/>
          <w:szCs w:val="24"/>
        </w:rPr>
        <w:t xml:space="preserve">V bodě g) se hodnotí "zpřístupnění nenasvíceného optického vlákna až do </w:t>
      </w:r>
      <w:proofErr w:type="spellStart"/>
      <w:r w:rsidRPr="00ED21C1">
        <w:rPr>
          <w:sz w:val="24"/>
          <w:szCs w:val="24"/>
        </w:rPr>
        <w:t>peeringového</w:t>
      </w:r>
      <w:proofErr w:type="spellEnd"/>
      <w:r w:rsidRPr="00ED21C1">
        <w:rPr>
          <w:sz w:val="24"/>
          <w:szCs w:val="24"/>
        </w:rPr>
        <w:t xml:space="preserve"> centra, vč. kolokace". </w:t>
      </w:r>
      <w:r w:rsidR="003A0123">
        <w:rPr>
          <w:sz w:val="24"/>
          <w:szCs w:val="24"/>
        </w:rPr>
        <w:t xml:space="preserve">Toto není lehce splnitelné pro MSP, ačkoliv si zabezpečují kapacitu na </w:t>
      </w:r>
      <w:r w:rsidR="003A0123">
        <w:rPr>
          <w:sz w:val="24"/>
          <w:szCs w:val="24"/>
        </w:rPr>
        <w:lastRenderedPageBreak/>
        <w:t>úrovni datového propojení</w:t>
      </w:r>
      <w:r w:rsidRPr="00ED21C1">
        <w:rPr>
          <w:sz w:val="24"/>
          <w:szCs w:val="24"/>
        </w:rPr>
        <w:t xml:space="preserve">. </w:t>
      </w:r>
      <w:r w:rsidR="003A0123">
        <w:rPr>
          <w:sz w:val="24"/>
          <w:szCs w:val="24"/>
        </w:rPr>
        <w:t xml:space="preserve">Opět připomínáme, že </w:t>
      </w:r>
      <w:r w:rsidR="00D45ABE">
        <w:rPr>
          <w:sz w:val="24"/>
          <w:szCs w:val="24"/>
        </w:rPr>
        <w:t xml:space="preserve">se nepodařilo takový pronájem </w:t>
      </w:r>
      <w:r w:rsidR="00B962F0">
        <w:rPr>
          <w:sz w:val="24"/>
          <w:szCs w:val="24"/>
        </w:rPr>
        <w:t xml:space="preserve">IRU </w:t>
      </w:r>
      <w:r w:rsidR="00D45ABE">
        <w:rPr>
          <w:sz w:val="24"/>
          <w:szCs w:val="24"/>
        </w:rPr>
        <w:t xml:space="preserve">získat, směřoval-li do stejné oblasti zájmu s hostujícím operátorem. </w:t>
      </w:r>
    </w:p>
    <w:p w14:paraId="04D4433F" w14:textId="77777777" w:rsidR="00D45ABE" w:rsidRDefault="00ED21C1" w:rsidP="00ED21C1">
      <w:pPr>
        <w:rPr>
          <w:sz w:val="24"/>
          <w:szCs w:val="24"/>
        </w:rPr>
      </w:pPr>
      <w:r w:rsidRPr="00ED21C1">
        <w:rPr>
          <w:sz w:val="24"/>
          <w:szCs w:val="24"/>
        </w:rPr>
        <w:t xml:space="preserve">V kritériu h) je opět vyžadováno vlákno až do </w:t>
      </w:r>
      <w:proofErr w:type="spellStart"/>
      <w:r w:rsidRPr="00ED21C1">
        <w:rPr>
          <w:sz w:val="24"/>
          <w:szCs w:val="24"/>
        </w:rPr>
        <w:t>peeringového</w:t>
      </w:r>
      <w:proofErr w:type="spellEnd"/>
      <w:r w:rsidRPr="00ED21C1">
        <w:rPr>
          <w:sz w:val="24"/>
          <w:szCs w:val="24"/>
        </w:rPr>
        <w:t xml:space="preserve"> centra. </w:t>
      </w:r>
    </w:p>
    <w:p w14:paraId="0CDE9730" w14:textId="77777777" w:rsidR="009C5AE9" w:rsidRDefault="00ED21C1" w:rsidP="00ED21C1">
      <w:pPr>
        <w:rPr>
          <w:sz w:val="24"/>
          <w:szCs w:val="24"/>
        </w:rPr>
      </w:pPr>
      <w:r w:rsidRPr="00ED21C1">
        <w:rPr>
          <w:sz w:val="24"/>
          <w:szCs w:val="24"/>
        </w:rPr>
        <w:t xml:space="preserve">Teprve kritérium i) si </w:t>
      </w:r>
      <w:proofErr w:type="gramStart"/>
      <w:r w:rsidRPr="00ED21C1">
        <w:rPr>
          <w:sz w:val="24"/>
          <w:szCs w:val="24"/>
        </w:rPr>
        <w:t>vystačí</w:t>
      </w:r>
      <w:proofErr w:type="gramEnd"/>
      <w:r w:rsidRPr="00ED21C1">
        <w:rPr>
          <w:sz w:val="24"/>
          <w:szCs w:val="24"/>
        </w:rPr>
        <w:t xml:space="preserve"> s "Pronájem datového okruhu až do </w:t>
      </w:r>
      <w:proofErr w:type="spellStart"/>
      <w:r w:rsidRPr="00ED21C1">
        <w:rPr>
          <w:sz w:val="24"/>
          <w:szCs w:val="24"/>
        </w:rPr>
        <w:t>peeringového</w:t>
      </w:r>
      <w:proofErr w:type="spellEnd"/>
      <w:r w:rsidRPr="00ED21C1">
        <w:rPr>
          <w:sz w:val="24"/>
          <w:szCs w:val="24"/>
        </w:rPr>
        <w:t xml:space="preserve"> centra.", na což je schopen dosáhnou i regionální operátor. Takže </w:t>
      </w:r>
      <w:r w:rsidR="009C5AE9">
        <w:rPr>
          <w:sz w:val="24"/>
          <w:szCs w:val="24"/>
        </w:rPr>
        <w:t xml:space="preserve">velký podnik </w:t>
      </w:r>
      <w:r w:rsidRPr="00ED21C1">
        <w:rPr>
          <w:sz w:val="24"/>
          <w:szCs w:val="24"/>
        </w:rPr>
        <w:t>zkrátka </w:t>
      </w:r>
      <w:r w:rsidRPr="00ED21C1">
        <w:rPr>
          <w:sz w:val="24"/>
          <w:szCs w:val="24"/>
          <w:u w:val="single"/>
        </w:rPr>
        <w:t xml:space="preserve">jen na tomto kritériu dostává 1,43x víc </w:t>
      </w:r>
      <w:proofErr w:type="gramStart"/>
      <w:r w:rsidRPr="00ED21C1">
        <w:rPr>
          <w:sz w:val="24"/>
          <w:szCs w:val="24"/>
          <w:u w:val="single"/>
        </w:rPr>
        <w:t>bodů,</w:t>
      </w:r>
      <w:proofErr w:type="gramEnd"/>
      <w:r w:rsidRPr="00ED21C1">
        <w:rPr>
          <w:sz w:val="24"/>
          <w:szCs w:val="24"/>
          <w:u w:val="single"/>
        </w:rPr>
        <w:t xml:space="preserve"> než </w:t>
      </w:r>
      <w:proofErr w:type="spellStart"/>
      <w:r w:rsidRPr="00ED21C1">
        <w:rPr>
          <w:sz w:val="24"/>
          <w:szCs w:val="24"/>
          <w:u w:val="single"/>
        </w:rPr>
        <w:t>regionál</w:t>
      </w:r>
      <w:proofErr w:type="spellEnd"/>
      <w:r w:rsidRPr="00ED21C1">
        <w:rPr>
          <w:sz w:val="24"/>
          <w:szCs w:val="24"/>
        </w:rPr>
        <w:t xml:space="preserve">. A to je jen jedno kritérium. Plus ty </w:t>
      </w:r>
      <w:proofErr w:type="gramStart"/>
      <w:r w:rsidRPr="00ED21C1">
        <w:rPr>
          <w:sz w:val="24"/>
          <w:szCs w:val="24"/>
        </w:rPr>
        <w:t>další..</w:t>
      </w:r>
      <w:proofErr w:type="gramEnd"/>
      <w:r w:rsidRPr="00ED21C1">
        <w:rPr>
          <w:sz w:val="24"/>
          <w:szCs w:val="24"/>
        </w:rPr>
        <w:t xml:space="preserve"> K tomu požadavky na kolokaci jsou také </w:t>
      </w:r>
      <w:r w:rsidR="009C5AE9">
        <w:rPr>
          <w:sz w:val="24"/>
          <w:szCs w:val="24"/>
        </w:rPr>
        <w:t>zatěžující</w:t>
      </w:r>
      <w:r w:rsidRPr="00ED21C1">
        <w:rPr>
          <w:sz w:val="24"/>
          <w:szCs w:val="24"/>
        </w:rPr>
        <w:t xml:space="preserve">. </w:t>
      </w:r>
    </w:p>
    <w:p w14:paraId="74A40320" w14:textId="620FA29F" w:rsidR="00ED21C1" w:rsidRDefault="00ED21C1" w:rsidP="00ED21C1">
      <w:pPr>
        <w:rPr>
          <w:sz w:val="24"/>
          <w:szCs w:val="24"/>
        </w:rPr>
      </w:pPr>
      <w:r w:rsidRPr="00ED21C1">
        <w:rPr>
          <w:sz w:val="24"/>
          <w:szCs w:val="24"/>
        </w:rPr>
        <w:t xml:space="preserve">V </w:t>
      </w:r>
      <w:proofErr w:type="spellStart"/>
      <w:r w:rsidRPr="00ED21C1">
        <w:rPr>
          <w:sz w:val="24"/>
          <w:szCs w:val="24"/>
        </w:rPr>
        <w:t>peeringových</w:t>
      </w:r>
      <w:proofErr w:type="spellEnd"/>
      <w:r w:rsidRPr="00ED21C1">
        <w:rPr>
          <w:sz w:val="24"/>
          <w:szCs w:val="24"/>
        </w:rPr>
        <w:t xml:space="preserve"> centrech je kolokace běžně komerčně dostupná, toto opět zavání nutností mít tam vlastní </w:t>
      </w:r>
      <w:proofErr w:type="spellStart"/>
      <w:r w:rsidRPr="00ED21C1">
        <w:rPr>
          <w:sz w:val="24"/>
          <w:szCs w:val="24"/>
        </w:rPr>
        <w:t>rack</w:t>
      </w:r>
      <w:proofErr w:type="spellEnd"/>
      <w:r w:rsidRPr="00ED21C1">
        <w:rPr>
          <w:sz w:val="24"/>
          <w:szCs w:val="24"/>
        </w:rPr>
        <w:t>(y), tedy zase na to dosáhnou jen velcí.</w:t>
      </w:r>
    </w:p>
    <w:p w14:paraId="0727B95F" w14:textId="44FD724A" w:rsidR="00821F94" w:rsidRPr="00ED21C1" w:rsidRDefault="00821F94" w:rsidP="00ED21C1">
      <w:pPr>
        <w:rPr>
          <w:sz w:val="24"/>
          <w:szCs w:val="24"/>
        </w:rPr>
      </w:pPr>
      <w:r w:rsidRPr="00821F94">
        <w:rPr>
          <w:sz w:val="24"/>
          <w:szCs w:val="24"/>
        </w:rPr>
        <w:t xml:space="preserve">Nadto, dalším problémem je kritérium A4. Zde se vyžaduje, aby vlastní existující infrastruktura použitá pro dotační program byla ještě PŘED veřejnou </w:t>
      </w:r>
      <w:proofErr w:type="gramStart"/>
      <w:r w:rsidRPr="00821F94">
        <w:rPr>
          <w:sz w:val="24"/>
          <w:szCs w:val="24"/>
        </w:rPr>
        <w:t>konzultací,</w:t>
      </w:r>
      <w:proofErr w:type="gramEnd"/>
      <w:r w:rsidRPr="00821F94">
        <w:rPr>
          <w:sz w:val="24"/>
          <w:szCs w:val="24"/>
        </w:rPr>
        <w:t xml:space="preserve"> čili mnohem dříve, než se bude vědět, která to je, zveřejněna s veřejnou nabídkou. Prakticky </w:t>
      </w:r>
      <w:r w:rsidR="00497CF4" w:rsidRPr="00821F94">
        <w:rPr>
          <w:sz w:val="24"/>
          <w:szCs w:val="24"/>
        </w:rPr>
        <w:t>jediný</w:t>
      </w:r>
      <w:r w:rsidRPr="00821F94">
        <w:rPr>
          <w:sz w:val="24"/>
          <w:szCs w:val="24"/>
        </w:rPr>
        <w:t xml:space="preserve"> způsob, jak toto může </w:t>
      </w:r>
      <w:r w:rsidR="00497CF4">
        <w:rPr>
          <w:sz w:val="24"/>
          <w:szCs w:val="24"/>
        </w:rPr>
        <w:t>MSP operátor požadavek</w:t>
      </w:r>
      <w:r w:rsidRPr="00821F94">
        <w:rPr>
          <w:sz w:val="24"/>
          <w:szCs w:val="24"/>
        </w:rPr>
        <w:t xml:space="preserve"> splnit je, že publikuje veřejnou nabídku pro veškerou svou </w:t>
      </w:r>
      <w:proofErr w:type="spellStart"/>
      <w:r w:rsidRPr="00821F94">
        <w:rPr>
          <w:sz w:val="24"/>
          <w:szCs w:val="24"/>
        </w:rPr>
        <w:t>infratrukturu</w:t>
      </w:r>
      <w:proofErr w:type="spellEnd"/>
      <w:r w:rsidRPr="00821F94">
        <w:rPr>
          <w:sz w:val="24"/>
          <w:szCs w:val="24"/>
        </w:rPr>
        <w:t xml:space="preserve">. To zní strašně líbivě, ale není. V sítích regionálních operátorů není jasná hranice mezi </w:t>
      </w:r>
      <w:proofErr w:type="spellStart"/>
      <w:r w:rsidRPr="00821F94">
        <w:rPr>
          <w:sz w:val="24"/>
          <w:szCs w:val="24"/>
        </w:rPr>
        <w:t>backhaul</w:t>
      </w:r>
      <w:proofErr w:type="spellEnd"/>
      <w:r w:rsidRPr="00821F94">
        <w:rPr>
          <w:sz w:val="24"/>
          <w:szCs w:val="24"/>
        </w:rPr>
        <w:t xml:space="preserve"> sítí a sítí přístupovou. I v úsecích přístupové sítě lze nalézt úseky, kde jsou uloženy rezervy chrániček, které lze využít jako bod napojení pro </w:t>
      </w:r>
      <w:r w:rsidR="00497CF4" w:rsidRPr="00821F94">
        <w:rPr>
          <w:sz w:val="24"/>
          <w:szCs w:val="24"/>
        </w:rPr>
        <w:t>navazující</w:t>
      </w:r>
      <w:r w:rsidRPr="00821F94">
        <w:rPr>
          <w:sz w:val="24"/>
          <w:szCs w:val="24"/>
        </w:rPr>
        <w:t xml:space="preserve"> </w:t>
      </w:r>
      <w:proofErr w:type="spellStart"/>
      <w:r w:rsidRPr="00821F94">
        <w:rPr>
          <w:sz w:val="24"/>
          <w:szCs w:val="24"/>
        </w:rPr>
        <w:t>backhaul</w:t>
      </w:r>
      <w:proofErr w:type="spellEnd"/>
      <w:r w:rsidRPr="00821F94">
        <w:rPr>
          <w:sz w:val="24"/>
          <w:szCs w:val="24"/>
        </w:rPr>
        <w:t xml:space="preserve">. Jenže nikdo neví, které to jsou, dokud není znám výsledek veřejné konzultace, z nějž by mohly vzejít návrhy technického řešení. Oproti tomu velcí operátoři, kteří nasbírali body jen za to, že jsou velcí, ti si mohou dovolit nepatrné prodražení tím, že síť vykopou až na úsek, který byl uveřejněn. Ještě více zarážející je ale retrospektiva. Mnoho regionálních operátorů se podmínky </w:t>
      </w:r>
      <w:r w:rsidR="00845F3A" w:rsidRPr="00821F94">
        <w:rPr>
          <w:sz w:val="24"/>
          <w:szCs w:val="24"/>
        </w:rPr>
        <w:t>dotačního</w:t>
      </w:r>
      <w:r w:rsidRPr="00821F94">
        <w:rPr>
          <w:sz w:val="24"/>
          <w:szCs w:val="24"/>
        </w:rPr>
        <w:t xml:space="preserve"> programu (či návrh podmínek) dozví AŽ Z VEŘEJNÉ KONZULTACE, a teprve v tu chvíli zjistí, že budou hodnoceni za něco, co měli udělat ještě před vyhlášením veřejné konzultace. </w:t>
      </w:r>
      <w:r w:rsidR="00845F3A">
        <w:rPr>
          <w:sz w:val="24"/>
          <w:szCs w:val="24"/>
        </w:rPr>
        <w:t xml:space="preserve">I proto je namístě zvýšit bodové hodnocení pro MSP. </w:t>
      </w:r>
    </w:p>
    <w:p w14:paraId="6F3CC8EB" w14:textId="04A3E47A" w:rsidR="00D22D2B" w:rsidRPr="00D22D2B" w:rsidRDefault="003D12F6" w:rsidP="00D22D2B">
      <w:pPr>
        <w:rPr>
          <w:sz w:val="24"/>
          <w:szCs w:val="24"/>
        </w:rPr>
      </w:pPr>
      <w:r>
        <w:rPr>
          <w:sz w:val="24"/>
          <w:szCs w:val="24"/>
        </w:rPr>
        <w:t xml:space="preserve">Matoucí je hodnocení </w:t>
      </w:r>
      <w:r w:rsidRPr="00762F47">
        <w:rPr>
          <w:sz w:val="24"/>
          <w:szCs w:val="24"/>
        </w:rPr>
        <w:t>efektivního pokrytí VKT x VKN x VKD, přičemž pokud v projektu není aktivita I. (</w:t>
      </w:r>
      <w:proofErr w:type="spellStart"/>
      <w:r w:rsidRPr="00762F47">
        <w:rPr>
          <w:sz w:val="24"/>
          <w:szCs w:val="24"/>
        </w:rPr>
        <w:t>backhaul</w:t>
      </w:r>
      <w:proofErr w:type="spellEnd"/>
      <w:r w:rsidRPr="00762F47">
        <w:rPr>
          <w:sz w:val="24"/>
          <w:szCs w:val="24"/>
        </w:rPr>
        <w:t xml:space="preserve">), VKN je nula, tedy efektivní pokrytí je nula. Aktivita I. </w:t>
      </w:r>
      <w:r w:rsidR="00586EC4">
        <w:rPr>
          <w:sz w:val="24"/>
          <w:szCs w:val="24"/>
        </w:rPr>
        <w:t>se jeví jako povinná, ačkoliv to tak není. I nadále je</w:t>
      </w:r>
      <w:r w:rsidRPr="00762F47">
        <w:rPr>
          <w:sz w:val="24"/>
          <w:szCs w:val="24"/>
        </w:rPr>
        <w:t xml:space="preserve"> možné budovat páteřní síť v rámci výstavby VHCN</w:t>
      </w:r>
      <w:r w:rsidR="00586EC4">
        <w:rPr>
          <w:sz w:val="24"/>
          <w:szCs w:val="24"/>
        </w:rPr>
        <w:t xml:space="preserve">. Zde navrhujeme zjevnější oddělení. </w:t>
      </w:r>
    </w:p>
    <w:p w14:paraId="476194E6" w14:textId="15DB9B0B" w:rsidR="00EF1A71" w:rsidRPr="003A1C6E" w:rsidRDefault="00A675C5" w:rsidP="004A1028">
      <w:pPr>
        <w:rPr>
          <w:sz w:val="24"/>
          <w:szCs w:val="24"/>
        </w:rPr>
      </w:pPr>
      <w:r w:rsidRPr="003A1C6E">
        <w:rPr>
          <w:b/>
          <w:bCs/>
          <w:sz w:val="24"/>
          <w:szCs w:val="24"/>
        </w:rPr>
        <w:t>Využití budované</w:t>
      </w:r>
      <w:r w:rsidR="004235D6" w:rsidRPr="003A1C6E">
        <w:rPr>
          <w:b/>
          <w:bCs/>
          <w:sz w:val="24"/>
          <w:szCs w:val="24"/>
        </w:rPr>
        <w:t xml:space="preserve"> dotované</w:t>
      </w:r>
      <w:r w:rsidRPr="003A1C6E">
        <w:rPr>
          <w:b/>
          <w:bCs/>
          <w:sz w:val="24"/>
          <w:szCs w:val="24"/>
        </w:rPr>
        <w:t xml:space="preserve"> optické infrastruktury pro mobilní 5G</w:t>
      </w:r>
      <w:r w:rsidR="004235D6" w:rsidRPr="003A1C6E">
        <w:rPr>
          <w:b/>
          <w:bCs/>
          <w:sz w:val="24"/>
          <w:szCs w:val="24"/>
        </w:rPr>
        <w:t xml:space="preserve"> </w:t>
      </w:r>
      <w:proofErr w:type="gramStart"/>
      <w:r w:rsidR="004235D6" w:rsidRPr="003A1C6E">
        <w:rPr>
          <w:b/>
          <w:bCs/>
          <w:sz w:val="24"/>
          <w:szCs w:val="24"/>
        </w:rPr>
        <w:t>sítě</w:t>
      </w:r>
      <w:r w:rsidRPr="003A1C6E">
        <w:rPr>
          <w:sz w:val="24"/>
          <w:szCs w:val="24"/>
        </w:rPr>
        <w:t xml:space="preserve"> </w:t>
      </w:r>
      <w:r w:rsidR="004235D6" w:rsidRPr="003A1C6E">
        <w:rPr>
          <w:sz w:val="24"/>
          <w:szCs w:val="24"/>
        </w:rPr>
        <w:t>-</w:t>
      </w:r>
      <w:r w:rsidRPr="003A1C6E">
        <w:rPr>
          <w:sz w:val="24"/>
          <w:szCs w:val="24"/>
        </w:rPr>
        <w:t xml:space="preserve"> </w:t>
      </w:r>
      <w:r w:rsidR="004235D6" w:rsidRPr="003A1C6E">
        <w:rPr>
          <w:sz w:val="24"/>
          <w:szCs w:val="24"/>
        </w:rPr>
        <w:t>Podporujeme</w:t>
      </w:r>
      <w:proofErr w:type="gramEnd"/>
      <w:r w:rsidR="004235D6" w:rsidRPr="003A1C6E">
        <w:rPr>
          <w:sz w:val="24"/>
          <w:szCs w:val="24"/>
        </w:rPr>
        <w:t xml:space="preserve"> možnost využití dotované infrastruktury pro připojení, co největšího počtu základnových stanic šířících 5G mobilní signál</w:t>
      </w:r>
      <w:r w:rsidR="004A1028">
        <w:rPr>
          <w:sz w:val="24"/>
          <w:szCs w:val="24"/>
        </w:rPr>
        <w:t xml:space="preserve"> v </w:t>
      </w:r>
      <w:proofErr w:type="spellStart"/>
      <w:r w:rsidR="004A1028">
        <w:rPr>
          <w:sz w:val="24"/>
          <w:szCs w:val="24"/>
        </w:rPr>
        <w:t>bilých</w:t>
      </w:r>
      <w:proofErr w:type="spellEnd"/>
      <w:r w:rsidR="004A1028">
        <w:rPr>
          <w:sz w:val="24"/>
          <w:szCs w:val="24"/>
        </w:rPr>
        <w:t xml:space="preserve"> místech s identifikovaným tržním selháním. </w:t>
      </w:r>
      <w:r w:rsidR="004235D6" w:rsidRPr="003A1C6E">
        <w:rPr>
          <w:sz w:val="24"/>
          <w:szCs w:val="24"/>
        </w:rPr>
        <w:t>Pokud bude připojení 5G BTS na dotovanou optickou infrastrukturu financováno bez využití dotace (tzn. výkop mezi BTS a dotovanou infrastrukturou nebude součástí uznatelných nákladů), pak by mělo být možné připojit jakoukoliv 5G BTS</w:t>
      </w:r>
      <w:r w:rsidR="004A1028">
        <w:rPr>
          <w:sz w:val="24"/>
          <w:szCs w:val="24"/>
        </w:rPr>
        <w:t xml:space="preserve"> v seznamu </w:t>
      </w:r>
      <w:r w:rsidR="004644D1">
        <w:rPr>
          <w:sz w:val="24"/>
          <w:szCs w:val="24"/>
        </w:rPr>
        <w:t xml:space="preserve">bílých míst pokrytí mobilním signálem. </w:t>
      </w:r>
      <w:r w:rsidR="004235D6" w:rsidRPr="003A1C6E">
        <w:rPr>
          <w:sz w:val="24"/>
          <w:szCs w:val="24"/>
        </w:rPr>
        <w:t xml:space="preserve"> </w:t>
      </w:r>
    </w:p>
    <w:p w14:paraId="087ED437" w14:textId="78143EBC" w:rsidR="00CD23DF" w:rsidRPr="003A1C6E" w:rsidRDefault="00EF1A71">
      <w:pPr>
        <w:rPr>
          <w:sz w:val="24"/>
          <w:szCs w:val="24"/>
        </w:rPr>
      </w:pPr>
      <w:r w:rsidRPr="003A1C6E">
        <w:rPr>
          <w:sz w:val="24"/>
          <w:szCs w:val="24"/>
        </w:rPr>
        <w:t xml:space="preserve"> </w:t>
      </w:r>
      <w:r w:rsidRPr="003A1C6E">
        <w:rPr>
          <w:b/>
          <w:bCs/>
          <w:sz w:val="24"/>
          <w:szCs w:val="24"/>
        </w:rPr>
        <w:t>Podporovaná aktivita „Zpřístupnění infrastruktury existujících neveřejných optických přípojných sítí“</w:t>
      </w:r>
      <w:r w:rsidRPr="003A1C6E">
        <w:rPr>
          <w:sz w:val="24"/>
          <w:szCs w:val="24"/>
        </w:rPr>
        <w:t xml:space="preserve"> -   </w:t>
      </w:r>
      <w:r w:rsidR="00CD23DF" w:rsidRPr="003A1C6E">
        <w:rPr>
          <w:sz w:val="24"/>
          <w:szCs w:val="24"/>
        </w:rPr>
        <w:t>K popisu této aktivity není v textu výzvy dostatek informací. O jaký typ neveřejných sítí</w:t>
      </w:r>
      <w:r w:rsidR="000E5690">
        <w:rPr>
          <w:sz w:val="24"/>
          <w:szCs w:val="24"/>
        </w:rPr>
        <w:t xml:space="preserve"> jde</w:t>
      </w:r>
      <w:r w:rsidR="00CD23DF" w:rsidRPr="003A1C6E">
        <w:rPr>
          <w:sz w:val="24"/>
          <w:szCs w:val="24"/>
        </w:rPr>
        <w:t>? K čemu by měly sloužit po využití dotace? Jak byla jejich existence zmapována? Toto téma by mělo být projednáno na jednání s odvětvím.</w:t>
      </w:r>
    </w:p>
    <w:p w14:paraId="06CF243B" w14:textId="1B2BBFF3" w:rsidR="00CD23DF" w:rsidRDefault="00CD23DF">
      <w:pPr>
        <w:rPr>
          <w:sz w:val="24"/>
          <w:szCs w:val="24"/>
        </w:rPr>
      </w:pPr>
      <w:r w:rsidRPr="003A1C6E">
        <w:rPr>
          <w:b/>
          <w:bCs/>
          <w:sz w:val="24"/>
          <w:szCs w:val="24"/>
        </w:rPr>
        <w:lastRenderedPageBreak/>
        <w:t>Stanovení indikátorů</w:t>
      </w:r>
      <w:r w:rsidRPr="003A1C6E">
        <w:rPr>
          <w:sz w:val="24"/>
          <w:szCs w:val="24"/>
        </w:rPr>
        <w:t xml:space="preserve"> – Doporučujeme upřesnit metodiku </w:t>
      </w:r>
      <w:r w:rsidR="00CE33A0" w:rsidRPr="003A1C6E">
        <w:rPr>
          <w:sz w:val="24"/>
          <w:szCs w:val="24"/>
        </w:rPr>
        <w:t xml:space="preserve">pro stanovení počtu indikátorů u projektů, které žádají o dotaci pouze na </w:t>
      </w:r>
      <w:proofErr w:type="spellStart"/>
      <w:r w:rsidR="00CE33A0" w:rsidRPr="003A1C6E">
        <w:rPr>
          <w:sz w:val="24"/>
          <w:szCs w:val="24"/>
        </w:rPr>
        <w:t>backhaul</w:t>
      </w:r>
      <w:proofErr w:type="spellEnd"/>
      <w:r w:rsidR="00CE33A0" w:rsidRPr="003A1C6E">
        <w:rPr>
          <w:sz w:val="24"/>
          <w:szCs w:val="24"/>
        </w:rPr>
        <w:t xml:space="preserve"> bez b</w:t>
      </w:r>
      <w:r w:rsidR="00E02180" w:rsidRPr="003A1C6E">
        <w:rPr>
          <w:sz w:val="24"/>
          <w:szCs w:val="24"/>
        </w:rPr>
        <w:t>udování přístupové části sítě.</w:t>
      </w:r>
      <w:r w:rsidR="00CE33A0" w:rsidRPr="003A1C6E">
        <w:rPr>
          <w:sz w:val="24"/>
          <w:szCs w:val="24"/>
        </w:rPr>
        <w:t xml:space="preserve"> Týká se to zejména indikátoru </w:t>
      </w:r>
      <w:r w:rsidRPr="003A1C6E">
        <w:rPr>
          <w:sz w:val="24"/>
          <w:szCs w:val="24"/>
        </w:rPr>
        <w:t>poč</w:t>
      </w:r>
      <w:r w:rsidR="00CE33A0" w:rsidRPr="003A1C6E">
        <w:rPr>
          <w:sz w:val="24"/>
          <w:szCs w:val="24"/>
        </w:rPr>
        <w:t>et</w:t>
      </w:r>
      <w:r w:rsidRPr="003A1C6E">
        <w:rPr>
          <w:sz w:val="24"/>
          <w:szCs w:val="24"/>
        </w:rPr>
        <w:t xml:space="preserve"> obydlí s přístupem k</w:t>
      </w:r>
      <w:r w:rsidR="00CE33A0" w:rsidRPr="003A1C6E">
        <w:rPr>
          <w:sz w:val="24"/>
          <w:szCs w:val="24"/>
        </w:rPr>
        <w:t xml:space="preserve"> VHCN. </w:t>
      </w:r>
    </w:p>
    <w:p w14:paraId="5573ECD8" w14:textId="77777777" w:rsidR="00AC0999" w:rsidRDefault="0033621C">
      <w:pPr>
        <w:rPr>
          <w:sz w:val="24"/>
          <w:szCs w:val="24"/>
        </w:rPr>
      </w:pPr>
      <w:r>
        <w:rPr>
          <w:sz w:val="24"/>
          <w:szCs w:val="24"/>
        </w:rPr>
        <w:t>Dále nás zajímá, jak se MPO postaví k RUIAN určených k rekreaci.</w:t>
      </w:r>
      <w:r w:rsidR="004A5B9E">
        <w:rPr>
          <w:sz w:val="24"/>
          <w:szCs w:val="24"/>
        </w:rPr>
        <w:t xml:space="preserve"> Zejména ve Veřejné konzultaci. </w:t>
      </w:r>
    </w:p>
    <w:p w14:paraId="1E2FEDD3" w14:textId="06AFF21A" w:rsidR="00CE3985" w:rsidRPr="003A1C6E" w:rsidRDefault="00AC0999">
      <w:pPr>
        <w:rPr>
          <w:sz w:val="24"/>
          <w:szCs w:val="24"/>
        </w:rPr>
      </w:pPr>
      <w:r>
        <w:rPr>
          <w:sz w:val="24"/>
          <w:szCs w:val="24"/>
        </w:rPr>
        <w:t xml:space="preserve">Bude rekreační RUIAN ID MPO započítávat do % pokrytí v případě hodnocení projektu? </w:t>
      </w:r>
    </w:p>
    <w:p w14:paraId="402DF047" w14:textId="5FD36CC3" w:rsidR="004C00E5" w:rsidRPr="003A1C6E" w:rsidRDefault="00E02180">
      <w:pPr>
        <w:rPr>
          <w:sz w:val="24"/>
          <w:szCs w:val="24"/>
        </w:rPr>
      </w:pPr>
      <w:r w:rsidRPr="003A1C6E">
        <w:rPr>
          <w:b/>
          <w:bCs/>
          <w:sz w:val="24"/>
          <w:szCs w:val="24"/>
        </w:rPr>
        <w:t xml:space="preserve">Organizační složka státu a příspěvková organizace státu jako </w:t>
      </w:r>
      <w:proofErr w:type="gramStart"/>
      <w:r w:rsidRPr="003A1C6E">
        <w:rPr>
          <w:b/>
          <w:bCs/>
          <w:sz w:val="24"/>
          <w:szCs w:val="24"/>
        </w:rPr>
        <w:t>žadatel</w:t>
      </w:r>
      <w:r w:rsidRPr="003A1C6E">
        <w:rPr>
          <w:sz w:val="24"/>
          <w:szCs w:val="24"/>
        </w:rPr>
        <w:t xml:space="preserve"> - Platí</w:t>
      </w:r>
      <w:proofErr w:type="gramEnd"/>
      <w:r w:rsidRPr="003A1C6E">
        <w:rPr>
          <w:sz w:val="24"/>
          <w:szCs w:val="24"/>
        </w:rPr>
        <w:t xml:space="preserve"> i pro tyto subjekty podmínka být podnikatelem v el. komunikacích? Pokud ne, jak by nabízely </w:t>
      </w:r>
      <w:r w:rsidR="000E5690">
        <w:rPr>
          <w:sz w:val="24"/>
          <w:szCs w:val="24"/>
        </w:rPr>
        <w:t>své</w:t>
      </w:r>
      <w:r w:rsidRPr="003A1C6E">
        <w:rPr>
          <w:sz w:val="24"/>
          <w:szCs w:val="24"/>
        </w:rPr>
        <w:t xml:space="preserve"> služby? Jakým zákonem by se při provozování sítě řídily? </w:t>
      </w:r>
    </w:p>
    <w:p w14:paraId="1FB9E14E" w14:textId="30BDF601" w:rsidR="00721929" w:rsidRPr="003A1C6E" w:rsidRDefault="00721929">
      <w:pPr>
        <w:rPr>
          <w:i/>
          <w:iCs/>
          <w:sz w:val="24"/>
          <w:szCs w:val="24"/>
        </w:rPr>
      </w:pPr>
      <w:r w:rsidRPr="003A1C6E">
        <w:rPr>
          <w:b/>
          <w:bCs/>
          <w:sz w:val="24"/>
          <w:szCs w:val="24"/>
        </w:rPr>
        <w:t>Podmínka velkoobchodního přístupu k mobilním sítím</w:t>
      </w:r>
      <w:r w:rsidRPr="003A1C6E">
        <w:rPr>
          <w:sz w:val="24"/>
          <w:szCs w:val="24"/>
        </w:rPr>
        <w:t xml:space="preserve"> – Navrhujeme vzhledem k zaměření dotace na pevné sítě upřesnit, za jakých podmínek je nutné nabízet přístup k mobilním sítím (viz </w:t>
      </w:r>
      <w:r w:rsidR="000E5690">
        <w:rPr>
          <w:sz w:val="24"/>
          <w:szCs w:val="24"/>
        </w:rPr>
        <w:t xml:space="preserve">text výzvy </w:t>
      </w:r>
      <w:r w:rsidRPr="003A1C6E">
        <w:rPr>
          <w:sz w:val="24"/>
          <w:szCs w:val="24"/>
        </w:rPr>
        <w:t xml:space="preserve">čl. 7 Ostatní specifické podmínky, písm. g kde je uvedena podmínka </w:t>
      </w:r>
      <w:r w:rsidR="004C00E5" w:rsidRPr="003A1C6E">
        <w:rPr>
          <w:i/>
          <w:iCs/>
          <w:sz w:val="24"/>
          <w:szCs w:val="24"/>
        </w:rPr>
        <w:t xml:space="preserve">Provozovatel sítě bude poskytovat </w:t>
      </w:r>
      <w:proofErr w:type="gramStart"/>
      <w:r w:rsidR="004C00E5" w:rsidRPr="003A1C6E">
        <w:rPr>
          <w:i/>
          <w:iCs/>
          <w:sz w:val="24"/>
          <w:szCs w:val="24"/>
        </w:rPr>
        <w:t>velkoobchodní  přístup</w:t>
      </w:r>
      <w:proofErr w:type="gramEnd"/>
      <w:r w:rsidR="004C00E5" w:rsidRPr="003A1C6E">
        <w:rPr>
          <w:i/>
          <w:iCs/>
          <w:sz w:val="24"/>
          <w:szCs w:val="24"/>
        </w:rPr>
        <w:t xml:space="preserve"> k pevným </w:t>
      </w:r>
      <w:r w:rsidR="004C00E5" w:rsidRPr="000E5690">
        <w:rPr>
          <w:b/>
          <w:bCs/>
          <w:i/>
          <w:iCs/>
          <w:sz w:val="24"/>
          <w:szCs w:val="24"/>
        </w:rPr>
        <w:t>i mobilním sítím</w:t>
      </w:r>
      <w:r w:rsidR="004C00E5" w:rsidRPr="003A1C6E">
        <w:rPr>
          <w:i/>
          <w:iCs/>
          <w:sz w:val="24"/>
          <w:szCs w:val="24"/>
        </w:rPr>
        <w:t xml:space="preserve">  podle čl. 2 bodu 139 a čl. 52d odst. 7 a 8 GBER za spravedlivých a nediskriminačních podmínek (viz </w:t>
      </w:r>
      <w:proofErr w:type="spellStart"/>
      <w:r w:rsidR="004C00E5" w:rsidRPr="003A1C6E">
        <w:rPr>
          <w:i/>
          <w:iCs/>
          <w:sz w:val="24"/>
          <w:szCs w:val="24"/>
        </w:rPr>
        <w:t>Příl</w:t>
      </w:r>
      <w:proofErr w:type="spellEnd"/>
      <w:r w:rsidR="004C00E5" w:rsidRPr="003A1C6E">
        <w:rPr>
          <w:i/>
          <w:iCs/>
          <w:sz w:val="24"/>
          <w:szCs w:val="24"/>
        </w:rPr>
        <w:t xml:space="preserve">. 7 a kap. 9.5 </w:t>
      </w:r>
      <w:proofErr w:type="spellStart"/>
      <w:r w:rsidR="004C00E5" w:rsidRPr="003A1C6E">
        <w:rPr>
          <w:i/>
          <w:iCs/>
          <w:sz w:val="24"/>
          <w:szCs w:val="24"/>
        </w:rPr>
        <w:t>PpŽP</w:t>
      </w:r>
      <w:proofErr w:type="spellEnd"/>
      <w:r w:rsidR="004C00E5" w:rsidRPr="003A1C6E">
        <w:rPr>
          <w:i/>
          <w:iCs/>
          <w:sz w:val="24"/>
          <w:szCs w:val="24"/>
        </w:rPr>
        <w:t>) a zajistí udržitelnost požadovaných výstupů projektu a dalších podmínek alespoň po dobu 10 let</w:t>
      </w:r>
      <w:r w:rsidRPr="003A1C6E">
        <w:rPr>
          <w:i/>
          <w:iCs/>
          <w:sz w:val="24"/>
          <w:szCs w:val="24"/>
        </w:rPr>
        <w:t xml:space="preserve">). </w:t>
      </w:r>
    </w:p>
    <w:p w14:paraId="0801E9F3" w14:textId="2AE585F8" w:rsidR="00C73310" w:rsidRDefault="003624E3" w:rsidP="003624E3">
      <w:pPr>
        <w:rPr>
          <w:sz w:val="24"/>
          <w:szCs w:val="24"/>
        </w:rPr>
      </w:pPr>
      <w:r w:rsidRPr="00D706CF">
        <w:rPr>
          <w:b/>
          <w:bCs/>
          <w:sz w:val="24"/>
          <w:szCs w:val="24"/>
        </w:rPr>
        <w:t>Nejasné uzemní zaměření výzvy</w:t>
      </w:r>
      <w:r w:rsidRPr="003A1C6E">
        <w:rPr>
          <w:sz w:val="24"/>
          <w:szCs w:val="24"/>
        </w:rPr>
        <w:t xml:space="preserve"> - Jako podporované oblasti jsou vymezeny obce do 2000 obyvatel, kde není k dispozici optická přípojná síť (</w:t>
      </w:r>
      <w:proofErr w:type="spellStart"/>
      <w:proofErr w:type="gramStart"/>
      <w:r w:rsidRPr="003A1C6E">
        <w:rPr>
          <w:sz w:val="24"/>
          <w:szCs w:val="24"/>
        </w:rPr>
        <w:t>backhaul</w:t>
      </w:r>
      <w:proofErr w:type="spellEnd"/>
      <w:r w:rsidRPr="003A1C6E">
        <w:rPr>
          <w:sz w:val="24"/>
          <w:szCs w:val="24"/>
        </w:rPr>
        <w:t xml:space="preserve"> )</w:t>
      </w:r>
      <w:proofErr w:type="gramEnd"/>
      <w:r w:rsidRPr="003A1C6E">
        <w:rPr>
          <w:sz w:val="24"/>
          <w:szCs w:val="24"/>
        </w:rPr>
        <w:t>.  Platí toto omezení i pro projekty zaměřené na budování přístupové části sítě? Jednalo by se změnu vůči předchozím dotačním výzvám</w:t>
      </w:r>
      <w:r w:rsidR="000E5690">
        <w:rPr>
          <w:sz w:val="24"/>
          <w:szCs w:val="24"/>
        </w:rPr>
        <w:t>.</w:t>
      </w:r>
    </w:p>
    <w:p w14:paraId="31E4EA72" w14:textId="25CE72DC" w:rsidR="000631B5" w:rsidRPr="000631B5" w:rsidRDefault="000631B5" w:rsidP="003624E3">
      <w:pPr>
        <w:rPr>
          <w:b/>
          <w:bCs/>
          <w:sz w:val="24"/>
          <w:szCs w:val="24"/>
        </w:rPr>
      </w:pPr>
      <w:r>
        <w:rPr>
          <w:b/>
          <w:bCs/>
          <w:sz w:val="24"/>
          <w:szCs w:val="24"/>
        </w:rPr>
        <w:t xml:space="preserve">Těžko se vyjadřuje k podobě Výzvy, zejména A oblastí, pokud neznáme příklady těchto oblastí. </w:t>
      </w:r>
    </w:p>
    <w:p w14:paraId="38D983AD" w14:textId="5849070A" w:rsidR="009D471D" w:rsidRDefault="009D471D" w:rsidP="003624E3">
      <w:pPr>
        <w:rPr>
          <w:sz w:val="24"/>
          <w:szCs w:val="24"/>
        </w:rPr>
      </w:pPr>
      <w:r w:rsidRPr="00D706CF">
        <w:rPr>
          <w:b/>
          <w:bCs/>
          <w:sz w:val="24"/>
          <w:szCs w:val="24"/>
        </w:rPr>
        <w:t xml:space="preserve">Nejasnosti spojené s plněním závazků u projektů zaměřených pouze na </w:t>
      </w:r>
      <w:proofErr w:type="spellStart"/>
      <w:r w:rsidRPr="00D706CF">
        <w:rPr>
          <w:b/>
          <w:bCs/>
          <w:sz w:val="24"/>
          <w:szCs w:val="24"/>
        </w:rPr>
        <w:t>backhaul</w:t>
      </w:r>
      <w:proofErr w:type="spellEnd"/>
      <w:r w:rsidRPr="00D706CF">
        <w:rPr>
          <w:b/>
          <w:bCs/>
          <w:sz w:val="24"/>
          <w:szCs w:val="24"/>
        </w:rPr>
        <w:t xml:space="preserve"> (přípojnou síť)</w:t>
      </w:r>
      <w:r w:rsidRPr="003A1C6E">
        <w:rPr>
          <w:sz w:val="24"/>
          <w:szCs w:val="24"/>
        </w:rPr>
        <w:t xml:space="preserve"> – Návrh výzvy předpokládá u proj</w:t>
      </w:r>
      <w:r w:rsidR="003A1C6E" w:rsidRPr="003A1C6E">
        <w:rPr>
          <w:sz w:val="24"/>
          <w:szCs w:val="24"/>
        </w:rPr>
        <w:t xml:space="preserve">ektů změřených pouze na </w:t>
      </w:r>
      <w:proofErr w:type="spellStart"/>
      <w:r w:rsidR="003A1C6E" w:rsidRPr="003A1C6E">
        <w:rPr>
          <w:sz w:val="24"/>
          <w:szCs w:val="24"/>
        </w:rPr>
        <w:t>backhaul</w:t>
      </w:r>
      <w:proofErr w:type="spellEnd"/>
      <w:r w:rsidR="003A1C6E" w:rsidRPr="003A1C6E">
        <w:rPr>
          <w:sz w:val="24"/>
          <w:szCs w:val="24"/>
        </w:rPr>
        <w:t xml:space="preserve"> zapojení třetích stran (jiných poskytovatelů připojení). Jde např. o doložení dohody o umístění CO v lokalitě, či plnění závazu vybudovat VHCN přípojky bez využití dotace.  Je třeba přesně specifikovat požadavky na doložení takových závazků, jejich kontrolu apod.</w:t>
      </w:r>
    </w:p>
    <w:p w14:paraId="2A1AC95D" w14:textId="77777777" w:rsidR="00961E11" w:rsidRDefault="00961E11" w:rsidP="003624E3">
      <w:pPr>
        <w:rPr>
          <w:sz w:val="24"/>
          <w:szCs w:val="24"/>
        </w:rPr>
      </w:pPr>
    </w:p>
    <w:p w14:paraId="21908B5D" w14:textId="7328E7F4" w:rsidR="00954385" w:rsidRDefault="00954385" w:rsidP="003624E3">
      <w:pPr>
        <w:rPr>
          <w:sz w:val="24"/>
          <w:szCs w:val="24"/>
        </w:rPr>
      </w:pPr>
      <w:r w:rsidRPr="00954385">
        <w:rPr>
          <w:b/>
          <w:bCs/>
          <w:sz w:val="24"/>
          <w:szCs w:val="24"/>
        </w:rPr>
        <w:t>Hodnocení C2 Tržní potenciál</w:t>
      </w:r>
      <w:r w:rsidR="001A2C8F">
        <w:rPr>
          <w:b/>
          <w:bCs/>
          <w:sz w:val="24"/>
          <w:szCs w:val="24"/>
        </w:rPr>
        <w:t xml:space="preserve">. </w:t>
      </w:r>
      <w:r w:rsidR="001A2C8F">
        <w:rPr>
          <w:sz w:val="24"/>
          <w:szCs w:val="24"/>
        </w:rPr>
        <w:t xml:space="preserve">MPS obvykle znají dotčené regiony dostatečně, a není tedy taková potřeba </w:t>
      </w:r>
      <w:r w:rsidR="00666E6A">
        <w:rPr>
          <w:sz w:val="24"/>
          <w:szCs w:val="24"/>
        </w:rPr>
        <w:t xml:space="preserve">stanovovat rozsáhlé podnikové strategie. </w:t>
      </w:r>
      <w:r w:rsidR="004D6BC2">
        <w:rPr>
          <w:sz w:val="24"/>
          <w:szCs w:val="24"/>
        </w:rPr>
        <w:t xml:space="preserve">Neznáme přesně zažitý způsob hodnocení </w:t>
      </w:r>
      <w:proofErr w:type="spellStart"/>
      <w:r w:rsidR="004D6BC2">
        <w:rPr>
          <w:sz w:val="24"/>
          <w:szCs w:val="24"/>
        </w:rPr>
        <w:t>hodnotile</w:t>
      </w:r>
      <w:proofErr w:type="spellEnd"/>
      <w:r w:rsidR="004D6BC2">
        <w:rPr>
          <w:sz w:val="24"/>
          <w:szCs w:val="24"/>
        </w:rPr>
        <w:t xml:space="preserve"> (MPO), ale </w:t>
      </w:r>
      <w:r w:rsidR="00C10904">
        <w:rPr>
          <w:sz w:val="24"/>
          <w:szCs w:val="24"/>
        </w:rPr>
        <w:t xml:space="preserve">považujeme jej za možné nadbytečné znevýhodnění MSP. </w:t>
      </w:r>
    </w:p>
    <w:p w14:paraId="4E29EFAF" w14:textId="77777777" w:rsidR="00C10904" w:rsidRDefault="00C10904" w:rsidP="003624E3">
      <w:pPr>
        <w:rPr>
          <w:sz w:val="24"/>
          <w:szCs w:val="24"/>
        </w:rPr>
      </w:pPr>
    </w:p>
    <w:p w14:paraId="6CB0C8F5" w14:textId="6FA640DB" w:rsidR="00C10904" w:rsidRDefault="00646F64" w:rsidP="003624E3">
      <w:pPr>
        <w:rPr>
          <w:sz w:val="24"/>
          <w:szCs w:val="24"/>
        </w:rPr>
      </w:pPr>
      <w:r w:rsidRPr="00323EDA">
        <w:rPr>
          <w:b/>
          <w:bCs/>
          <w:sz w:val="24"/>
          <w:szCs w:val="24"/>
        </w:rPr>
        <w:t>Dokument</w:t>
      </w:r>
      <w:r w:rsidR="00285C6F" w:rsidRPr="00323EDA">
        <w:rPr>
          <w:b/>
          <w:bCs/>
          <w:sz w:val="24"/>
          <w:szCs w:val="24"/>
        </w:rPr>
        <w:t xml:space="preserve"> </w:t>
      </w:r>
      <w:r w:rsidRPr="00323EDA">
        <w:rPr>
          <w:b/>
          <w:bCs/>
          <w:sz w:val="24"/>
          <w:szCs w:val="24"/>
        </w:rPr>
        <w:t>Příloha 2 – Pravidla pro žadatele a příjemce – zvláštní část I. Výzva OP TAK – Rozvoj digitální infrastruktury</w:t>
      </w:r>
      <w:r w:rsidR="00323EDA" w:rsidRPr="00323EDA">
        <w:rPr>
          <w:b/>
          <w:bCs/>
          <w:sz w:val="24"/>
          <w:szCs w:val="24"/>
        </w:rPr>
        <w:t>.</w:t>
      </w:r>
      <w:r w:rsidR="0084459C">
        <w:rPr>
          <w:b/>
          <w:bCs/>
          <w:sz w:val="24"/>
          <w:szCs w:val="24"/>
        </w:rPr>
        <w:t xml:space="preserve"> </w:t>
      </w:r>
      <w:r w:rsidR="0084459C">
        <w:rPr>
          <w:sz w:val="24"/>
          <w:szCs w:val="24"/>
        </w:rPr>
        <w:t>Definice rychlostí přístupu k </w:t>
      </w:r>
      <w:proofErr w:type="gramStart"/>
      <w:r w:rsidR="0084459C">
        <w:rPr>
          <w:sz w:val="24"/>
          <w:szCs w:val="24"/>
        </w:rPr>
        <w:t>Internetu</w:t>
      </w:r>
      <w:proofErr w:type="gramEnd"/>
      <w:r w:rsidR="0084459C">
        <w:rPr>
          <w:sz w:val="24"/>
          <w:szCs w:val="24"/>
        </w:rPr>
        <w:t xml:space="preserve">. </w:t>
      </w:r>
    </w:p>
    <w:p w14:paraId="330B5121" w14:textId="54343408" w:rsidR="0074226F" w:rsidRDefault="0074226F" w:rsidP="0074226F">
      <w:pPr>
        <w:pStyle w:val="Odstavecseseznamem"/>
        <w:numPr>
          <w:ilvl w:val="0"/>
          <w:numId w:val="3"/>
        </w:numPr>
      </w:pPr>
      <w:r>
        <w:t>Není-li uvedeno jinak, kde je zmíněna „rychlost“ (</w:t>
      </w:r>
      <w:proofErr w:type="spellStart"/>
      <w:r>
        <w:t>download</w:t>
      </w:r>
      <w:proofErr w:type="spellEnd"/>
      <w:r>
        <w:t xml:space="preserve">, upload), jde o přenosovou rychlost a jedná se o „Běžně dostupnou rychlost“ služby přístupu k internetu (také „BDR“) podle definice v Nařízení 2015/2120, a podle specifikace ve Všeobecném oprávnění ČTÚ. </w:t>
      </w:r>
    </w:p>
    <w:p w14:paraId="4DF7D126" w14:textId="799FD14F" w:rsidR="007035B4" w:rsidRDefault="0084459C" w:rsidP="0074226F">
      <w:pPr>
        <w:rPr>
          <w:sz w:val="24"/>
          <w:szCs w:val="24"/>
        </w:rPr>
      </w:pPr>
      <w:r w:rsidRPr="0074226F">
        <w:rPr>
          <w:sz w:val="24"/>
          <w:szCs w:val="24"/>
        </w:rPr>
        <w:lastRenderedPageBreak/>
        <w:t>MPO stanovuje</w:t>
      </w:r>
      <w:r w:rsidR="002F78B5">
        <w:rPr>
          <w:sz w:val="24"/>
          <w:szCs w:val="24"/>
        </w:rPr>
        <w:t xml:space="preserve"> požadované kapacity na dotované infrastruktuře tímto požadavkem </w:t>
      </w:r>
      <w:r w:rsidR="00C81174">
        <w:rPr>
          <w:sz w:val="24"/>
          <w:szCs w:val="24"/>
        </w:rPr>
        <w:t xml:space="preserve">tak, že nepřipouští pokles rychlosti na fyzické infrastruktuře. Je to vlastně požadavek na 1,6 Gigabitové rychlosti dotované infrastruktury. </w:t>
      </w:r>
      <w:r w:rsidR="00F23DCE">
        <w:rPr>
          <w:sz w:val="24"/>
          <w:szCs w:val="24"/>
        </w:rPr>
        <w:t xml:space="preserve">V zásadě říká, že požadovaná síťová rychlost musí být i rychlostí dodávaného tarifu. Což je problém, neboť podle těchto pravidel musí být dimenzované vyšší prvky sítě. </w:t>
      </w:r>
      <w:r w:rsidR="003F26A0">
        <w:rPr>
          <w:sz w:val="24"/>
          <w:szCs w:val="24"/>
        </w:rPr>
        <w:t xml:space="preserve">V případě 1Gbps tarifů nesmí tento tarif poklesnout pod 1 </w:t>
      </w:r>
      <w:proofErr w:type="spellStart"/>
      <w:r w:rsidR="003F26A0">
        <w:rPr>
          <w:sz w:val="24"/>
          <w:szCs w:val="24"/>
        </w:rPr>
        <w:t>Gbps</w:t>
      </w:r>
      <w:proofErr w:type="spellEnd"/>
      <w:r w:rsidR="003F26A0">
        <w:rPr>
          <w:sz w:val="24"/>
          <w:szCs w:val="24"/>
        </w:rPr>
        <w:t xml:space="preserve"> (s malou tolerancí danou definicí ČTÚ, které rozumí jiným hodnotám na různých vrstvách modelu OSI).</w:t>
      </w:r>
      <w:r w:rsidR="003F26A0">
        <w:rPr>
          <w:sz w:val="24"/>
          <w:szCs w:val="24"/>
        </w:rPr>
        <w:t xml:space="preserve"> V případě 150 Mbps infrastruktury v oblastech A se vlastně jedná o požadavek na vybudování </w:t>
      </w:r>
      <w:r w:rsidR="00300841">
        <w:rPr>
          <w:sz w:val="24"/>
          <w:szCs w:val="24"/>
        </w:rPr>
        <w:t xml:space="preserve">250 Mbps infrastruktury (zjednodušené). Agregační výpočty nelze provádět násobením. </w:t>
      </w:r>
      <w:r w:rsidR="00AC64E9">
        <w:rPr>
          <w:sz w:val="24"/>
          <w:szCs w:val="24"/>
        </w:rPr>
        <w:t>Je zjevné, že si může administrátor dotace tyto hodnoty nastavit</w:t>
      </w:r>
      <w:r w:rsidR="00692BA2">
        <w:rPr>
          <w:sz w:val="24"/>
          <w:szCs w:val="24"/>
        </w:rPr>
        <w:t xml:space="preserve"> dle vlastní úvahy a úvahy Komise. P</w:t>
      </w:r>
      <w:r w:rsidR="00AC64E9">
        <w:rPr>
          <w:sz w:val="24"/>
          <w:szCs w:val="24"/>
        </w:rPr>
        <w:t xml:space="preserve">okud </w:t>
      </w:r>
      <w:r w:rsidR="00692BA2">
        <w:rPr>
          <w:sz w:val="24"/>
          <w:szCs w:val="24"/>
        </w:rPr>
        <w:t xml:space="preserve">však </w:t>
      </w:r>
      <w:r w:rsidR="00AC64E9">
        <w:rPr>
          <w:sz w:val="24"/>
          <w:szCs w:val="24"/>
        </w:rPr>
        <w:t xml:space="preserve">požaduje pro odlehlé oblasti </w:t>
      </w:r>
      <w:r w:rsidR="000370BB">
        <w:rPr>
          <w:sz w:val="24"/>
          <w:szCs w:val="24"/>
        </w:rPr>
        <w:t xml:space="preserve">s tržním selháním lepší parametry služby, nežli jsou obvyklé </w:t>
      </w:r>
      <w:r w:rsidR="002719B8">
        <w:rPr>
          <w:sz w:val="24"/>
          <w:szCs w:val="24"/>
        </w:rPr>
        <w:t>závazky, při poskytování obvyklé</w:t>
      </w:r>
      <w:r w:rsidR="00692BA2">
        <w:rPr>
          <w:sz w:val="24"/>
          <w:szCs w:val="24"/>
        </w:rPr>
        <w:t xml:space="preserve">, je </w:t>
      </w:r>
      <w:r w:rsidR="002719B8">
        <w:rPr>
          <w:sz w:val="24"/>
          <w:szCs w:val="24"/>
        </w:rPr>
        <w:t xml:space="preserve">třeba </w:t>
      </w:r>
      <w:r w:rsidR="00692BA2">
        <w:rPr>
          <w:sz w:val="24"/>
          <w:szCs w:val="24"/>
        </w:rPr>
        <w:t xml:space="preserve">toto </w:t>
      </w:r>
      <w:r w:rsidR="002719B8">
        <w:rPr>
          <w:sz w:val="24"/>
          <w:szCs w:val="24"/>
        </w:rPr>
        <w:t>vysvětit</w:t>
      </w:r>
      <w:r w:rsidR="00692BA2">
        <w:rPr>
          <w:sz w:val="24"/>
          <w:szCs w:val="24"/>
        </w:rPr>
        <w:t xml:space="preserve">. </w:t>
      </w:r>
      <w:r w:rsidR="007035B4">
        <w:rPr>
          <w:sz w:val="24"/>
          <w:szCs w:val="24"/>
        </w:rPr>
        <w:t xml:space="preserve">Otázka je: </w:t>
      </w:r>
      <w:r w:rsidR="002719B8">
        <w:rPr>
          <w:sz w:val="24"/>
          <w:szCs w:val="24"/>
        </w:rPr>
        <w:t xml:space="preserve">proč se má BDR rovnat inzerované maximální rychlosti, neboť ta je omezena vlastnostmi gigabitového ethernetu. </w:t>
      </w:r>
      <w:r w:rsidR="007035B4">
        <w:rPr>
          <w:sz w:val="24"/>
          <w:szCs w:val="24"/>
        </w:rPr>
        <w:t>(s malou tolerancí danou definicí ČTÚ, které rozumí jiným hodnotám na různých vrstvách modelu OSI).</w:t>
      </w:r>
    </w:p>
    <w:p w14:paraId="4A4D1538" w14:textId="69B7DF20" w:rsidR="002719B8" w:rsidRDefault="002719B8" w:rsidP="0074226F">
      <w:pPr>
        <w:rPr>
          <w:sz w:val="24"/>
          <w:szCs w:val="24"/>
        </w:rPr>
      </w:pPr>
      <w:r>
        <w:rPr>
          <w:sz w:val="24"/>
          <w:szCs w:val="24"/>
        </w:rPr>
        <w:t xml:space="preserve">V případě odlehlých A oblastí se tím </w:t>
      </w:r>
      <w:r w:rsidR="00EF1F22">
        <w:rPr>
          <w:sz w:val="24"/>
          <w:szCs w:val="24"/>
        </w:rPr>
        <w:t>omezuje dosažitelnost technických řešení a CAPEX náklady provozovatele. Dopad takového požadavku povede k</w:t>
      </w:r>
      <w:r w:rsidR="00B92B26">
        <w:rPr>
          <w:sz w:val="24"/>
          <w:szCs w:val="24"/>
        </w:rPr>
        <w:t xml:space="preserve"> mizerným výsledkům dotační výzvy ve zvlášť odlehlých oblastech. </w:t>
      </w:r>
    </w:p>
    <w:p w14:paraId="6E389C09" w14:textId="54818313" w:rsidR="0084459C" w:rsidRDefault="00C81174" w:rsidP="0074226F">
      <w:pPr>
        <w:rPr>
          <w:sz w:val="24"/>
          <w:szCs w:val="24"/>
        </w:rPr>
      </w:pPr>
      <w:r>
        <w:rPr>
          <w:sz w:val="24"/>
          <w:szCs w:val="24"/>
        </w:rPr>
        <w:t>Toto opět přináší zvýhodnění velkým podnikům a nevýhodu malým podniků</w:t>
      </w:r>
      <w:r w:rsidR="00B962F0">
        <w:rPr>
          <w:sz w:val="24"/>
          <w:szCs w:val="24"/>
        </w:rPr>
        <w:t>m</w:t>
      </w:r>
      <w:r>
        <w:rPr>
          <w:sz w:val="24"/>
          <w:szCs w:val="24"/>
        </w:rPr>
        <w:t xml:space="preserve">. </w:t>
      </w:r>
    </w:p>
    <w:p w14:paraId="656D2F5A" w14:textId="77777777" w:rsidR="00D544AC" w:rsidRPr="0074226F" w:rsidRDefault="00D544AC" w:rsidP="0074226F">
      <w:pPr>
        <w:rPr>
          <w:sz w:val="24"/>
          <w:szCs w:val="24"/>
        </w:rPr>
      </w:pPr>
    </w:p>
    <w:p w14:paraId="04ADEBE7" w14:textId="77777777" w:rsidR="002069C8" w:rsidRDefault="002069C8" w:rsidP="003624E3">
      <w:pPr>
        <w:rPr>
          <w:sz w:val="24"/>
          <w:szCs w:val="24"/>
        </w:rPr>
      </w:pPr>
    </w:p>
    <w:p w14:paraId="66AFE345" w14:textId="1F9D842B" w:rsidR="002069C8" w:rsidRDefault="000F2A74" w:rsidP="003624E3">
      <w:pPr>
        <w:rPr>
          <w:sz w:val="24"/>
          <w:szCs w:val="24"/>
        </w:rPr>
      </w:pPr>
      <w:r>
        <w:rPr>
          <w:sz w:val="24"/>
          <w:szCs w:val="24"/>
        </w:rPr>
        <w:t xml:space="preserve">Za VNICTP </w:t>
      </w:r>
      <w:proofErr w:type="spellStart"/>
      <w:r>
        <w:rPr>
          <w:sz w:val="24"/>
          <w:szCs w:val="24"/>
        </w:rPr>
        <w:t>z.s</w:t>
      </w:r>
      <w:proofErr w:type="spellEnd"/>
      <w:r>
        <w:rPr>
          <w:sz w:val="24"/>
          <w:szCs w:val="24"/>
        </w:rPr>
        <w:t>.</w:t>
      </w:r>
    </w:p>
    <w:p w14:paraId="66217206" w14:textId="59CE437D" w:rsidR="000F2A74" w:rsidRPr="003A1C6E" w:rsidRDefault="000F2A74" w:rsidP="003624E3">
      <w:pPr>
        <w:rPr>
          <w:sz w:val="24"/>
          <w:szCs w:val="24"/>
        </w:rPr>
      </w:pPr>
      <w:r>
        <w:rPr>
          <w:sz w:val="24"/>
          <w:szCs w:val="24"/>
        </w:rPr>
        <w:t xml:space="preserve">Jakub Rejzek </w:t>
      </w:r>
    </w:p>
    <w:p w14:paraId="4FB49935" w14:textId="77777777" w:rsidR="00C73310" w:rsidRPr="003A1C6E" w:rsidRDefault="00C73310" w:rsidP="003624E3">
      <w:pPr>
        <w:rPr>
          <w:sz w:val="24"/>
          <w:szCs w:val="24"/>
        </w:rPr>
      </w:pPr>
    </w:p>
    <w:p w14:paraId="15A8D326" w14:textId="4C78C1EE" w:rsidR="00721929" w:rsidRPr="003A1C6E" w:rsidRDefault="003624E3" w:rsidP="003624E3">
      <w:pPr>
        <w:rPr>
          <w:sz w:val="24"/>
          <w:szCs w:val="24"/>
        </w:rPr>
      </w:pPr>
      <w:r w:rsidRPr="003A1C6E">
        <w:rPr>
          <w:sz w:val="24"/>
          <w:szCs w:val="24"/>
        </w:rPr>
        <w:t xml:space="preserve"> </w:t>
      </w:r>
    </w:p>
    <w:sectPr w:rsidR="00721929" w:rsidRPr="003A1C6E">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6F1C" w14:textId="77777777" w:rsidR="00AB6A67" w:rsidRDefault="00AB6A67" w:rsidP="00CE33A0">
      <w:pPr>
        <w:spacing w:after="0" w:line="240" w:lineRule="auto"/>
      </w:pPr>
      <w:r>
        <w:separator/>
      </w:r>
    </w:p>
  </w:endnote>
  <w:endnote w:type="continuationSeparator" w:id="0">
    <w:p w14:paraId="56C423E6" w14:textId="77777777" w:rsidR="00AB6A67" w:rsidRDefault="00AB6A67" w:rsidP="00CE33A0">
      <w:pPr>
        <w:spacing w:after="0" w:line="240" w:lineRule="auto"/>
      </w:pPr>
      <w:r>
        <w:continuationSeparator/>
      </w:r>
    </w:p>
  </w:endnote>
  <w:endnote w:type="continuationNotice" w:id="1">
    <w:p w14:paraId="0BCFC060" w14:textId="77777777" w:rsidR="00AB6A67" w:rsidRDefault="00AB6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F589" w14:textId="77777777" w:rsidR="00AB6A67" w:rsidRDefault="00AB6A67" w:rsidP="00CE33A0">
      <w:pPr>
        <w:spacing w:after="0" w:line="240" w:lineRule="auto"/>
      </w:pPr>
      <w:r>
        <w:separator/>
      </w:r>
    </w:p>
  </w:footnote>
  <w:footnote w:type="continuationSeparator" w:id="0">
    <w:p w14:paraId="4F6C9CB2" w14:textId="77777777" w:rsidR="00AB6A67" w:rsidRDefault="00AB6A67" w:rsidP="00CE33A0">
      <w:pPr>
        <w:spacing w:after="0" w:line="240" w:lineRule="auto"/>
      </w:pPr>
      <w:r>
        <w:continuationSeparator/>
      </w:r>
    </w:p>
  </w:footnote>
  <w:footnote w:type="continuationNotice" w:id="1">
    <w:p w14:paraId="45C3F12F" w14:textId="77777777" w:rsidR="00AB6A67" w:rsidRDefault="00AB6A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1733" w14:textId="674EEEEF" w:rsidR="00CE33A0" w:rsidRDefault="00C73310">
    <w:pPr>
      <w:pStyle w:val="Zhlav"/>
    </w:pPr>
    <w:r>
      <w:rPr>
        <w:noProof/>
      </w:rPr>
      <mc:AlternateContent>
        <mc:Choice Requires="wps">
          <w:drawing>
            <wp:anchor distT="0" distB="0" distL="0" distR="0" simplePos="0" relativeHeight="251658241" behindDoc="0" locked="0" layoutInCell="1" allowOverlap="1" wp14:anchorId="5A313B56" wp14:editId="65271BF3">
              <wp:simplePos x="635" y="635"/>
              <wp:positionH relativeFrom="page">
                <wp:align>right</wp:align>
              </wp:positionH>
              <wp:positionV relativeFrom="page">
                <wp:align>top</wp:align>
              </wp:positionV>
              <wp:extent cx="443865" cy="443865"/>
              <wp:effectExtent l="0" t="0" r="0" b="4445"/>
              <wp:wrapNone/>
              <wp:docPr id="5" name="Textové pole 5"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5F56C" w14:textId="74E5371A" w:rsidR="00C73310" w:rsidRPr="00C73310" w:rsidRDefault="00C73310" w:rsidP="00C73310">
                          <w:pPr>
                            <w:spacing w:after="0"/>
                            <w:rPr>
                              <w:rFonts w:ascii="Calibri" w:eastAsia="Calibri" w:hAnsi="Calibri" w:cs="Calibri"/>
                              <w:noProof/>
                              <w:color w:val="000000"/>
                              <w:sz w:val="20"/>
                              <w:szCs w:val="20"/>
                            </w:rPr>
                          </w:pPr>
                          <w:r w:rsidRPr="00C73310">
                            <w:rPr>
                              <w:rFonts w:ascii="Calibri" w:eastAsia="Calibri" w:hAnsi="Calibri" w:cs="Calibri"/>
                              <w:noProof/>
                              <w:color w:val="000000"/>
                              <w:sz w:val="20"/>
                              <w:szCs w:val="20"/>
                            </w:rPr>
                            <w:t>Open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A313B56" id="_x0000_t202" coordsize="21600,21600" o:spt="202" path="m,l,21600r21600,l21600,xe">
              <v:stroke joinstyle="miter"/>
              <v:path gradientshapeok="t" o:connecttype="rect"/>
            </v:shapetype>
            <v:shape id="Textové pole 5" o:spid="_x0000_s1026" type="#_x0000_t202" alt="Open"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7645F56C" w14:textId="74E5371A" w:rsidR="00C73310" w:rsidRPr="00C73310" w:rsidRDefault="00C73310" w:rsidP="00C73310">
                    <w:pPr>
                      <w:spacing w:after="0"/>
                      <w:rPr>
                        <w:rFonts w:ascii="Calibri" w:eastAsia="Calibri" w:hAnsi="Calibri" w:cs="Calibri"/>
                        <w:noProof/>
                        <w:color w:val="000000"/>
                        <w:sz w:val="20"/>
                        <w:szCs w:val="20"/>
                      </w:rPr>
                    </w:pPr>
                    <w:r w:rsidRPr="00C73310">
                      <w:rPr>
                        <w:rFonts w:ascii="Calibri" w:eastAsia="Calibri" w:hAnsi="Calibri" w:cs="Calibri"/>
                        <w:noProof/>
                        <w:color w:val="000000"/>
                        <w:sz w:val="20"/>
                        <w:szCs w:val="20"/>
                      </w:rPr>
                      <w:t>Open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CF72" w14:textId="3DF11DB5" w:rsidR="00CE33A0" w:rsidRDefault="00C73310">
    <w:pPr>
      <w:pStyle w:val="Zhlav"/>
    </w:pPr>
    <w:r>
      <w:rPr>
        <w:noProof/>
      </w:rPr>
      <mc:AlternateContent>
        <mc:Choice Requires="wps">
          <w:drawing>
            <wp:anchor distT="0" distB="0" distL="0" distR="0" simplePos="0" relativeHeight="251658242" behindDoc="0" locked="0" layoutInCell="1" allowOverlap="1" wp14:anchorId="660D6F8F" wp14:editId="6B80FDF3">
              <wp:simplePos x="904875" y="447675"/>
              <wp:positionH relativeFrom="page">
                <wp:align>right</wp:align>
              </wp:positionH>
              <wp:positionV relativeFrom="page">
                <wp:align>top</wp:align>
              </wp:positionV>
              <wp:extent cx="443865" cy="443865"/>
              <wp:effectExtent l="0" t="0" r="0" b="4445"/>
              <wp:wrapNone/>
              <wp:docPr id="6" name="Textové pole 6"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53DFD" w14:textId="6007F511" w:rsidR="00C73310" w:rsidRPr="00C73310" w:rsidRDefault="00C73310" w:rsidP="00C73310">
                          <w:pPr>
                            <w:spacing w:after="0"/>
                            <w:rPr>
                              <w:rFonts w:ascii="Calibri" w:eastAsia="Calibri" w:hAnsi="Calibri" w:cs="Calibri"/>
                              <w:noProof/>
                              <w:color w:val="000000"/>
                              <w:sz w:val="20"/>
                              <w:szCs w:val="20"/>
                            </w:rPr>
                          </w:pPr>
                          <w:r w:rsidRPr="00C73310">
                            <w:rPr>
                              <w:rFonts w:ascii="Calibri" w:eastAsia="Calibri" w:hAnsi="Calibri" w:cs="Calibri"/>
                              <w:noProof/>
                              <w:color w:val="000000"/>
                              <w:sz w:val="20"/>
                              <w:szCs w:val="20"/>
                            </w:rPr>
                            <w:t>Open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0D6F8F" id="_x0000_t202" coordsize="21600,21600" o:spt="202" path="m,l,21600r21600,l21600,xe">
              <v:stroke joinstyle="miter"/>
              <v:path gradientshapeok="t" o:connecttype="rect"/>
            </v:shapetype>
            <v:shape id="Textové pole 6" o:spid="_x0000_s1027" type="#_x0000_t202" alt="Open"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6D653DFD" w14:textId="6007F511" w:rsidR="00C73310" w:rsidRPr="00C73310" w:rsidRDefault="00C73310" w:rsidP="00C73310">
                    <w:pPr>
                      <w:spacing w:after="0"/>
                      <w:rPr>
                        <w:rFonts w:ascii="Calibri" w:eastAsia="Calibri" w:hAnsi="Calibri" w:cs="Calibri"/>
                        <w:noProof/>
                        <w:color w:val="000000"/>
                        <w:sz w:val="20"/>
                        <w:szCs w:val="20"/>
                      </w:rPr>
                    </w:pPr>
                    <w:r w:rsidRPr="00C73310">
                      <w:rPr>
                        <w:rFonts w:ascii="Calibri" w:eastAsia="Calibri" w:hAnsi="Calibri" w:cs="Calibri"/>
                        <w:noProof/>
                        <w:color w:val="000000"/>
                        <w:sz w:val="20"/>
                        <w:szCs w:val="20"/>
                      </w:rPr>
                      <w:t>Open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F950" w14:textId="55F62CAD" w:rsidR="00CE33A0" w:rsidRDefault="00C73310">
    <w:pPr>
      <w:pStyle w:val="Zhlav"/>
    </w:pPr>
    <w:r>
      <w:rPr>
        <w:noProof/>
      </w:rPr>
      <mc:AlternateContent>
        <mc:Choice Requires="wps">
          <w:drawing>
            <wp:anchor distT="0" distB="0" distL="0" distR="0" simplePos="0" relativeHeight="251658240" behindDoc="0" locked="0" layoutInCell="1" allowOverlap="1" wp14:anchorId="601CC6BB" wp14:editId="627B8C19">
              <wp:simplePos x="635" y="635"/>
              <wp:positionH relativeFrom="page">
                <wp:align>right</wp:align>
              </wp:positionH>
              <wp:positionV relativeFrom="page">
                <wp:align>top</wp:align>
              </wp:positionV>
              <wp:extent cx="443865" cy="443865"/>
              <wp:effectExtent l="0" t="0" r="0" b="4445"/>
              <wp:wrapNone/>
              <wp:docPr id="4" name="Textové pole 4"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4FAF27" w14:textId="17FF73FD" w:rsidR="00C73310" w:rsidRPr="00C73310" w:rsidRDefault="00C73310" w:rsidP="00C73310">
                          <w:pPr>
                            <w:spacing w:after="0"/>
                            <w:rPr>
                              <w:rFonts w:ascii="Calibri" w:eastAsia="Calibri" w:hAnsi="Calibri" w:cs="Calibri"/>
                              <w:noProof/>
                              <w:color w:val="000000"/>
                              <w:sz w:val="20"/>
                              <w:szCs w:val="20"/>
                            </w:rPr>
                          </w:pPr>
                          <w:r w:rsidRPr="00C73310">
                            <w:rPr>
                              <w:rFonts w:ascii="Calibri" w:eastAsia="Calibri" w:hAnsi="Calibri" w:cs="Calibri"/>
                              <w:noProof/>
                              <w:color w:val="000000"/>
                              <w:sz w:val="20"/>
                              <w:szCs w:val="20"/>
                            </w:rPr>
                            <w:t>Open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01CC6BB" id="_x0000_t202" coordsize="21600,21600" o:spt="202" path="m,l,21600r21600,l21600,xe">
              <v:stroke joinstyle="miter"/>
              <v:path gradientshapeok="t" o:connecttype="rect"/>
            </v:shapetype>
            <v:shape id="Textové pole 4" o:spid="_x0000_s1028" type="#_x0000_t202" alt="Open"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7C4FAF27" w14:textId="17FF73FD" w:rsidR="00C73310" w:rsidRPr="00C73310" w:rsidRDefault="00C73310" w:rsidP="00C73310">
                    <w:pPr>
                      <w:spacing w:after="0"/>
                      <w:rPr>
                        <w:rFonts w:ascii="Calibri" w:eastAsia="Calibri" w:hAnsi="Calibri" w:cs="Calibri"/>
                        <w:noProof/>
                        <w:color w:val="000000"/>
                        <w:sz w:val="20"/>
                        <w:szCs w:val="20"/>
                      </w:rPr>
                    </w:pPr>
                    <w:r w:rsidRPr="00C73310">
                      <w:rPr>
                        <w:rFonts w:ascii="Calibri" w:eastAsia="Calibri" w:hAnsi="Calibri" w:cs="Calibri"/>
                        <w:noProof/>
                        <w:color w:val="000000"/>
                        <w:sz w:val="20"/>
                        <w:szCs w:val="20"/>
                      </w:rPr>
                      <w:t>Open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24D"/>
    <w:multiLevelType w:val="hybridMultilevel"/>
    <w:tmpl w:val="45D6975C"/>
    <w:lvl w:ilvl="0" w:tplc="17021364">
      <w:start w:val="1"/>
      <w:numFmt w:val="bullet"/>
      <w:lvlText w:val="-"/>
      <w:lvlJc w:val="left"/>
      <w:pPr>
        <w:ind w:left="720" w:hanging="36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32224"/>
    <w:multiLevelType w:val="multilevel"/>
    <w:tmpl w:val="00B6B528"/>
    <w:lvl w:ilvl="0">
      <w:start w:val="1"/>
      <w:numFmt w:val="decimal"/>
      <w:lvlText w:val="%1."/>
      <w:lvlJc w:val="left"/>
      <w:pPr>
        <w:ind w:left="643" w:hanging="360"/>
      </w:pPr>
      <w:rPr>
        <w:rFonts w:hint="default"/>
      </w:rPr>
    </w:lvl>
    <w:lvl w:ilvl="1">
      <w:start w:val="1"/>
      <w:numFmt w:val="decimal"/>
      <w:isLgl/>
      <w:lvlText w:val="%1.%2"/>
      <w:lvlJc w:val="left"/>
      <w:pPr>
        <w:ind w:left="750" w:hanging="39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43F759E"/>
    <w:multiLevelType w:val="hybridMultilevel"/>
    <w:tmpl w:val="B9A81092"/>
    <w:lvl w:ilvl="0" w:tplc="F21A98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7882472">
    <w:abstractNumId w:val="1"/>
  </w:num>
  <w:num w:numId="2" w16cid:durableId="347299167">
    <w:abstractNumId w:val="0"/>
  </w:num>
  <w:num w:numId="3" w16cid:durableId="1279798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D3"/>
    <w:rsid w:val="00002194"/>
    <w:rsid w:val="00025346"/>
    <w:rsid w:val="000370BB"/>
    <w:rsid w:val="000631B5"/>
    <w:rsid w:val="000E5690"/>
    <w:rsid w:val="000F2A74"/>
    <w:rsid w:val="00132108"/>
    <w:rsid w:val="001608C3"/>
    <w:rsid w:val="00190278"/>
    <w:rsid w:val="001A2C8F"/>
    <w:rsid w:val="001C7D1C"/>
    <w:rsid w:val="002069C8"/>
    <w:rsid w:val="0021261D"/>
    <w:rsid w:val="00217CC2"/>
    <w:rsid w:val="00270A5E"/>
    <w:rsid w:val="002719B8"/>
    <w:rsid w:val="00285C6F"/>
    <w:rsid w:val="00295B61"/>
    <w:rsid w:val="002A2DDF"/>
    <w:rsid w:val="002E6E3C"/>
    <w:rsid w:val="002F78B5"/>
    <w:rsid w:val="00300841"/>
    <w:rsid w:val="00300A5C"/>
    <w:rsid w:val="00323EDA"/>
    <w:rsid w:val="0033621C"/>
    <w:rsid w:val="003624E3"/>
    <w:rsid w:val="0037357F"/>
    <w:rsid w:val="003A0123"/>
    <w:rsid w:val="003A1C6E"/>
    <w:rsid w:val="003D12F6"/>
    <w:rsid w:val="003F26A0"/>
    <w:rsid w:val="0042300F"/>
    <w:rsid w:val="004235D6"/>
    <w:rsid w:val="004644D1"/>
    <w:rsid w:val="00497CF4"/>
    <w:rsid w:val="004A1028"/>
    <w:rsid w:val="004A5B9E"/>
    <w:rsid w:val="004C00E5"/>
    <w:rsid w:val="004D5BAB"/>
    <w:rsid w:val="004D6BC2"/>
    <w:rsid w:val="005463DF"/>
    <w:rsid w:val="00586EC4"/>
    <w:rsid w:val="005A49E9"/>
    <w:rsid w:val="005D20DA"/>
    <w:rsid w:val="005D4C01"/>
    <w:rsid w:val="00621957"/>
    <w:rsid w:val="00646F64"/>
    <w:rsid w:val="00666E6A"/>
    <w:rsid w:val="00692BA2"/>
    <w:rsid w:val="007035B4"/>
    <w:rsid w:val="00721929"/>
    <w:rsid w:val="0074226F"/>
    <w:rsid w:val="007A5788"/>
    <w:rsid w:val="007E624C"/>
    <w:rsid w:val="00821F94"/>
    <w:rsid w:val="0083005F"/>
    <w:rsid w:val="0084459C"/>
    <w:rsid w:val="00845F3A"/>
    <w:rsid w:val="008657C5"/>
    <w:rsid w:val="00954385"/>
    <w:rsid w:val="00961E11"/>
    <w:rsid w:val="009B6894"/>
    <w:rsid w:val="009C5AE9"/>
    <w:rsid w:val="009D471D"/>
    <w:rsid w:val="00A675C5"/>
    <w:rsid w:val="00AA68A3"/>
    <w:rsid w:val="00AB6104"/>
    <w:rsid w:val="00AB6A67"/>
    <w:rsid w:val="00AC0999"/>
    <w:rsid w:val="00AC64E9"/>
    <w:rsid w:val="00B24806"/>
    <w:rsid w:val="00B6147F"/>
    <w:rsid w:val="00B71785"/>
    <w:rsid w:val="00B92B26"/>
    <w:rsid w:val="00B962F0"/>
    <w:rsid w:val="00C10904"/>
    <w:rsid w:val="00C316A3"/>
    <w:rsid w:val="00C45111"/>
    <w:rsid w:val="00C50503"/>
    <w:rsid w:val="00C60564"/>
    <w:rsid w:val="00C613AA"/>
    <w:rsid w:val="00C700CF"/>
    <w:rsid w:val="00C73310"/>
    <w:rsid w:val="00C81174"/>
    <w:rsid w:val="00CD23DF"/>
    <w:rsid w:val="00CE33A0"/>
    <w:rsid w:val="00CE3985"/>
    <w:rsid w:val="00D17AC1"/>
    <w:rsid w:val="00D22D2B"/>
    <w:rsid w:val="00D45ABE"/>
    <w:rsid w:val="00D544AC"/>
    <w:rsid w:val="00D663D3"/>
    <w:rsid w:val="00D706CF"/>
    <w:rsid w:val="00D943BE"/>
    <w:rsid w:val="00DE0CD9"/>
    <w:rsid w:val="00DE58DA"/>
    <w:rsid w:val="00E02180"/>
    <w:rsid w:val="00E2071C"/>
    <w:rsid w:val="00ED21C1"/>
    <w:rsid w:val="00EF1A71"/>
    <w:rsid w:val="00EF1F22"/>
    <w:rsid w:val="00F23DCE"/>
    <w:rsid w:val="00F31622"/>
    <w:rsid w:val="00FB42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E525"/>
  <w15:chartTrackingRefBased/>
  <w15:docId w15:val="{E0D914B8-AD24-4EC3-9CD5-07DBD522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7"/>
    <w:qFormat/>
    <w:rsid w:val="00C73310"/>
    <w:pPr>
      <w:keepNext/>
      <w:keepLines/>
      <w:spacing w:before="160" w:after="0" w:line="293" w:lineRule="auto"/>
      <w:ind w:left="357"/>
      <w:jc w:val="both"/>
      <w:outlineLvl w:val="0"/>
    </w:pPr>
    <w:rPr>
      <w:rFonts w:asciiTheme="majorHAnsi" w:eastAsiaTheme="majorEastAsia" w:hAnsiTheme="majorHAnsi" w:cstheme="majorBidi"/>
      <w:b/>
      <w:color w:val="000000" w:themeColor="text1"/>
      <w:sz w:val="2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33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33A0"/>
  </w:style>
  <w:style w:type="character" w:customStyle="1" w:styleId="cf01">
    <w:name w:val="cf01"/>
    <w:basedOn w:val="Standardnpsmoodstavce"/>
    <w:rsid w:val="00C73310"/>
    <w:rPr>
      <w:rFonts w:ascii="Segoe UI" w:hAnsi="Segoe UI" w:cs="Segoe UI" w:hint="default"/>
      <w:sz w:val="18"/>
      <w:szCs w:val="18"/>
    </w:rPr>
  </w:style>
  <w:style w:type="character" w:customStyle="1" w:styleId="Nadpis1Char">
    <w:name w:val="Nadpis 1 Char"/>
    <w:basedOn w:val="Standardnpsmoodstavce"/>
    <w:link w:val="Nadpis1"/>
    <w:uiPriority w:val="7"/>
    <w:rsid w:val="00C73310"/>
    <w:rPr>
      <w:rFonts w:asciiTheme="majorHAnsi" w:eastAsiaTheme="majorEastAsia" w:hAnsiTheme="majorHAnsi" w:cstheme="majorBidi"/>
      <w:b/>
      <w:color w:val="000000" w:themeColor="text1"/>
      <w:sz w:val="26"/>
      <w:szCs w:val="32"/>
    </w:rPr>
  </w:style>
  <w:style w:type="paragraph" w:styleId="Odstavecseseznamem">
    <w:name w:val="List Paragraph"/>
    <w:aliases w:val="Nad,Odstavec cíl se seznamem,Odstavec se seznamem5,Barevný seznam – zvýraznění 11,Odstavec_muj,Odstavec se seznamem1,Conclusion de partie,_Odstavec se seznamem,Seznam - odrážky,Fiche List Paragraph,List Paragraph (Czech Tourism)"/>
    <w:basedOn w:val="Normln"/>
    <w:link w:val="OdstavecseseznamemChar"/>
    <w:uiPriority w:val="34"/>
    <w:unhideWhenUsed/>
    <w:qFormat/>
    <w:rsid w:val="00C73310"/>
    <w:pPr>
      <w:spacing w:line="293" w:lineRule="auto"/>
      <w:ind w:left="720"/>
      <w:contextualSpacing/>
      <w:jc w:val="both"/>
    </w:pPr>
    <w:rPr>
      <w:color w:val="000000" w:themeColor="text1"/>
    </w:rPr>
  </w:style>
  <w:style w:type="paragraph" w:styleId="Textkomente">
    <w:name w:val="annotation text"/>
    <w:basedOn w:val="Normln"/>
    <w:link w:val="TextkomenteChar"/>
    <w:uiPriority w:val="99"/>
    <w:unhideWhenUsed/>
    <w:rsid w:val="00C73310"/>
    <w:pPr>
      <w:spacing w:line="240" w:lineRule="auto"/>
      <w:jc w:val="both"/>
    </w:pPr>
    <w:rPr>
      <w:color w:val="000000" w:themeColor="text1"/>
      <w:sz w:val="20"/>
      <w:szCs w:val="20"/>
    </w:rPr>
  </w:style>
  <w:style w:type="character" w:customStyle="1" w:styleId="TextkomenteChar">
    <w:name w:val="Text komentáře Char"/>
    <w:basedOn w:val="Standardnpsmoodstavce"/>
    <w:link w:val="Textkomente"/>
    <w:uiPriority w:val="99"/>
    <w:rsid w:val="00C73310"/>
    <w:rPr>
      <w:color w:val="000000" w:themeColor="text1"/>
      <w:sz w:val="20"/>
      <w:szCs w:val="20"/>
    </w:rPr>
  </w:style>
  <w:style w:type="paragraph" w:styleId="Textpoznpodarou">
    <w:name w:val="footnote text"/>
    <w:aliases w:val="Poznámka pod čarou,Schriftart: 9 pt,Schriftart: 10 pt,Schriftart: 8 pt,Text poznámky pod čiarou 007,Footnote,Fußnotentextf,Geneva 9,Font: Geneva 9,Boston 10,f,pozn. pod čarou,Podrozdział,Podrozdzia3,Footnote Text Char,Char1,Char"/>
    <w:basedOn w:val="Normln"/>
    <w:link w:val="TextpoznpodarouChar"/>
    <w:uiPriority w:val="99"/>
    <w:unhideWhenUsed/>
    <w:qFormat/>
    <w:rsid w:val="00C73310"/>
    <w:pPr>
      <w:spacing w:after="0" w:line="240" w:lineRule="auto"/>
      <w:jc w:val="both"/>
    </w:pPr>
    <w:rPr>
      <w:color w:val="000000" w:themeColor="text1"/>
      <w:sz w:val="20"/>
      <w:szCs w:val="20"/>
    </w:rPr>
  </w:style>
  <w:style w:type="character" w:customStyle="1" w:styleId="TextpoznpodarouChar">
    <w:name w:val="Text pozn. pod čarou Char"/>
    <w:aliases w:val="Poznámka pod čarou Char,Schriftart: 9 pt Char,Schriftart: 10 pt Char,Schriftart: 8 pt Char,Text poznámky pod čiarou 007 Char,Footnote Char,Fußnotentextf Char,Geneva 9 Char,Font: Geneva 9 Char,Boston 10 Char,f Char,Char1 Char"/>
    <w:basedOn w:val="Standardnpsmoodstavce"/>
    <w:link w:val="Textpoznpodarou"/>
    <w:uiPriority w:val="99"/>
    <w:rsid w:val="00C73310"/>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fr,Légende;Char Car Car Car Car"/>
    <w:basedOn w:val="Standardnpsmoodstavce"/>
    <w:unhideWhenUsed/>
    <w:qFormat/>
    <w:rsid w:val="00C73310"/>
    <w:rPr>
      <w:vertAlign w:val="superscript"/>
    </w:rPr>
  </w:style>
  <w:style w:type="character" w:styleId="Odkaznakoment">
    <w:name w:val="annotation reference"/>
    <w:basedOn w:val="Standardnpsmoodstavce"/>
    <w:uiPriority w:val="99"/>
    <w:semiHidden/>
    <w:unhideWhenUsed/>
    <w:rsid w:val="00C73310"/>
    <w:rPr>
      <w:sz w:val="16"/>
      <w:szCs w:val="16"/>
    </w:rPr>
  </w:style>
  <w:style w:type="character" w:customStyle="1" w:styleId="OdstavecseseznamemChar">
    <w:name w:val="Odstavec se seznamem Char"/>
    <w:aliases w:val="Nad Char,Odstavec cíl se seznamem Char,Odstavec se seznamem5 Char,Barevný seznam – zvýraznění 11 Char,Odstavec_muj Char,Odstavec se seznamem1 Char,Conclusion de partie Char,_Odstavec se seznamem Char,Seznam - odrážky Char"/>
    <w:link w:val="Odstavecseseznamem"/>
    <w:uiPriority w:val="34"/>
    <w:rsid w:val="00C73310"/>
    <w:rPr>
      <w:color w:val="000000" w:themeColor="text1"/>
    </w:rPr>
  </w:style>
  <w:style w:type="character" w:customStyle="1" w:styleId="normaltextrun">
    <w:name w:val="normaltextrun"/>
    <w:basedOn w:val="Standardnpsmoodstavce"/>
    <w:rsid w:val="00C73310"/>
  </w:style>
  <w:style w:type="character" w:customStyle="1" w:styleId="spellingerror">
    <w:name w:val="spellingerror"/>
    <w:basedOn w:val="Standardnpsmoodstavce"/>
    <w:rsid w:val="00C73310"/>
  </w:style>
  <w:style w:type="paragraph" w:styleId="Zpat">
    <w:name w:val="footer"/>
    <w:basedOn w:val="Normln"/>
    <w:link w:val="ZpatChar"/>
    <w:uiPriority w:val="99"/>
    <w:semiHidden/>
    <w:unhideWhenUsed/>
    <w:rsid w:val="005D4C0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D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1438</Words>
  <Characters>8491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CETIN</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Viktor</dc:creator>
  <cp:keywords/>
  <dc:description/>
  <cp:lastModifiedBy>Microsoft Office User</cp:lastModifiedBy>
  <cp:revision>75</cp:revision>
  <dcterms:created xsi:type="dcterms:W3CDTF">2023-10-10T09:42:00Z</dcterms:created>
  <dcterms:modified xsi:type="dcterms:W3CDTF">2023-10-10T11:08:00Z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Open</vt:lpwstr>
  </property>
  <property fmtid="{D5CDD505-2E9C-101B-9397-08002B2CF9AE}" pid="5" name="MSIP_Label_b45c6d6e-0e3a-4459-8c9a-b6592680fddc_Enabled">
    <vt:lpwstr>true</vt:lpwstr>
  </property>
  <property fmtid="{D5CDD505-2E9C-101B-9397-08002B2CF9AE}" pid="6" name="MSIP_Label_b45c6d6e-0e3a-4459-8c9a-b6592680fddc_SetDate">
    <vt:lpwstr>2023-10-05T13:44:32Z</vt:lpwstr>
  </property>
  <property fmtid="{D5CDD505-2E9C-101B-9397-08002B2CF9AE}" pid="7" name="MSIP_Label_b45c6d6e-0e3a-4459-8c9a-b6592680fddc_Method">
    <vt:lpwstr>Privileged</vt:lpwstr>
  </property>
  <property fmtid="{D5CDD505-2E9C-101B-9397-08002B2CF9AE}" pid="8" name="MSIP_Label_b45c6d6e-0e3a-4459-8c9a-b6592680fddc_Name">
    <vt:lpwstr>Open</vt:lpwstr>
  </property>
  <property fmtid="{D5CDD505-2E9C-101B-9397-08002B2CF9AE}" pid="9" name="MSIP_Label_b45c6d6e-0e3a-4459-8c9a-b6592680fddc_SiteId">
    <vt:lpwstr>5d1297a0-4793-467b-b782-9ddf79faa41f</vt:lpwstr>
  </property>
  <property fmtid="{D5CDD505-2E9C-101B-9397-08002B2CF9AE}" pid="10" name="MSIP_Label_b45c6d6e-0e3a-4459-8c9a-b6592680fddc_ActionId">
    <vt:lpwstr>ab1b8815-049b-40cd-b40b-11623a086f9e</vt:lpwstr>
  </property>
  <property fmtid="{D5CDD505-2E9C-101B-9397-08002B2CF9AE}" pid="11" name="MSIP_Label_b45c6d6e-0e3a-4459-8c9a-b6592680fddc_ContentBits">
    <vt:lpwstr>1</vt:lpwstr>
  </property>
</Properties>
</file>