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D2880" w14:textId="5956EC54" w:rsidR="0000612B" w:rsidRPr="00F431FC" w:rsidRDefault="005C4D95" w:rsidP="00651A5D">
      <w:pPr>
        <w:jc w:val="both"/>
        <w:rPr>
          <w:b/>
          <w:bCs/>
          <w:sz w:val="23"/>
          <w:szCs w:val="23"/>
        </w:rPr>
      </w:pPr>
      <w:r w:rsidRPr="00F431FC">
        <w:rPr>
          <w:b/>
          <w:bCs/>
          <w:sz w:val="23"/>
          <w:szCs w:val="23"/>
        </w:rPr>
        <w:t>NÁVODNÉ POKYNY K VYPLŇOVÁNÍ GEOGRAFICKÝCH ÚDAJŮ V PŘÍLOHÁCH SEKCE 2 FORMULÁŘE ART2</w:t>
      </w:r>
      <w:r>
        <w:rPr>
          <w:b/>
          <w:bCs/>
          <w:sz w:val="23"/>
          <w:szCs w:val="23"/>
        </w:rPr>
        <w:t>4</w:t>
      </w:r>
      <w:r w:rsidRPr="00F431FC">
        <w:rPr>
          <w:b/>
          <w:bCs/>
          <w:sz w:val="23"/>
          <w:szCs w:val="23"/>
        </w:rPr>
        <w:t>2</w:t>
      </w:r>
    </w:p>
    <w:p w14:paraId="08327014" w14:textId="36C196CD" w:rsidR="0000612B" w:rsidRDefault="0000612B" w:rsidP="0000612B">
      <w:pPr>
        <w:jc w:val="both"/>
      </w:pPr>
      <w:r w:rsidRPr="00F431FC">
        <w:t xml:space="preserve">Pokyny obsahují definice </w:t>
      </w:r>
      <w:r>
        <w:t xml:space="preserve">pojmů </w:t>
      </w:r>
      <w:r w:rsidRPr="00F431FC">
        <w:t xml:space="preserve">pro správné pochopení obsahu sledovaných ukazatelů a návod pro vyplnění příloh pro sběr geografických </w:t>
      </w:r>
      <w:r w:rsidRPr="0000612B">
        <w:t xml:space="preserve">údajů. Materiál </w:t>
      </w:r>
      <w:r w:rsidR="00A027E7">
        <w:t>v</w:t>
      </w:r>
      <w:r w:rsidRPr="0000612B">
        <w:t>ychází z dosavadních zkušeností ze sběru dat a</w:t>
      </w:r>
      <w:r w:rsidR="00DB718D">
        <w:t> </w:t>
      </w:r>
      <w:r w:rsidRPr="0000612B">
        <w:t xml:space="preserve">byl připraven v širším kontextu relevantních </w:t>
      </w:r>
      <w:r w:rsidR="00A027E7">
        <w:t xml:space="preserve">právních předpisů a </w:t>
      </w:r>
      <w:r w:rsidRPr="0000612B">
        <w:t>dokumentů, zejména zákon</w:t>
      </w:r>
      <w:r w:rsidR="00A027E7">
        <w:t>a</w:t>
      </w:r>
      <w:r w:rsidRPr="0000612B">
        <w:t xml:space="preserve"> č.</w:t>
      </w:r>
      <w:r w:rsidR="00DB718D">
        <w:t> </w:t>
      </w:r>
      <w:r w:rsidRPr="0000612B">
        <w:t>127/2005 Sb., o elektronických komunikacích a o změně některých souvisejících zákonů (zákon o</w:t>
      </w:r>
      <w:r w:rsidR="00DB718D">
        <w:t> </w:t>
      </w:r>
      <w:r w:rsidRPr="0000612B">
        <w:t xml:space="preserve">elektronických komunikacích), ve znění pozdějších předpisů, </w:t>
      </w:r>
      <w:hyperlink r:id="rId8" w:history="1">
        <w:r w:rsidRPr="0000612B">
          <w:rPr>
            <w:rStyle w:val="Hypertextovodkaz"/>
          </w:rPr>
          <w:t>Pokyn</w:t>
        </w:r>
        <w:r w:rsidR="00A027E7">
          <w:rPr>
            <w:rStyle w:val="Hypertextovodkaz"/>
          </w:rPr>
          <w:t>ů</w:t>
        </w:r>
        <w:r w:rsidRPr="0000612B">
          <w:rPr>
            <w:rStyle w:val="Hypertextovodkaz"/>
          </w:rPr>
          <w:t xml:space="preserve"> BEREC pro zeměpisné mapování budování sítí</w:t>
        </w:r>
      </w:hyperlink>
      <w:r w:rsidRPr="0000612B">
        <w:t xml:space="preserve"> (BoR (20) 42, dále jen „Pokyny k mapování“) a </w:t>
      </w:r>
      <w:bookmarkStart w:id="0" w:name="_Hlk149124149"/>
      <w:r w:rsidRPr="0000612B">
        <w:fldChar w:fldCharType="begin"/>
      </w:r>
      <w:r w:rsidRPr="0000612B">
        <w:instrText>HYPERLINK "https://www.berec.europa.eu/en/document-categories/berec/regulatory-best-practices/guidelines/berec-guidelines-on-very-high-capacity-networks-2023"</w:instrText>
      </w:r>
      <w:r w:rsidRPr="0000612B">
        <w:fldChar w:fldCharType="separate"/>
      </w:r>
      <w:r w:rsidRPr="0000612B">
        <w:rPr>
          <w:rStyle w:val="Hypertextovodkaz"/>
        </w:rPr>
        <w:t>Pokyn</w:t>
      </w:r>
      <w:r w:rsidR="00A027E7">
        <w:rPr>
          <w:rStyle w:val="Hypertextovodkaz"/>
        </w:rPr>
        <w:t>ů</w:t>
      </w:r>
      <w:r w:rsidRPr="0000612B">
        <w:rPr>
          <w:rStyle w:val="Hypertextovodkaz"/>
        </w:rPr>
        <w:t xml:space="preserve"> BEREC pro sítě s velmi vysokou kapacitou</w:t>
      </w:r>
      <w:r w:rsidRPr="0000612B">
        <w:fldChar w:fldCharType="end"/>
      </w:r>
      <w:r w:rsidRPr="0000612B">
        <w:t xml:space="preserve"> (BoR (23) 164</w:t>
      </w:r>
      <w:bookmarkEnd w:id="0"/>
      <w:r w:rsidRPr="0000612B">
        <w:t>, dále jen „Pokyny VHCN“).</w:t>
      </w:r>
    </w:p>
    <w:p w14:paraId="183AFF65" w14:textId="53E9D304" w:rsidR="00F67A4F" w:rsidRDefault="00F67A4F" w:rsidP="00F67A4F">
      <w:pPr>
        <w:jc w:val="both"/>
      </w:pPr>
      <w:r w:rsidRPr="00F431FC">
        <w:t>Za správnost vyplněných údajů odpovídá povinná osoba</w:t>
      </w:r>
      <w:r w:rsidR="00613F43">
        <w:t xml:space="preserve"> podle § 114 zákona o elektronických komunikacích</w:t>
      </w:r>
      <w:r w:rsidRPr="00F431FC">
        <w:t xml:space="preserve">. </w:t>
      </w:r>
      <w:r w:rsidR="002C25AB">
        <w:t>Český telekomunikační ú</w:t>
      </w:r>
      <w:r w:rsidRPr="00F431FC">
        <w:t>řad</w:t>
      </w:r>
      <w:r w:rsidR="002C25AB">
        <w:t xml:space="preserve"> (dále jen „Úřad“)</w:t>
      </w:r>
      <w:r w:rsidRPr="00F431FC">
        <w:t xml:space="preserve"> správnost údajů ověřuje, a to jak na administrativní úrovni</w:t>
      </w:r>
      <w:r w:rsidR="003B7386">
        <w:t xml:space="preserve"> (proces verifikace dat)</w:t>
      </w:r>
      <w:r w:rsidRPr="00F431FC">
        <w:t xml:space="preserve">, tak i </w:t>
      </w:r>
      <w:r w:rsidR="003B7386">
        <w:t xml:space="preserve">v případech pochybností kontrolou s </w:t>
      </w:r>
      <w:r w:rsidRPr="00F431FC">
        <w:t xml:space="preserve">šetřením na místě, pokud to je nezbytné. Při případné kontrole Úřad postupuje podle </w:t>
      </w:r>
      <w:r w:rsidRPr="00261EE3">
        <w:t xml:space="preserve">pravidel státní kontroly, a to i s využitím uveřejněných metodických pokynů, </w:t>
      </w:r>
      <w:r w:rsidR="003B7386">
        <w:t xml:space="preserve">konkrétně </w:t>
      </w:r>
      <w:r w:rsidRPr="00261EE3">
        <w:t>dokumentů „</w:t>
      </w:r>
      <w:hyperlink r:id="rId9" w:history="1">
        <w:r w:rsidRPr="00261EE3">
          <w:rPr>
            <w:rStyle w:val="Hypertextovodkaz"/>
          </w:rPr>
          <w:t>Metodika pro měření a</w:t>
        </w:r>
        <w:r w:rsidR="00563B17">
          <w:rPr>
            <w:rStyle w:val="Hypertextovodkaz"/>
          </w:rPr>
          <w:t> </w:t>
        </w:r>
        <w:r w:rsidRPr="00261EE3">
          <w:rPr>
            <w:rStyle w:val="Hypertextovodkaz"/>
          </w:rPr>
          <w:t>vyhodnocení datových parametrů pevných sítí elektronických komunikací</w:t>
        </w:r>
      </w:hyperlink>
      <w:r w:rsidRPr="00261EE3">
        <w:t>“ a „</w:t>
      </w:r>
      <w:hyperlink r:id="rId10" w:history="1">
        <w:r w:rsidRPr="00261EE3">
          <w:rPr>
            <w:rStyle w:val="Hypertextovodkaz"/>
          </w:rPr>
          <w:t>Metodika pro vyhodnocování dopadu kapacity sítí elektronických komunikací na výkon služeb přístupu k internetu</w:t>
        </w:r>
      </w:hyperlink>
      <w:r w:rsidRPr="00261EE3">
        <w:t>“ v jejich aktuálním znění</w:t>
      </w:r>
      <w:r w:rsidR="00A027E7">
        <w:t>.</w:t>
      </w:r>
    </w:p>
    <w:p w14:paraId="7973C1F1" w14:textId="270D9BAD" w:rsidR="00524371" w:rsidRPr="00F67A4F" w:rsidRDefault="00524371" w:rsidP="00F67A4F">
      <w:pPr>
        <w:jc w:val="both"/>
        <w:rPr>
          <w:highlight w:val="yellow"/>
        </w:rPr>
      </w:pPr>
      <w:r>
        <w:t xml:space="preserve">Další informace ke sběru dat včetně </w:t>
      </w:r>
      <w:r w:rsidR="00CF4DC7">
        <w:t xml:space="preserve">specifických případů </w:t>
      </w:r>
      <w:r>
        <w:t>lze nalézt v odpovědích na nejčastěji kladené dotazy</w:t>
      </w:r>
      <w:r w:rsidR="00FF40A2">
        <w:t xml:space="preserve">, které jsou zveřejněny na </w:t>
      </w:r>
      <w:hyperlink r:id="rId11" w:history="1">
        <w:r w:rsidR="00DB718D">
          <w:rPr>
            <w:rStyle w:val="Hypertextovodkaz"/>
            <w:rFonts w:cstheme="minorBidi"/>
          </w:rPr>
          <w:t>webových stránkách</w:t>
        </w:r>
      </w:hyperlink>
      <w:r w:rsidR="00DB718D">
        <w:t xml:space="preserve"> Úř</w:t>
      </w:r>
      <w:r w:rsidR="007461F6">
        <w:t>adu</w:t>
      </w:r>
      <w:r w:rsidR="00FF40A2">
        <w:t xml:space="preserve"> v části Informace k vyplňování údajů do formulářů ART</w:t>
      </w:r>
      <w:r>
        <w:t>.</w:t>
      </w:r>
    </w:p>
    <w:tbl>
      <w:tblPr>
        <w:tblW w:w="937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5"/>
      </w:tblGrid>
      <w:tr w:rsidR="005C4D95" w14:paraId="489B0290" w14:textId="77777777" w:rsidTr="005C4D95">
        <w:trPr>
          <w:trHeight w:val="2325"/>
        </w:trPr>
        <w:tc>
          <w:tcPr>
            <w:tcW w:w="9375" w:type="dxa"/>
          </w:tcPr>
          <w:p w14:paraId="0EF660D3" w14:textId="77777777" w:rsidR="005C4D95" w:rsidRDefault="005C4D95" w:rsidP="005C4D95">
            <w:pPr>
              <w:ind w:left="5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AKTUALITY PRO SBĚR DAT ZA ROK 2024:</w:t>
            </w:r>
          </w:p>
          <w:p w14:paraId="1CED49A8" w14:textId="6D58A9FF" w:rsidR="005C4D95" w:rsidRPr="003C49F2" w:rsidRDefault="00C205E9" w:rsidP="008B3548">
            <w:pPr>
              <w:pStyle w:val="Odstavecseseznamem"/>
              <w:numPr>
                <w:ilvl w:val="0"/>
                <w:numId w:val="14"/>
              </w:numPr>
              <w:spacing w:after="120"/>
              <w:ind w:left="714" w:right="36" w:hanging="357"/>
              <w:contextualSpacing w:val="0"/>
              <w:jc w:val="both"/>
            </w:pPr>
            <w:r>
              <w:t>O</w:t>
            </w:r>
            <w:r w:rsidR="005C4D95">
              <w:t xml:space="preserve">proti předchozímu sběru </w:t>
            </w:r>
            <w:r>
              <w:t xml:space="preserve">dat za rok 2023 </w:t>
            </w:r>
            <w:r w:rsidR="005C4D95">
              <w:t>se nesbír</w:t>
            </w:r>
            <w:r w:rsidR="003C49F2">
              <w:t>ají informace o přístupech (aktivních přípojkách) v členění dle rychlostních intervalů běžně dostupné rychlosti</w:t>
            </w:r>
            <w:r w:rsidR="00816AC5">
              <w:t xml:space="preserve"> </w:t>
            </w:r>
            <w:r w:rsidR="005C4D95" w:rsidRPr="00816AC5">
              <w:t>–</w:t>
            </w:r>
            <w:r w:rsidR="003C49F2" w:rsidRPr="00816AC5">
              <w:t xml:space="preserve"> </w:t>
            </w:r>
            <w:r w:rsidR="003C49F2" w:rsidRPr="00DB718D">
              <w:rPr>
                <w:b/>
                <w:bCs/>
              </w:rPr>
              <w:t xml:space="preserve">nově </w:t>
            </w:r>
            <w:r w:rsidR="00524371" w:rsidRPr="00DB718D">
              <w:rPr>
                <w:b/>
                <w:bCs/>
              </w:rPr>
              <w:t xml:space="preserve">se sbírá </w:t>
            </w:r>
            <w:r w:rsidR="003C49F2" w:rsidRPr="00DB718D">
              <w:rPr>
                <w:b/>
                <w:bCs/>
              </w:rPr>
              <w:t>pouze celkový počet přístupů a počet přístupů nepodnikajících osob (</w:t>
            </w:r>
            <w:r w:rsidR="00B6190C">
              <w:rPr>
                <w:b/>
                <w:bCs/>
              </w:rPr>
              <w:t xml:space="preserve">tj. zejména </w:t>
            </w:r>
            <w:r w:rsidR="003C49F2" w:rsidRPr="00DB718D">
              <w:rPr>
                <w:b/>
                <w:bCs/>
              </w:rPr>
              <w:t>domácností)</w:t>
            </w:r>
            <w:r w:rsidR="003C49F2" w:rsidRPr="00816AC5">
              <w:t xml:space="preserve">. </w:t>
            </w:r>
          </w:p>
          <w:p w14:paraId="1643F858" w14:textId="3CF42E0D" w:rsidR="005C4D95" w:rsidRPr="005C4D95" w:rsidRDefault="00C205E9" w:rsidP="008B3548">
            <w:pPr>
              <w:pStyle w:val="Odstavecseseznamem"/>
              <w:numPr>
                <w:ilvl w:val="0"/>
                <w:numId w:val="14"/>
              </w:numPr>
              <w:ind w:right="36"/>
              <w:jc w:val="both"/>
              <w:rPr>
                <w:b/>
                <w:bCs/>
              </w:rPr>
            </w:pPr>
            <w:r>
              <w:t>O</w:t>
            </w:r>
            <w:r w:rsidR="005C4D95">
              <w:t xml:space="preserve">proti předchozímu sběru dat </w:t>
            </w:r>
            <w:r>
              <w:t xml:space="preserve">za rok 2023 </w:t>
            </w:r>
            <w:r w:rsidR="005C4D95">
              <w:t>se již nevykazuje počet disponibilních přípojek</w:t>
            </w:r>
            <w:r w:rsidR="00524371">
              <w:t xml:space="preserve"> – </w:t>
            </w:r>
            <w:r w:rsidR="00524371" w:rsidRPr="00DB718D">
              <w:rPr>
                <w:b/>
                <w:bCs/>
              </w:rPr>
              <w:t>nově se sbírá</w:t>
            </w:r>
            <w:r w:rsidR="005C4D95" w:rsidRPr="00DB718D">
              <w:rPr>
                <w:b/>
                <w:bCs/>
              </w:rPr>
              <w:t xml:space="preserve"> informace,</w:t>
            </w:r>
            <w:r w:rsidR="005C4D95">
              <w:t xml:space="preserve"> </w:t>
            </w:r>
            <w:r w:rsidR="005C4D95" w:rsidRPr="00DB718D">
              <w:rPr>
                <w:b/>
                <w:bCs/>
              </w:rPr>
              <w:t xml:space="preserve">zda </w:t>
            </w:r>
            <w:r w:rsidR="00524371" w:rsidRPr="00DB718D">
              <w:rPr>
                <w:b/>
                <w:bCs/>
              </w:rPr>
              <w:t>je adresní místo pokryto</w:t>
            </w:r>
            <w:r w:rsidR="00524371">
              <w:t xml:space="preserve"> = </w:t>
            </w:r>
            <w:r w:rsidR="005C4D95">
              <w:t>na adresním místě je alespoň jedna</w:t>
            </w:r>
            <w:r w:rsidR="003C49F2">
              <w:t xml:space="preserve"> disp</w:t>
            </w:r>
            <w:r w:rsidR="00C8402F">
              <w:t>o</w:t>
            </w:r>
            <w:r w:rsidR="003C49F2">
              <w:t>nibilní</w:t>
            </w:r>
            <w:r w:rsidR="005C4D95">
              <w:t xml:space="preserve"> přípojka (viz níže</w:t>
            </w:r>
            <w:r w:rsidR="00CA570E">
              <w:t xml:space="preserve"> </w:t>
            </w:r>
            <w:r w:rsidR="0094063A">
              <w:t>v textu</w:t>
            </w:r>
            <w:r w:rsidR="005C4D95">
              <w:t>)</w:t>
            </w:r>
            <w:r w:rsidR="0094063A">
              <w:t>.</w:t>
            </w:r>
          </w:p>
        </w:tc>
      </w:tr>
    </w:tbl>
    <w:p w14:paraId="57CD1F92" w14:textId="77777777" w:rsidR="005C4D95" w:rsidRDefault="005C4D95" w:rsidP="005B6C12"/>
    <w:p w14:paraId="5F779C7A" w14:textId="04CA43B2" w:rsidR="005B6C12" w:rsidRPr="00F6539D" w:rsidRDefault="005C4D95" w:rsidP="00F6539D">
      <w:pPr>
        <w:pStyle w:val="Odstavecseseznamem"/>
        <w:numPr>
          <w:ilvl w:val="0"/>
          <w:numId w:val="19"/>
        </w:numPr>
        <w:rPr>
          <w:b/>
          <w:bCs/>
        </w:rPr>
      </w:pPr>
      <w:r w:rsidRPr="00F6539D">
        <w:rPr>
          <w:b/>
          <w:bCs/>
        </w:rPr>
        <w:t xml:space="preserve">OBECNÉ INFORMACE </w:t>
      </w:r>
      <w:r w:rsidR="00651A5D" w:rsidRPr="00F6539D">
        <w:rPr>
          <w:b/>
          <w:bCs/>
        </w:rPr>
        <w:t>O VYPLŇOVÁNÍ GEOGRAFICKÝCH ÚDAJŮ</w:t>
      </w:r>
      <w:r w:rsidRPr="00F6539D">
        <w:rPr>
          <w:b/>
          <w:bCs/>
        </w:rPr>
        <w:t>:</w:t>
      </w:r>
    </w:p>
    <w:p w14:paraId="22D7AE76" w14:textId="2FB2C218" w:rsidR="00651A5D" w:rsidRDefault="00524371" w:rsidP="00651A5D">
      <w:pPr>
        <w:jc w:val="both"/>
      </w:pPr>
      <w:r w:rsidRPr="00E50059">
        <w:t>V g</w:t>
      </w:r>
      <w:r>
        <w:t xml:space="preserve">eografickém členění se pro potřeby zeměpisného mapování podle § 115a zákona o elektronických komunikacích sbírají údaje </w:t>
      </w:r>
      <w:r w:rsidR="00651A5D">
        <w:t>o poskyt</w:t>
      </w:r>
      <w:r w:rsidR="007461F6">
        <w:t>ova</w:t>
      </w:r>
      <w:r w:rsidR="00651A5D">
        <w:t>ných službách přístupu k internetu v pevném místě a</w:t>
      </w:r>
      <w:r w:rsidR="00DB718D">
        <w:t> </w:t>
      </w:r>
      <w:r w:rsidR="00816AC5">
        <w:t>o</w:t>
      </w:r>
      <w:r w:rsidR="00DB718D">
        <w:t> </w:t>
      </w:r>
      <w:r w:rsidR="00651A5D">
        <w:t xml:space="preserve">dostupnosti a </w:t>
      </w:r>
      <w:r w:rsidR="00C205E9">
        <w:t xml:space="preserve">parametrech </w:t>
      </w:r>
      <w:r w:rsidR="00651A5D">
        <w:t>veřejné komunikační sítě určené k poskytování služby přístupu k internetu v pevném místě</w:t>
      </w:r>
      <w:r w:rsidR="00C23473">
        <w:t>, a to v následující stru</w:t>
      </w:r>
      <w:r w:rsidR="00C205E9">
        <w:t>k</w:t>
      </w:r>
      <w:r w:rsidR="00C23473">
        <w:t>tuře:</w:t>
      </w:r>
    </w:p>
    <w:p w14:paraId="2465415E" w14:textId="0F7E0153" w:rsidR="006812A2" w:rsidRDefault="006812A2" w:rsidP="00651A5D">
      <w:pPr>
        <w:jc w:val="both"/>
      </w:pPr>
    </w:p>
    <w:p w14:paraId="2FB8CB73" w14:textId="072CA555" w:rsidR="00A90E86" w:rsidRDefault="00A90E86" w:rsidP="00651A5D">
      <w:pPr>
        <w:jc w:val="both"/>
      </w:pPr>
      <w:r w:rsidRPr="00A90E86">
        <w:rPr>
          <w:noProof/>
        </w:rPr>
        <w:lastRenderedPageBreak/>
        <w:drawing>
          <wp:inline distT="0" distB="0" distL="0" distR="0" wp14:anchorId="56CF5AD6" wp14:editId="100AF5A2">
            <wp:extent cx="5761355" cy="25628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01730" w14:textId="77777777" w:rsidR="00A90E86" w:rsidRDefault="00A90E86" w:rsidP="00651A5D">
      <w:pPr>
        <w:jc w:val="both"/>
      </w:pPr>
    </w:p>
    <w:p w14:paraId="2680F9A3" w14:textId="6D1B5947" w:rsidR="005C4D95" w:rsidRDefault="00C80667" w:rsidP="00B47888">
      <w:pPr>
        <w:jc w:val="both"/>
      </w:pPr>
      <w:r>
        <w:rPr>
          <w:b/>
          <w:bCs/>
        </w:rPr>
        <w:t>Granularita – podrobnost</w:t>
      </w:r>
      <w:r w:rsidR="005C4D95">
        <w:rPr>
          <w:b/>
          <w:bCs/>
        </w:rPr>
        <w:t xml:space="preserve"> sběru: </w:t>
      </w:r>
      <w:r w:rsidR="005C4D95" w:rsidRPr="005C4D95">
        <w:t>Data se</w:t>
      </w:r>
      <w:r w:rsidR="005C4D95">
        <w:t xml:space="preserve"> sbírají v členění na jednotlivá adresní místa (ADM) podle </w:t>
      </w:r>
      <w:r w:rsidR="00524371">
        <w:t>v</w:t>
      </w:r>
      <w:r w:rsidR="005C4D95">
        <w:t xml:space="preserve"> době sběru dat relevantního číselníku </w:t>
      </w:r>
      <w:r w:rsidR="003C49F2">
        <w:t xml:space="preserve">adresních míst </w:t>
      </w:r>
      <w:hyperlink r:id="rId13" w:history="1">
        <w:r w:rsidR="005C4D95" w:rsidRPr="003C49F2">
          <w:rPr>
            <w:rStyle w:val="Hypertextovodkaz"/>
            <w:rFonts w:cstheme="minorBidi"/>
          </w:rPr>
          <w:t>RÚIAN</w:t>
        </w:r>
      </w:hyperlink>
      <w:r w:rsidR="005C4D95">
        <w:t>.</w:t>
      </w:r>
    </w:p>
    <w:p w14:paraId="534D8D90" w14:textId="491FB597" w:rsidR="005C4D95" w:rsidRDefault="00B47888" w:rsidP="0094063A">
      <w:pPr>
        <w:jc w:val="both"/>
        <w:rPr>
          <w:b/>
          <w:bCs/>
        </w:rPr>
      </w:pPr>
      <w:r>
        <w:rPr>
          <w:b/>
          <w:bCs/>
        </w:rPr>
        <w:t>Kategorizace</w:t>
      </w:r>
      <w:r w:rsidR="00CA570E" w:rsidRPr="00CA570E">
        <w:rPr>
          <w:b/>
          <w:bCs/>
        </w:rPr>
        <w:t xml:space="preserve"> sb</w:t>
      </w:r>
      <w:r>
        <w:rPr>
          <w:b/>
          <w:bCs/>
        </w:rPr>
        <w:t>íraných</w:t>
      </w:r>
      <w:r w:rsidR="00CA570E" w:rsidRPr="00CA570E">
        <w:rPr>
          <w:b/>
          <w:bCs/>
        </w:rPr>
        <w:t xml:space="preserve"> dat </w:t>
      </w:r>
      <w:r>
        <w:rPr>
          <w:b/>
          <w:bCs/>
        </w:rPr>
        <w:t xml:space="preserve">podle </w:t>
      </w:r>
      <w:r w:rsidR="00CA570E" w:rsidRPr="00CA570E">
        <w:rPr>
          <w:b/>
          <w:bCs/>
        </w:rPr>
        <w:t>zařazení k</w:t>
      </w:r>
      <w:r w:rsidR="00CF4DC7">
        <w:rPr>
          <w:b/>
          <w:bCs/>
        </w:rPr>
        <w:t> technologické kategorii (</w:t>
      </w:r>
      <w:r w:rsidR="00CA570E" w:rsidRPr="00CA570E">
        <w:rPr>
          <w:b/>
          <w:bCs/>
        </w:rPr>
        <w:t>technologi</w:t>
      </w:r>
      <w:r w:rsidR="00CF4DC7">
        <w:rPr>
          <w:b/>
          <w:bCs/>
        </w:rPr>
        <w:t>e</w:t>
      </w:r>
      <w:r w:rsidR="00CA570E" w:rsidRPr="00CA570E">
        <w:rPr>
          <w:b/>
          <w:bCs/>
        </w:rPr>
        <w:t>/přenosové médiu</w:t>
      </w:r>
      <w:r w:rsidR="00CF4DC7">
        <w:rPr>
          <w:b/>
          <w:bCs/>
        </w:rPr>
        <w:t>m)</w:t>
      </w:r>
      <w:r w:rsidR="00CA570E" w:rsidRPr="00CA570E">
        <w:rPr>
          <w:b/>
          <w:bCs/>
        </w:rPr>
        <w:t>:</w:t>
      </w:r>
    </w:p>
    <w:p w14:paraId="3D7DDA9A" w14:textId="5218DC62" w:rsidR="009A580D" w:rsidRPr="00F431FC" w:rsidRDefault="009A580D" w:rsidP="00C205E9">
      <w:pPr>
        <w:pStyle w:val="Odstavecseseznamem"/>
        <w:numPr>
          <w:ilvl w:val="0"/>
          <w:numId w:val="43"/>
        </w:numPr>
        <w:spacing w:after="120" w:line="293" w:lineRule="auto"/>
        <w:ind w:left="714"/>
        <w:jc w:val="both"/>
      </w:pPr>
      <w:r w:rsidRPr="0094063A">
        <w:rPr>
          <w:u w:val="single"/>
        </w:rPr>
        <w:t>k</w:t>
      </w:r>
      <w:r w:rsidR="00B47888" w:rsidRPr="0094063A">
        <w:rPr>
          <w:u w:val="single"/>
        </w:rPr>
        <w:t>ovové vedení s xDSL (ADSL, VDSL, FTTCab s navazujícím DSL segmentem)</w:t>
      </w:r>
      <w:r w:rsidRPr="00DB718D">
        <w:t xml:space="preserve"> – zahrnuje i případy, kdy je přípojka xDSL </w:t>
      </w:r>
      <w:r w:rsidR="00001062" w:rsidRPr="00DB718D">
        <w:t>provozovaná</w:t>
      </w:r>
      <w:r w:rsidRPr="00DB718D">
        <w:t xml:space="preserve"> z místa hlavního rozvodu poskytovatele, popřípadě z vysunutého DSLAM</w:t>
      </w:r>
      <w:r>
        <w:t xml:space="preserve">, nebo prostřednictvím </w:t>
      </w:r>
      <w:r w:rsidRPr="00F431FC">
        <w:t>G.fast a MG.fast</w:t>
      </w:r>
    </w:p>
    <w:p w14:paraId="52ACADA5" w14:textId="742D1D33" w:rsidR="00B47888" w:rsidRPr="00F431FC" w:rsidRDefault="00B47888" w:rsidP="00651A5D">
      <w:pPr>
        <w:numPr>
          <w:ilvl w:val="0"/>
          <w:numId w:val="16"/>
        </w:numPr>
        <w:spacing w:after="120" w:line="293" w:lineRule="auto"/>
        <w:ind w:left="714" w:hanging="357"/>
        <w:jc w:val="both"/>
      </w:pPr>
      <w:r w:rsidRPr="0094063A">
        <w:rPr>
          <w:u w:val="single"/>
        </w:rPr>
        <w:t xml:space="preserve">bezdrátový přístup ve volných pásmech </w:t>
      </w:r>
      <w:r w:rsidRPr="0094063A">
        <w:t>–</w:t>
      </w:r>
      <w:r w:rsidR="0094063A" w:rsidRPr="0094063A">
        <w:t xml:space="preserve"> </w:t>
      </w:r>
      <w:r w:rsidRPr="0094063A">
        <w:t xml:space="preserve">zejména </w:t>
      </w:r>
      <w:r w:rsidR="0094063A" w:rsidRPr="0094063A">
        <w:t xml:space="preserve">v pásmech </w:t>
      </w:r>
      <w:r w:rsidRPr="0094063A">
        <w:t>2,4; 5; 60 GHz a 10 GHz nebo 17</w:t>
      </w:r>
      <w:r w:rsidR="00C541A9">
        <w:t> </w:t>
      </w:r>
      <w:r w:rsidRPr="0094063A">
        <w:t xml:space="preserve">GHz </w:t>
      </w:r>
      <w:r w:rsidR="0094063A" w:rsidRPr="0094063A">
        <w:t>a</w:t>
      </w:r>
      <w:r w:rsidR="00372959">
        <w:t xml:space="preserve"> zahrnuje </w:t>
      </w:r>
      <w:r w:rsidR="0094063A">
        <w:t xml:space="preserve">i </w:t>
      </w:r>
      <w:r w:rsidR="00372959">
        <w:t xml:space="preserve">tzv. WiFi přístupy </w:t>
      </w:r>
    </w:p>
    <w:p w14:paraId="458E79D1" w14:textId="4C511FD6" w:rsidR="00B47888" w:rsidRPr="00F431FC" w:rsidRDefault="00B47888" w:rsidP="00651A5D">
      <w:pPr>
        <w:numPr>
          <w:ilvl w:val="0"/>
          <w:numId w:val="16"/>
        </w:numPr>
        <w:spacing w:after="120" w:line="293" w:lineRule="auto"/>
        <w:ind w:left="714" w:hanging="357"/>
        <w:jc w:val="both"/>
      </w:pPr>
      <w:r w:rsidRPr="0094063A">
        <w:rPr>
          <w:u w:val="single"/>
        </w:rPr>
        <w:t>bezdrátový přístup v licencovaných pásmech (bez zahrnutí přístup</w:t>
      </w:r>
      <w:r w:rsidR="009D77E1">
        <w:rPr>
          <w:u w:val="single"/>
        </w:rPr>
        <w:t>u</w:t>
      </w:r>
      <w:r w:rsidRPr="0094063A">
        <w:rPr>
          <w:u w:val="single"/>
        </w:rPr>
        <w:t xml:space="preserve"> k internetu poskytovan</w:t>
      </w:r>
      <w:r w:rsidR="009D77E1">
        <w:rPr>
          <w:u w:val="single"/>
        </w:rPr>
        <w:t>ého</w:t>
      </w:r>
      <w:r w:rsidRPr="0094063A">
        <w:rPr>
          <w:u w:val="single"/>
        </w:rPr>
        <w:t xml:space="preserve"> prostřednictvím sítě LTE</w:t>
      </w:r>
      <w:r w:rsidR="00E95ADE">
        <w:rPr>
          <w:u w:val="single"/>
        </w:rPr>
        <w:t xml:space="preserve"> a </w:t>
      </w:r>
      <w:r w:rsidRPr="0094063A">
        <w:rPr>
          <w:u w:val="single"/>
        </w:rPr>
        <w:t>5G)</w:t>
      </w:r>
      <w:r w:rsidR="00372959">
        <w:t xml:space="preserve">  </w:t>
      </w:r>
    </w:p>
    <w:p w14:paraId="05E42FD4" w14:textId="0F0395D9" w:rsidR="00B47888" w:rsidRPr="00F431FC" w:rsidRDefault="00B47888" w:rsidP="00651A5D">
      <w:pPr>
        <w:numPr>
          <w:ilvl w:val="0"/>
          <w:numId w:val="16"/>
        </w:numPr>
        <w:spacing w:after="120" w:line="293" w:lineRule="auto"/>
        <w:ind w:left="714" w:hanging="357"/>
        <w:jc w:val="both"/>
      </w:pPr>
      <w:r w:rsidRPr="0094063A">
        <w:rPr>
          <w:u w:val="single"/>
        </w:rPr>
        <w:t>bezdrátový přístup v licencovaných pásmech (pouze přístup k internetu v pevném místě poskytovaný prostřednictvím sítě LTE a 5G (tzv. fixní LTE/5G))</w:t>
      </w:r>
      <w:r w:rsidR="00372959">
        <w:t xml:space="preserve"> – </w:t>
      </w:r>
      <w:bookmarkStart w:id="1" w:name="_Hlk172565494"/>
      <w:r w:rsidR="00372959">
        <w:t xml:space="preserve">vykazují se </w:t>
      </w:r>
      <w:r w:rsidR="001F1946">
        <w:t xml:space="preserve">pouze </w:t>
      </w:r>
      <w:r w:rsidR="00372959">
        <w:t>údaje o</w:t>
      </w:r>
      <w:r w:rsidR="001C5FB9">
        <w:t> </w:t>
      </w:r>
      <w:r w:rsidR="00D5059F">
        <w:t xml:space="preserve">přístupech či </w:t>
      </w:r>
      <w:r w:rsidR="00372959">
        <w:t>pokrytých adresních místech</w:t>
      </w:r>
      <w:r w:rsidR="007441DF">
        <w:t xml:space="preserve"> s </w:t>
      </w:r>
      <w:r w:rsidR="00372959" w:rsidRPr="00F431FC">
        <w:t>pevně stanoven</w:t>
      </w:r>
      <w:r w:rsidR="007441DF">
        <w:t>ým</w:t>
      </w:r>
      <w:r w:rsidR="00372959" w:rsidRPr="00F431FC">
        <w:t xml:space="preserve"> míst</w:t>
      </w:r>
      <w:r w:rsidR="007441DF">
        <w:t>em</w:t>
      </w:r>
      <w:r w:rsidR="00D5059F">
        <w:t xml:space="preserve"> (či sjednaným výčtem adresních míst)</w:t>
      </w:r>
      <w:r w:rsidR="00372959" w:rsidRPr="00F431FC">
        <w:t xml:space="preserve"> odběru služby</w:t>
      </w:r>
      <w:r w:rsidR="006812A2">
        <w:t>,</w:t>
      </w:r>
      <w:r w:rsidR="00372959" w:rsidRPr="00F431FC">
        <w:t xml:space="preserve"> u nichž není aplikováno omezení objemu stažených dat (tzv. FUP)</w:t>
      </w:r>
      <w:r w:rsidR="00563B17">
        <w:rPr>
          <w:rStyle w:val="Znakapoznpodarou"/>
        </w:rPr>
        <w:footnoteReference w:id="1"/>
      </w:r>
    </w:p>
    <w:bookmarkEnd w:id="1"/>
    <w:p w14:paraId="1E0B96E2" w14:textId="348AC65E" w:rsidR="00B47888" w:rsidRDefault="00B47888" w:rsidP="00651A5D">
      <w:pPr>
        <w:numPr>
          <w:ilvl w:val="0"/>
          <w:numId w:val="16"/>
        </w:numPr>
        <w:spacing w:after="120" w:line="293" w:lineRule="auto"/>
        <w:ind w:left="714" w:hanging="357"/>
        <w:jc w:val="both"/>
      </w:pPr>
      <w:r w:rsidRPr="00A439E2">
        <w:rPr>
          <w:u w:val="single"/>
        </w:rPr>
        <w:t>sítě kabelové televize</w:t>
      </w:r>
      <w:r w:rsidRPr="00F431FC">
        <w:t xml:space="preserve"> </w:t>
      </w:r>
      <w:r w:rsidR="00001062">
        <w:t>– zahrnuje případy</w:t>
      </w:r>
      <w:r w:rsidR="001C5FB9">
        <w:t>,</w:t>
      </w:r>
      <w:r w:rsidR="00001062">
        <w:t xml:space="preserve"> kdy je přípojka </w:t>
      </w:r>
      <w:r w:rsidR="001C5FB9">
        <w:t>provozovaná na koaxiálních kabelech zakončen</w:t>
      </w:r>
      <w:r w:rsidR="00224735">
        <w:t>a</w:t>
      </w:r>
      <w:r w:rsidR="001C5FB9">
        <w:t xml:space="preserve"> kabelovým modemem, </w:t>
      </w:r>
      <w:r w:rsidR="00001062" w:rsidRPr="00F431FC">
        <w:t xml:space="preserve">včetně </w:t>
      </w:r>
      <w:r w:rsidR="00001062">
        <w:t xml:space="preserve">tzv. </w:t>
      </w:r>
      <w:r w:rsidR="00001062" w:rsidRPr="00F431FC">
        <w:t>hybridních sítí HFC (Hybrid Fiber-Coax)</w:t>
      </w:r>
      <w:r w:rsidR="00A439E2">
        <w:t>, typicky s využitím standardu DOCSIS nebo případně MoCA</w:t>
      </w:r>
    </w:p>
    <w:p w14:paraId="3DA81ECA" w14:textId="43FD31DF" w:rsidR="00B47888" w:rsidRDefault="00001062" w:rsidP="00001062">
      <w:pPr>
        <w:numPr>
          <w:ilvl w:val="0"/>
          <w:numId w:val="16"/>
        </w:numPr>
        <w:spacing w:after="120" w:line="293" w:lineRule="auto"/>
        <w:ind w:left="714" w:hanging="357"/>
        <w:jc w:val="both"/>
      </w:pPr>
      <w:r w:rsidRPr="0094063A">
        <w:rPr>
          <w:u w:val="single"/>
        </w:rPr>
        <w:lastRenderedPageBreak/>
        <w:t>optická</w:t>
      </w:r>
      <w:r w:rsidR="00B47888" w:rsidRPr="0094063A">
        <w:rPr>
          <w:u w:val="single"/>
        </w:rPr>
        <w:t xml:space="preserve"> vlákna FTTH</w:t>
      </w:r>
      <w:r>
        <w:t xml:space="preserve"> </w:t>
      </w:r>
      <w:r w:rsidR="00F20ACB">
        <w:t>–</w:t>
      </w:r>
      <w:r>
        <w:t xml:space="preserve"> j</w:t>
      </w:r>
      <w:r w:rsidRPr="00F431FC">
        <w:t xml:space="preserve">edná se o </w:t>
      </w:r>
      <w:r>
        <w:t xml:space="preserve">případy, kdy je </w:t>
      </w:r>
      <w:r w:rsidRPr="00F431FC">
        <w:t>optické vlákn</w:t>
      </w:r>
      <w:r>
        <w:t>o vedeno až</w:t>
      </w:r>
      <w:r w:rsidRPr="00F431FC">
        <w:t xml:space="preserve"> do účastnické zásuvky </w:t>
      </w:r>
      <w:r w:rsidR="00563B17" w:rsidRPr="006A6826">
        <w:t>u koncového uživatele</w:t>
      </w:r>
      <w:r w:rsidR="00563B17" w:rsidRPr="00F431FC">
        <w:t xml:space="preserve"> </w:t>
      </w:r>
      <w:r w:rsidRPr="00F431FC">
        <w:t>prostřednictvím pasivní (PON) či aktivní (AON) optické sítě</w:t>
      </w:r>
    </w:p>
    <w:p w14:paraId="75B1F82E" w14:textId="41A998F8" w:rsidR="00B47888" w:rsidRPr="00F431FC" w:rsidRDefault="00001062" w:rsidP="00001062">
      <w:pPr>
        <w:numPr>
          <w:ilvl w:val="0"/>
          <w:numId w:val="16"/>
        </w:numPr>
        <w:spacing w:after="120" w:line="293" w:lineRule="auto"/>
        <w:ind w:left="714" w:hanging="357"/>
        <w:jc w:val="both"/>
      </w:pPr>
      <w:r w:rsidRPr="0094063A">
        <w:rPr>
          <w:u w:val="single"/>
        </w:rPr>
        <w:t>optická</w:t>
      </w:r>
      <w:r w:rsidR="00B47888" w:rsidRPr="0094063A">
        <w:rPr>
          <w:u w:val="single"/>
        </w:rPr>
        <w:t xml:space="preserve"> vlákna FTTB</w:t>
      </w:r>
      <w:r w:rsidR="00B47888" w:rsidRPr="00F431FC">
        <w:t xml:space="preserve"> </w:t>
      </w:r>
      <w:r>
        <w:t xml:space="preserve">– jedná se o případy, kdy je </w:t>
      </w:r>
      <w:r w:rsidRPr="00F431FC">
        <w:t>optické vlákn</w:t>
      </w:r>
      <w:r>
        <w:t>o</w:t>
      </w:r>
      <w:r w:rsidRPr="00F431FC">
        <w:t xml:space="preserve"> zakončen</w:t>
      </w:r>
      <w:r w:rsidR="00224735">
        <w:t>o</w:t>
      </w:r>
      <w:r w:rsidRPr="00F431FC">
        <w:t xml:space="preserve"> na patě budovy </w:t>
      </w:r>
      <w:r>
        <w:t>s</w:t>
      </w:r>
      <w:r w:rsidR="001C5FB9">
        <w:t> </w:t>
      </w:r>
      <w:r w:rsidRPr="00F431FC">
        <w:t>navazující</w:t>
      </w:r>
      <w:r>
        <w:t>mi vnitřními rozvody</w:t>
      </w:r>
      <w:r w:rsidR="00B47888" w:rsidRPr="00F431FC">
        <w:t xml:space="preserve"> s výjimkou rozvodů zakončených kabelovým modemem</w:t>
      </w:r>
      <w:r w:rsidR="00BF1D28">
        <w:t xml:space="preserve"> či</w:t>
      </w:r>
      <w:r w:rsidR="00C541A9">
        <w:t> </w:t>
      </w:r>
      <w:r w:rsidR="00D10628">
        <w:t>x</w:t>
      </w:r>
      <w:r w:rsidR="00EF1111">
        <w:t>DSL/G.Fast modemem</w:t>
      </w:r>
    </w:p>
    <w:p w14:paraId="478B03E2" w14:textId="2D36AC35" w:rsidR="00B47888" w:rsidRPr="00F431FC" w:rsidRDefault="00B47888" w:rsidP="00651A5D">
      <w:pPr>
        <w:numPr>
          <w:ilvl w:val="0"/>
          <w:numId w:val="16"/>
        </w:numPr>
        <w:spacing w:after="240" w:line="293" w:lineRule="auto"/>
        <w:ind w:left="714" w:hanging="357"/>
        <w:jc w:val="both"/>
      </w:pPr>
      <w:r w:rsidRPr="0094063A">
        <w:rPr>
          <w:u w:val="single"/>
        </w:rPr>
        <w:t>ostatní způsoby (včetně PLC)</w:t>
      </w:r>
      <w:r w:rsidRPr="0094063A">
        <w:rPr>
          <w:rStyle w:val="Znakapoznpodarou"/>
          <w:u w:val="single"/>
        </w:rPr>
        <w:footnoteReference w:id="2"/>
      </w:r>
    </w:p>
    <w:p w14:paraId="5330CE43" w14:textId="60EF97B8" w:rsidR="00CA570E" w:rsidRPr="00B47888" w:rsidRDefault="006A2C2F" w:rsidP="00651A5D">
      <w:pPr>
        <w:jc w:val="both"/>
      </w:pPr>
      <w:r w:rsidRPr="00F431FC">
        <w:t xml:space="preserve">Rozhodující pro </w:t>
      </w:r>
      <w:r w:rsidR="003A2157">
        <w:t>za</w:t>
      </w:r>
      <w:r w:rsidRPr="00F431FC">
        <w:t>řazení do jednotlivých kategorií je převládající způsob připojení konkrétního adresního místa v části sítě označované jako tzv. „poslední míle“.</w:t>
      </w:r>
    </w:p>
    <w:p w14:paraId="07C5856D" w14:textId="6F86204E" w:rsidR="006A2C2F" w:rsidRDefault="006A2C2F" w:rsidP="006A6826">
      <w:pPr>
        <w:spacing w:after="60"/>
        <w:jc w:val="both"/>
      </w:pPr>
      <w:r w:rsidRPr="00F431FC">
        <w:t>Způsob realizace vnitřních rozvodů</w:t>
      </w:r>
      <w:r w:rsidR="006F064C">
        <w:t>, resp. vedení realizované do koncového bodu přístupové sítě u</w:t>
      </w:r>
      <w:r w:rsidR="00604BD1">
        <w:t> </w:t>
      </w:r>
      <w:r w:rsidR="006F064C">
        <w:t>uživatele</w:t>
      </w:r>
      <w:r w:rsidR="00247BCC">
        <w:t>,</w:t>
      </w:r>
      <w:r w:rsidRPr="00F431FC">
        <w:t xml:space="preserve"> je relevantní pouze pro</w:t>
      </w:r>
      <w:r w:rsidR="00C80667">
        <w:t xml:space="preserve"> zařazení do následujících kategorií</w:t>
      </w:r>
      <w:r>
        <w:t>:</w:t>
      </w:r>
    </w:p>
    <w:p w14:paraId="7C92377B" w14:textId="5220F3DF" w:rsidR="006F064C" w:rsidRDefault="006A2C2F" w:rsidP="006A6826">
      <w:pPr>
        <w:pStyle w:val="Odstavecseseznamem"/>
        <w:numPr>
          <w:ilvl w:val="0"/>
          <w:numId w:val="17"/>
        </w:numPr>
        <w:spacing w:after="60"/>
        <w:ind w:left="714" w:hanging="357"/>
        <w:contextualSpacing w:val="0"/>
        <w:jc w:val="both"/>
      </w:pPr>
      <w:r w:rsidRPr="00F431FC">
        <w:t>sítě kabelové televize</w:t>
      </w:r>
      <w:r>
        <w:t>,</w:t>
      </w:r>
      <w:r w:rsidRPr="00F431FC">
        <w:t xml:space="preserve"> kde je rozhodující zakončení kabelovým modemem</w:t>
      </w:r>
    </w:p>
    <w:p w14:paraId="299B87BF" w14:textId="0214062B" w:rsidR="006A2C2F" w:rsidRDefault="006F064C" w:rsidP="006A6826">
      <w:pPr>
        <w:pStyle w:val="Odstavecseseznamem"/>
        <w:numPr>
          <w:ilvl w:val="0"/>
          <w:numId w:val="17"/>
        </w:numPr>
        <w:spacing w:after="60"/>
        <w:ind w:left="714" w:hanging="357"/>
        <w:contextualSpacing w:val="0"/>
        <w:jc w:val="both"/>
      </w:pPr>
      <w:r>
        <w:t>kovové vedení xDSL</w:t>
      </w:r>
      <w:r w:rsidR="00CB5ACD">
        <w:t xml:space="preserve">, kde je rozhodující zakončení </w:t>
      </w:r>
      <w:r w:rsidR="00D10628">
        <w:t>x</w:t>
      </w:r>
      <w:r w:rsidR="00CB5ACD">
        <w:t>DSL/G.Fast modemem</w:t>
      </w:r>
      <w:r>
        <w:t xml:space="preserve"> </w:t>
      </w:r>
    </w:p>
    <w:p w14:paraId="0CDA5D80" w14:textId="1AB54028" w:rsidR="006F064C" w:rsidRDefault="006F064C" w:rsidP="006A6826">
      <w:pPr>
        <w:pStyle w:val="Odstavecseseznamem"/>
        <w:numPr>
          <w:ilvl w:val="0"/>
          <w:numId w:val="17"/>
        </w:numPr>
        <w:ind w:left="714" w:hanging="357"/>
        <w:contextualSpacing w:val="0"/>
        <w:jc w:val="both"/>
      </w:pPr>
      <w:r>
        <w:t>optická vlákna FTTH, kdy je optické vedení realizované až do koncového bodu sítě u uživatele</w:t>
      </w:r>
    </w:p>
    <w:p w14:paraId="0D9CE3A3" w14:textId="24B35101" w:rsidR="002F1462" w:rsidRDefault="002F1462" w:rsidP="00651A5D">
      <w:pPr>
        <w:pBdr>
          <w:bottom w:val="single" w:sz="4" w:space="1" w:color="auto"/>
        </w:pBdr>
        <w:rPr>
          <w:i/>
          <w:iCs/>
        </w:rPr>
      </w:pPr>
    </w:p>
    <w:p w14:paraId="5D42BACA" w14:textId="3A14F197" w:rsidR="005B6C12" w:rsidRPr="00F6539D" w:rsidRDefault="002F1462" w:rsidP="00F6539D">
      <w:pPr>
        <w:pStyle w:val="Odstavecseseznamem"/>
        <w:numPr>
          <w:ilvl w:val="0"/>
          <w:numId w:val="19"/>
        </w:numPr>
        <w:rPr>
          <w:b/>
          <w:bCs/>
        </w:rPr>
      </w:pPr>
      <w:r w:rsidRPr="00F6539D">
        <w:rPr>
          <w:b/>
          <w:bCs/>
        </w:rPr>
        <w:t>SBĚR DAT O SLUŽBÁCH</w:t>
      </w:r>
    </w:p>
    <w:p w14:paraId="501BBEB5" w14:textId="629C69B3" w:rsidR="00651A5D" w:rsidRDefault="00651A5D" w:rsidP="00651A5D">
      <w:pPr>
        <w:jc w:val="both"/>
      </w:pPr>
      <w:r>
        <w:rPr>
          <w:b/>
          <w:bCs/>
        </w:rPr>
        <w:t>K</w:t>
      </w:r>
      <w:r w:rsidR="005B6C12" w:rsidRPr="002F1462">
        <w:rPr>
          <w:b/>
          <w:bCs/>
        </w:rPr>
        <w:t>do vyplňuje</w:t>
      </w:r>
      <w:r>
        <w:t>:</w:t>
      </w:r>
      <w:r w:rsidR="00BF5C4C">
        <w:t xml:space="preserve"> </w:t>
      </w:r>
      <w:r>
        <w:t>Informace o p</w:t>
      </w:r>
      <w:r w:rsidRPr="00F431FC">
        <w:t>řístup</w:t>
      </w:r>
      <w:r>
        <w:t>ech</w:t>
      </w:r>
      <w:r w:rsidRPr="00F431FC">
        <w:t xml:space="preserve"> vyplňují povinné osoby, které poskytují službu </w:t>
      </w:r>
      <w:r>
        <w:t xml:space="preserve">přístupu k internetu v pevném místě </w:t>
      </w:r>
      <w:r w:rsidR="006C71C2">
        <w:t xml:space="preserve">účastníkovi – </w:t>
      </w:r>
      <w:r w:rsidRPr="00F431FC">
        <w:t>koncovému uživateli (tedy na maloobchodní úrovni), a to bez ohledu na to</w:t>
      </w:r>
      <w:r w:rsidRPr="00604BD1">
        <w:t xml:space="preserve">, zda </w:t>
      </w:r>
      <w:r w:rsidR="00F74C1E" w:rsidRPr="00604BD1">
        <w:t>provozují</w:t>
      </w:r>
      <w:r w:rsidR="006C71C2" w:rsidRPr="00604BD1">
        <w:t xml:space="preserve"> </w:t>
      </w:r>
      <w:r w:rsidRPr="00604BD1">
        <w:t>příslušnou</w:t>
      </w:r>
      <w:r w:rsidRPr="00F431FC">
        <w:t xml:space="preserve"> infrastrukturu.</w:t>
      </w:r>
    </w:p>
    <w:p w14:paraId="227D0FFA" w14:textId="043FD1DB" w:rsidR="005B6C12" w:rsidRDefault="00E242BC" w:rsidP="002F1462">
      <w:r>
        <w:rPr>
          <w:b/>
          <w:bCs/>
        </w:rPr>
        <w:t>C</w:t>
      </w:r>
      <w:r w:rsidR="005B6C12" w:rsidRPr="002F1462">
        <w:rPr>
          <w:b/>
          <w:bCs/>
        </w:rPr>
        <w:t>o se vyplňuje</w:t>
      </w:r>
      <w:r w:rsidR="005B6C12">
        <w:t>:</w:t>
      </w:r>
    </w:p>
    <w:p w14:paraId="32DAAF34" w14:textId="2AAB3D2C" w:rsidR="005B6C12" w:rsidRPr="00706646" w:rsidRDefault="005B6C12" w:rsidP="006A6826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</w:pPr>
      <w:r w:rsidRPr="00E242BC">
        <w:rPr>
          <w:u w:val="single"/>
        </w:rPr>
        <w:t>počet přístupů</w:t>
      </w:r>
      <w:r w:rsidR="00E242BC">
        <w:t xml:space="preserve"> </w:t>
      </w:r>
      <w:bookmarkStart w:id="4" w:name="_GoBack"/>
      <w:bookmarkEnd w:id="4"/>
      <w:r w:rsidR="00706646" w:rsidRPr="00706646">
        <w:rPr>
          <w:rFonts w:eastAsia="Times New Roman"/>
        </w:rPr>
        <w:t xml:space="preserve">je definován jako počet existujících aktivních přípojek, na kterých </w:t>
      </w:r>
      <w:r w:rsidR="00E242BC" w:rsidRPr="00706646">
        <w:t xml:space="preserve">je poskytována služba přístupu k internetu </w:t>
      </w:r>
      <w:r w:rsidR="005B56A5" w:rsidRPr="00706646">
        <w:t xml:space="preserve">v pevném místě </w:t>
      </w:r>
      <w:r w:rsidR="00E242BC" w:rsidRPr="00706646">
        <w:t>prostřednictvím dané technologie.</w:t>
      </w:r>
    </w:p>
    <w:p w14:paraId="0A803F60" w14:textId="2A7C149E" w:rsidR="005B6C12" w:rsidRPr="00E242BC" w:rsidRDefault="005B6C12" w:rsidP="001C5FB9">
      <w:pPr>
        <w:pStyle w:val="Odstavecseseznamem"/>
        <w:numPr>
          <w:ilvl w:val="0"/>
          <w:numId w:val="5"/>
        </w:numPr>
        <w:jc w:val="both"/>
        <w:rPr>
          <w:u w:val="single"/>
        </w:rPr>
      </w:pPr>
      <w:r w:rsidRPr="00E242BC">
        <w:rPr>
          <w:u w:val="single"/>
        </w:rPr>
        <w:t xml:space="preserve">počet přístupů nepodnikajících </w:t>
      </w:r>
      <w:r w:rsidR="00E242BC" w:rsidRPr="00E242BC">
        <w:rPr>
          <w:u w:val="single"/>
        </w:rPr>
        <w:t>osob</w:t>
      </w:r>
      <w:r w:rsidR="006A6826" w:rsidRPr="006A6826">
        <w:t xml:space="preserve"> – </w:t>
      </w:r>
      <w:r w:rsidR="00FF150F">
        <w:t xml:space="preserve">jedná se o </w:t>
      </w:r>
      <w:r w:rsidR="00A439E2">
        <w:t xml:space="preserve">„podmnožinu“ </w:t>
      </w:r>
      <w:r w:rsidR="00FF150F">
        <w:t>ukazatele počet přístupů</w:t>
      </w:r>
      <w:r w:rsidR="00A439E2">
        <w:t>, tj.</w:t>
      </w:r>
      <w:r w:rsidR="00C541A9">
        <w:t> </w:t>
      </w:r>
      <w:r w:rsidR="00A439E2">
        <w:t>aktivní přípojky, na kterých je poskytována služba přístupu k internetu nepodnikajícím subjektům</w:t>
      </w:r>
      <w:r w:rsidR="00F20ACB">
        <w:t xml:space="preserve"> (z</w:t>
      </w:r>
      <w:r w:rsidR="006C71C2">
        <w:t>pravidla přípojky pro domácnosti</w:t>
      </w:r>
      <w:r w:rsidR="00F20ACB">
        <w:t>)</w:t>
      </w:r>
      <w:r w:rsidR="006C71C2">
        <w:t>.</w:t>
      </w:r>
    </w:p>
    <w:p w14:paraId="750C0569" w14:textId="77777777" w:rsidR="002F1462" w:rsidRPr="00F6539D" w:rsidRDefault="002F1462" w:rsidP="00F6539D">
      <w:pPr>
        <w:pBdr>
          <w:bottom w:val="single" w:sz="4" w:space="1" w:color="auto"/>
        </w:pBdr>
        <w:rPr>
          <w:b/>
          <w:bCs/>
        </w:rPr>
      </w:pPr>
    </w:p>
    <w:p w14:paraId="69388E8B" w14:textId="60CC2A5A" w:rsidR="005B6C12" w:rsidRPr="00F6539D" w:rsidRDefault="002F1462" w:rsidP="001C5FB9">
      <w:pPr>
        <w:pStyle w:val="Odstavecseseznamem"/>
        <w:numPr>
          <w:ilvl w:val="0"/>
          <w:numId w:val="19"/>
        </w:numPr>
        <w:jc w:val="both"/>
        <w:rPr>
          <w:b/>
          <w:bCs/>
        </w:rPr>
      </w:pPr>
      <w:r w:rsidRPr="00F6539D">
        <w:rPr>
          <w:b/>
          <w:bCs/>
        </w:rPr>
        <w:t>SBĚR DAT O INFRASTRUKTUŘE</w:t>
      </w:r>
    </w:p>
    <w:p w14:paraId="382AE627" w14:textId="79602F17" w:rsidR="00FF150F" w:rsidRDefault="005B56A5" w:rsidP="001C5FB9">
      <w:pPr>
        <w:jc w:val="both"/>
      </w:pPr>
      <w:r>
        <w:rPr>
          <w:b/>
          <w:bCs/>
        </w:rPr>
        <w:t>K</w:t>
      </w:r>
      <w:r w:rsidR="005B6C12" w:rsidRPr="002F1462">
        <w:rPr>
          <w:b/>
          <w:bCs/>
        </w:rPr>
        <w:t xml:space="preserve">do </w:t>
      </w:r>
      <w:r w:rsidR="00BF5C4C" w:rsidRPr="002F1462">
        <w:rPr>
          <w:b/>
          <w:bCs/>
        </w:rPr>
        <w:t>vyplňuje</w:t>
      </w:r>
      <w:r w:rsidR="00B3625C">
        <w:rPr>
          <w:b/>
          <w:bCs/>
        </w:rPr>
        <w:t>:</w:t>
      </w:r>
      <w:r w:rsidR="00BF5C4C">
        <w:t xml:space="preserve"> </w:t>
      </w:r>
      <w:bookmarkStart w:id="5" w:name="_Hlk172564182"/>
      <w:r w:rsidR="00623E3B">
        <w:t xml:space="preserve">Informace </w:t>
      </w:r>
      <w:r w:rsidR="00F6539D">
        <w:t xml:space="preserve">o infrastruktuře vyplňují </w:t>
      </w:r>
      <w:r w:rsidR="00A439E2">
        <w:t xml:space="preserve">povinné </w:t>
      </w:r>
      <w:r w:rsidR="00F6539D">
        <w:t>osoby, které na daném adresním místě provozují příslušnou infrastrukturu</w:t>
      </w:r>
      <w:r w:rsidR="00FF150F" w:rsidRPr="00F431FC">
        <w:t>.</w:t>
      </w:r>
    </w:p>
    <w:bookmarkEnd w:id="5"/>
    <w:p w14:paraId="36BC9030" w14:textId="600A9840" w:rsidR="00FF1043" w:rsidRDefault="005B56A5" w:rsidP="00F20ACB">
      <w:pPr>
        <w:jc w:val="both"/>
      </w:pPr>
      <w:r>
        <w:rPr>
          <w:b/>
          <w:bCs/>
        </w:rPr>
        <w:t>C</w:t>
      </w:r>
      <w:r w:rsidR="002F1462" w:rsidRPr="002F1462">
        <w:rPr>
          <w:b/>
          <w:bCs/>
        </w:rPr>
        <w:t>o se vyplňuje</w:t>
      </w:r>
      <w:r w:rsidR="00FF1043">
        <w:rPr>
          <w:b/>
          <w:bCs/>
        </w:rPr>
        <w:t xml:space="preserve">: </w:t>
      </w:r>
    </w:p>
    <w:p w14:paraId="53080DD9" w14:textId="682D3FB1" w:rsidR="00FF1043" w:rsidRDefault="00B3625C" w:rsidP="006A6826">
      <w:pPr>
        <w:pStyle w:val="Odstavecseseznamem"/>
        <w:numPr>
          <w:ilvl w:val="0"/>
          <w:numId w:val="25"/>
        </w:numPr>
        <w:ind w:left="1134"/>
        <w:jc w:val="both"/>
      </w:pPr>
      <w:r>
        <w:t xml:space="preserve">informace o </w:t>
      </w:r>
      <w:r w:rsidR="00914262">
        <w:t xml:space="preserve">pokrytí </w:t>
      </w:r>
      <w:r w:rsidR="00FF1043">
        <w:t>adresní</w:t>
      </w:r>
      <w:r w:rsidR="00914262">
        <w:t>ho</w:t>
      </w:r>
      <w:r w:rsidR="00FF1043">
        <w:t xml:space="preserve"> míst</w:t>
      </w:r>
      <w:r w:rsidR="00914262">
        <w:t>a</w:t>
      </w:r>
      <w:r w:rsidR="00FF1043">
        <w:t xml:space="preserve"> </w:t>
      </w:r>
      <w:r w:rsidR="00BF5C4C">
        <w:t>disponibiln</w:t>
      </w:r>
      <w:r w:rsidR="00FF1043">
        <w:t>í</w:t>
      </w:r>
      <w:r w:rsidR="00BF5C4C">
        <w:t xml:space="preserve"> přípoj</w:t>
      </w:r>
      <w:r w:rsidR="00FF1043">
        <w:t>kou</w:t>
      </w:r>
      <w:r w:rsidR="00BF5C4C">
        <w:t xml:space="preserve"> </w:t>
      </w:r>
      <w:r w:rsidR="00914262">
        <w:t xml:space="preserve">a </w:t>
      </w:r>
      <w:r w:rsidR="0049456F">
        <w:t xml:space="preserve">o </w:t>
      </w:r>
      <w:r w:rsidR="00914262">
        <w:t>jejích parametrech</w:t>
      </w:r>
      <w:r>
        <w:t xml:space="preserve"> (ANO/NE</w:t>
      </w:r>
      <w:r w:rsidR="00C7386A">
        <w:t>, rychlostní interval</w:t>
      </w:r>
      <w:r>
        <w:t>)</w:t>
      </w:r>
    </w:p>
    <w:p w14:paraId="4A66BAE0" w14:textId="6888BE4E" w:rsidR="00BF5C4C" w:rsidRDefault="00F20ACB" w:rsidP="006A6826">
      <w:pPr>
        <w:pStyle w:val="Odstavecseseznamem"/>
        <w:numPr>
          <w:ilvl w:val="0"/>
          <w:numId w:val="42"/>
        </w:numPr>
        <w:ind w:left="1418" w:hanging="357"/>
        <w:contextualSpacing w:val="0"/>
        <w:jc w:val="both"/>
      </w:pPr>
      <w:r>
        <w:t xml:space="preserve">pouze </w:t>
      </w:r>
      <w:r w:rsidR="001C5FB9">
        <w:t xml:space="preserve">v technologické kategorii </w:t>
      </w:r>
      <w:r>
        <w:t>sít</w:t>
      </w:r>
      <w:r w:rsidR="007F2D96">
        <w:t>ě</w:t>
      </w:r>
      <w:r>
        <w:t xml:space="preserve"> kabelové televize</w:t>
      </w:r>
      <w:r w:rsidR="00415463">
        <w:t xml:space="preserve">: informace o </w:t>
      </w:r>
      <w:r w:rsidR="00FF1043">
        <w:t>standard</w:t>
      </w:r>
      <w:r w:rsidR="00415463">
        <w:t>u</w:t>
      </w:r>
      <w:r w:rsidR="00FF1043">
        <w:t xml:space="preserve"> DOCSIS 3.1</w:t>
      </w:r>
      <w:r w:rsidR="00C7386A">
        <w:t xml:space="preserve"> a vyšší </w:t>
      </w:r>
      <w:r w:rsidR="00CA3661">
        <w:t>(ANO/NE)</w:t>
      </w:r>
    </w:p>
    <w:p w14:paraId="417DCBB2" w14:textId="2C71EFA9" w:rsidR="00C7386A" w:rsidRDefault="00C7386A" w:rsidP="006A6826">
      <w:pPr>
        <w:pStyle w:val="Odstavecseseznamem"/>
        <w:numPr>
          <w:ilvl w:val="0"/>
          <w:numId w:val="25"/>
        </w:numPr>
        <w:ind w:left="1134"/>
        <w:jc w:val="both"/>
      </w:pPr>
      <w:r>
        <w:t>třída VHCN sítě</w:t>
      </w:r>
      <w:r w:rsidR="007E25A9">
        <w:t xml:space="preserve"> (0, 1, 2, 3, 4)</w:t>
      </w:r>
    </w:p>
    <w:p w14:paraId="3BC82BBA" w14:textId="77777777" w:rsidR="00FF1043" w:rsidRDefault="00FF1043" w:rsidP="001C5FB9">
      <w:pPr>
        <w:jc w:val="both"/>
      </w:pPr>
    </w:p>
    <w:p w14:paraId="621BF379" w14:textId="66DD94DA" w:rsidR="00BF5C4C" w:rsidRPr="00604BD1" w:rsidRDefault="00C37352" w:rsidP="00604BD1">
      <w:pPr>
        <w:pStyle w:val="Odstavecseseznamem"/>
        <w:keepNext/>
        <w:numPr>
          <w:ilvl w:val="0"/>
          <w:numId w:val="8"/>
        </w:numPr>
        <w:ind w:left="357" w:hanging="357"/>
        <w:jc w:val="both"/>
        <w:rPr>
          <w:caps/>
        </w:rPr>
      </w:pPr>
      <w:r w:rsidRPr="00604BD1">
        <w:rPr>
          <w:b/>
          <w:bCs/>
          <w:caps/>
        </w:rPr>
        <w:t>P</w:t>
      </w:r>
      <w:r w:rsidR="00FF1043" w:rsidRPr="00604BD1">
        <w:rPr>
          <w:b/>
          <w:bCs/>
          <w:caps/>
        </w:rPr>
        <w:t>okryt</w:t>
      </w:r>
      <w:r w:rsidR="006A7A9A" w:rsidRPr="00604BD1">
        <w:rPr>
          <w:b/>
          <w:bCs/>
          <w:caps/>
        </w:rPr>
        <w:t>é</w:t>
      </w:r>
      <w:r w:rsidR="00FF1043" w:rsidRPr="00604BD1">
        <w:rPr>
          <w:b/>
          <w:bCs/>
          <w:caps/>
        </w:rPr>
        <w:t xml:space="preserve"> adresní míst</w:t>
      </w:r>
      <w:r w:rsidR="006A7A9A" w:rsidRPr="00604BD1">
        <w:rPr>
          <w:b/>
          <w:bCs/>
          <w:caps/>
        </w:rPr>
        <w:t>o</w:t>
      </w:r>
      <w:r w:rsidR="00FF1043" w:rsidRPr="00604BD1">
        <w:rPr>
          <w:b/>
          <w:bCs/>
          <w:caps/>
        </w:rPr>
        <w:t xml:space="preserve"> </w:t>
      </w:r>
      <w:r w:rsidR="00BF5C4C" w:rsidRPr="00604BD1">
        <w:rPr>
          <w:b/>
          <w:bCs/>
          <w:caps/>
        </w:rPr>
        <w:t>disponibilní přípoj</w:t>
      </w:r>
      <w:r w:rsidR="00FF1043" w:rsidRPr="00604BD1">
        <w:rPr>
          <w:b/>
          <w:bCs/>
          <w:caps/>
        </w:rPr>
        <w:t>kou</w:t>
      </w:r>
      <w:r w:rsidR="00A11990" w:rsidRPr="00604BD1">
        <w:rPr>
          <w:b/>
          <w:bCs/>
          <w:caps/>
        </w:rPr>
        <w:t>, disponibilní přípojka</w:t>
      </w:r>
      <w:r w:rsidR="00914262" w:rsidRPr="00604BD1">
        <w:rPr>
          <w:b/>
          <w:bCs/>
          <w:caps/>
        </w:rPr>
        <w:t xml:space="preserve"> a její parametr</w:t>
      </w:r>
      <w:r w:rsidR="006A7A9A" w:rsidRPr="00604BD1">
        <w:rPr>
          <w:b/>
          <w:bCs/>
          <w:caps/>
        </w:rPr>
        <w:t>y</w:t>
      </w:r>
    </w:p>
    <w:p w14:paraId="0A36E085" w14:textId="082FBC18" w:rsidR="00A439E2" w:rsidRPr="006A6826" w:rsidRDefault="006A6826" w:rsidP="00FF1043">
      <w:pPr>
        <w:spacing w:line="293" w:lineRule="auto"/>
        <w:jc w:val="both"/>
      </w:pPr>
      <w:bookmarkStart w:id="6" w:name="_Hlk172564360"/>
      <w:r w:rsidRPr="006A6826">
        <w:rPr>
          <w:b/>
          <w:bCs/>
        </w:rPr>
        <w:t>Pokryté a</w:t>
      </w:r>
      <w:r w:rsidR="00A439E2" w:rsidRPr="006A6826">
        <w:rPr>
          <w:b/>
          <w:bCs/>
        </w:rPr>
        <w:t>dresní místo</w:t>
      </w:r>
      <w:r w:rsidR="00A439E2" w:rsidRPr="006A6826">
        <w:t xml:space="preserve"> je </w:t>
      </w:r>
      <w:r w:rsidRPr="006A6826">
        <w:t>adresní místo</w:t>
      </w:r>
      <w:r w:rsidR="00A439E2" w:rsidRPr="006A6826">
        <w:t xml:space="preserve">, </w:t>
      </w:r>
      <w:r w:rsidRPr="006A6826">
        <w:t xml:space="preserve">na kterém </w:t>
      </w:r>
      <w:r w:rsidR="00A439E2" w:rsidRPr="006A6826">
        <w:t>provozuje povinná osoba alespoň jednu disponibilní přípojku.</w:t>
      </w:r>
    </w:p>
    <w:p w14:paraId="6E51DF70" w14:textId="68373C0E" w:rsidR="00FF1043" w:rsidRPr="00BB22A1" w:rsidRDefault="00FF1043" w:rsidP="00FF1043">
      <w:pPr>
        <w:spacing w:line="293" w:lineRule="auto"/>
        <w:jc w:val="both"/>
        <w:rPr>
          <w:b/>
          <w:bCs/>
        </w:rPr>
      </w:pPr>
      <w:r w:rsidRPr="00BB22A1">
        <w:rPr>
          <w:b/>
          <w:bCs/>
        </w:rPr>
        <w:t>Disponibilní přípojka je</w:t>
      </w:r>
      <w:r w:rsidR="00542062">
        <w:rPr>
          <w:b/>
          <w:bCs/>
        </w:rPr>
        <w:t>:</w:t>
      </w:r>
    </w:p>
    <w:p w14:paraId="56F2E1AF" w14:textId="4E84C14B" w:rsidR="00FF1043" w:rsidRDefault="00FF1043" w:rsidP="00604BD1">
      <w:pPr>
        <w:pStyle w:val="Odstavecseseznamem"/>
        <w:numPr>
          <w:ilvl w:val="0"/>
          <w:numId w:val="21"/>
        </w:numPr>
        <w:spacing w:line="293" w:lineRule="auto"/>
        <w:jc w:val="both"/>
      </w:pPr>
      <w:r w:rsidRPr="00F431FC">
        <w:t>přípojk</w:t>
      </w:r>
      <w:r>
        <w:t xml:space="preserve">a </w:t>
      </w:r>
      <w:r w:rsidR="00F235BB">
        <w:t xml:space="preserve">instalovaná </w:t>
      </w:r>
      <w:r>
        <w:t>u koncového uživatele (bez ohledu na to, zda je jejím prostřednictvím poskytována služba</w:t>
      </w:r>
      <w:r w:rsidR="0049456F">
        <w:t>,</w:t>
      </w:r>
      <w:r>
        <w:t xml:space="preserve"> či nikoliv)</w:t>
      </w:r>
      <w:r w:rsidR="00CA3661">
        <w:t>, tedy již existující přípojka</w:t>
      </w:r>
      <w:r w:rsidR="008613C0">
        <w:t>,</w:t>
      </w:r>
      <w:r w:rsidRPr="00F431FC">
        <w:t xml:space="preserve"> </w:t>
      </w:r>
      <w:r w:rsidR="00BA6172">
        <w:t>nebo</w:t>
      </w:r>
    </w:p>
    <w:p w14:paraId="3CA88972" w14:textId="5B4BA3E0" w:rsidR="00F235BB" w:rsidRDefault="00CB7F1E" w:rsidP="00C72E0E">
      <w:pPr>
        <w:pStyle w:val="Odstavecseseznamem"/>
        <w:numPr>
          <w:ilvl w:val="0"/>
          <w:numId w:val="21"/>
        </w:numPr>
        <w:spacing w:line="293" w:lineRule="auto"/>
        <w:jc w:val="both"/>
      </w:pPr>
      <w:r>
        <w:t>dosud</w:t>
      </w:r>
      <w:r w:rsidR="00FF1043" w:rsidRPr="00F431FC">
        <w:t xml:space="preserve"> fakticky neinstalovan</w:t>
      </w:r>
      <w:r w:rsidR="00FF1043">
        <w:t>á</w:t>
      </w:r>
      <w:r w:rsidR="00FF1043" w:rsidRPr="00F431FC">
        <w:t xml:space="preserve"> přípojk</w:t>
      </w:r>
      <w:r w:rsidR="00FF1043">
        <w:t>a</w:t>
      </w:r>
      <w:r w:rsidR="00FF1043" w:rsidRPr="00F431FC">
        <w:t>, kter</w:t>
      </w:r>
      <w:r w:rsidR="006A7A9A">
        <w:t>ou</w:t>
      </w:r>
      <w:r w:rsidR="00FF1043" w:rsidRPr="00F431FC">
        <w:t xml:space="preserve"> je ale povinná osoba schopna a ochotna </w:t>
      </w:r>
      <w:r w:rsidR="00FF1043" w:rsidRPr="00415463">
        <w:t xml:space="preserve">zřídit </w:t>
      </w:r>
      <w:r w:rsidR="006A7A9A" w:rsidRPr="00415463">
        <w:t>a</w:t>
      </w:r>
      <w:r w:rsidR="00A11990">
        <w:t> </w:t>
      </w:r>
      <w:r w:rsidR="006A7A9A">
        <w:t xml:space="preserve">poskytnout </w:t>
      </w:r>
      <w:r w:rsidR="00CA3661">
        <w:t xml:space="preserve">na ní </w:t>
      </w:r>
      <w:r w:rsidR="00FF1043">
        <w:t xml:space="preserve">službu </w:t>
      </w:r>
      <w:r w:rsidR="00CA3661">
        <w:t>příslušných parametrů</w:t>
      </w:r>
      <w:r w:rsidR="00F74C1E">
        <w:t>, a to</w:t>
      </w:r>
      <w:r w:rsidR="00FF1043" w:rsidRPr="00F431FC">
        <w:t xml:space="preserve"> </w:t>
      </w:r>
      <w:r w:rsidR="00F235BB">
        <w:t xml:space="preserve">při </w:t>
      </w:r>
      <w:r w:rsidR="002C0FFB">
        <w:t xml:space="preserve">kumulativním </w:t>
      </w:r>
      <w:r w:rsidR="00F235BB">
        <w:t>splnění všech následujících podmínek:</w:t>
      </w:r>
    </w:p>
    <w:p w14:paraId="3A4E5F97" w14:textId="7FDAB5B1" w:rsidR="00F235BB" w:rsidRDefault="00F235BB" w:rsidP="002342B3">
      <w:pPr>
        <w:pStyle w:val="Odstavecseseznamem"/>
        <w:numPr>
          <w:ilvl w:val="1"/>
          <w:numId w:val="26"/>
        </w:numPr>
        <w:jc w:val="both"/>
      </w:pPr>
      <w:r>
        <w:t>na adresním místě existuje komerční nabídka služby přístupu k</w:t>
      </w:r>
      <w:r w:rsidR="00C72E0E">
        <w:t> </w:t>
      </w:r>
      <w:r>
        <w:t>internetu</w:t>
      </w:r>
      <w:r w:rsidR="00C72E0E">
        <w:t xml:space="preserve"> odpovídající příslušným </w:t>
      </w:r>
      <w:r w:rsidR="00415463">
        <w:t xml:space="preserve">vykázaným </w:t>
      </w:r>
      <w:r w:rsidR="00C72E0E">
        <w:t>parametrům</w:t>
      </w:r>
      <w:r w:rsidR="00415463">
        <w:t xml:space="preserve"> přípojky</w:t>
      </w:r>
      <w:r w:rsidR="002C0FFB">
        <w:t>;</w:t>
      </w:r>
    </w:p>
    <w:p w14:paraId="0438087F" w14:textId="04794808" w:rsidR="00914262" w:rsidRDefault="00F235BB" w:rsidP="002342B3">
      <w:pPr>
        <w:pStyle w:val="Odstavecseseznamem"/>
        <w:numPr>
          <w:ilvl w:val="1"/>
          <w:numId w:val="26"/>
        </w:numPr>
        <w:jc w:val="both"/>
      </w:pPr>
      <w:r>
        <w:t xml:space="preserve">povinná osoba je schopna a ochotna na daném místě </w:t>
      </w:r>
      <w:r w:rsidR="00CA3661">
        <w:t xml:space="preserve">zřídit přípojku </w:t>
      </w:r>
      <w:r w:rsidR="00415463">
        <w:t xml:space="preserve">odpovídající příslušným vykázaným parametrům </w:t>
      </w:r>
      <w:r w:rsidR="00CA3661">
        <w:t xml:space="preserve">a </w:t>
      </w:r>
      <w:r>
        <w:t xml:space="preserve">poskytnout </w:t>
      </w:r>
      <w:r w:rsidR="00415463">
        <w:t xml:space="preserve">odpovídající </w:t>
      </w:r>
      <w:r>
        <w:t xml:space="preserve">službu přístupu k internetu do </w:t>
      </w:r>
      <w:r w:rsidR="00CA3661">
        <w:t xml:space="preserve">čtyř </w:t>
      </w:r>
      <w:r>
        <w:t xml:space="preserve">týdnů od vyslovení </w:t>
      </w:r>
      <w:r w:rsidR="00914262">
        <w:t>zájmu ze strany účastníka</w:t>
      </w:r>
      <w:r>
        <w:t xml:space="preserve">, </w:t>
      </w:r>
      <w:r w:rsidR="00914262">
        <w:t xml:space="preserve">aniž by případné poplatky za zřízení </w:t>
      </w:r>
      <w:r w:rsidR="00CA3661">
        <w:t xml:space="preserve">přípojky </w:t>
      </w:r>
      <w:r w:rsidR="00914262">
        <w:t>a zprovoznění služby přesáhly svou běžnou výši</w:t>
      </w:r>
      <w:r w:rsidR="002C0FFB">
        <w:t>;</w:t>
      </w:r>
    </w:p>
    <w:p w14:paraId="0A304879" w14:textId="0C947352" w:rsidR="00E40091" w:rsidRDefault="00914262" w:rsidP="002342B3">
      <w:pPr>
        <w:pStyle w:val="Odstavecseseznamem"/>
        <w:numPr>
          <w:ilvl w:val="1"/>
          <w:numId w:val="26"/>
        </w:numPr>
        <w:jc w:val="both"/>
      </w:pPr>
      <w:r>
        <w:t>pokud bude potřeba provést instalaci přípojky</w:t>
      </w:r>
      <w:r w:rsidR="000A1B55">
        <w:t xml:space="preserve"> (zřídit přípojku)</w:t>
      </w:r>
      <w:r>
        <w:t xml:space="preserve">, musí k tomu dojít </w:t>
      </w:r>
      <w:r w:rsidR="00F235BB">
        <w:t>bez vynaložení nepřiměřeně vysokých nákladů</w:t>
      </w:r>
    </w:p>
    <w:p w14:paraId="6FF14690" w14:textId="45099323" w:rsidR="00F235BB" w:rsidRDefault="00E40091" w:rsidP="002342B3">
      <w:pPr>
        <w:pStyle w:val="Odstavecseseznamem"/>
        <w:numPr>
          <w:ilvl w:val="2"/>
          <w:numId w:val="26"/>
        </w:numPr>
        <w:jc w:val="both"/>
      </w:pPr>
      <w:r>
        <w:t xml:space="preserve">nepřiměřeně vysoké </w:t>
      </w:r>
      <w:r w:rsidR="00B34619">
        <w:t xml:space="preserve">investiční </w:t>
      </w:r>
      <w:r>
        <w:t xml:space="preserve">náklady: např. </w:t>
      </w:r>
      <w:r w:rsidR="00F235BB">
        <w:t>rozsáhlé výkopové práce</w:t>
      </w:r>
      <w:r>
        <w:t xml:space="preserve"> nebo</w:t>
      </w:r>
      <w:r w:rsidR="00F235BB">
        <w:t xml:space="preserve"> stavba stožárů</w:t>
      </w:r>
      <w:r w:rsidR="002C0FFB">
        <w:t>;</w:t>
      </w:r>
      <w:r w:rsidR="000A1B55">
        <w:t xml:space="preserve"> </w:t>
      </w:r>
      <w:r w:rsidR="00F235BB">
        <w:t xml:space="preserve"> </w:t>
      </w:r>
    </w:p>
    <w:p w14:paraId="0C237D4A" w14:textId="3BCD10C8" w:rsidR="00E40091" w:rsidRDefault="00B34619" w:rsidP="002342B3">
      <w:pPr>
        <w:pStyle w:val="Odstavecseseznamem"/>
        <w:numPr>
          <w:ilvl w:val="2"/>
          <w:numId w:val="26"/>
        </w:numPr>
        <w:jc w:val="both"/>
      </w:pPr>
      <w:r>
        <w:t xml:space="preserve">příklady </w:t>
      </w:r>
      <w:r w:rsidR="00E40091">
        <w:t>přiměřen</w:t>
      </w:r>
      <w:r>
        <w:t>ých</w:t>
      </w:r>
      <w:r w:rsidR="00E40091">
        <w:t xml:space="preserve"> náklad</w:t>
      </w:r>
      <w:r>
        <w:t>ů</w:t>
      </w:r>
      <w:r w:rsidR="00E40091">
        <w:t xml:space="preserve">: instalace rozvodů v bytovém domě, </w:t>
      </w:r>
      <w:r w:rsidR="002342B3">
        <w:t xml:space="preserve">zajištění instalace koncového zařízení, posílení kapacity v posledním koncovém úseku účastnického vedení např. výměnou aktivních síťových </w:t>
      </w:r>
      <w:r w:rsidR="009B01E9">
        <w:t>prvků</w:t>
      </w:r>
      <w:r w:rsidR="002C0FFB">
        <w:t>;</w:t>
      </w:r>
    </w:p>
    <w:p w14:paraId="2B3C4E2F" w14:textId="29B154CD" w:rsidR="00E40091" w:rsidRDefault="00176F86" w:rsidP="002342B3">
      <w:pPr>
        <w:pStyle w:val="Odstavecseseznamem"/>
        <w:numPr>
          <w:ilvl w:val="1"/>
          <w:numId w:val="26"/>
        </w:numPr>
        <w:jc w:val="both"/>
      </w:pPr>
      <w:r>
        <w:t>j</w:t>
      </w:r>
      <w:r w:rsidRPr="007B11D7">
        <w:t>estliže je k poskytování služby daných parametrů nutné dobudovat vedle samotné přípojky též distribuční bod umístěný na stejném adresním místě jako disponibilní přípojk</w:t>
      </w:r>
      <w:r>
        <w:t>a</w:t>
      </w:r>
      <w:r w:rsidRPr="007B11D7">
        <w:t xml:space="preserve">, případně v jeho těsné blízkosti (v řádech jednotek metrů), může povinná osoba při uvádění </w:t>
      </w:r>
      <w:r>
        <w:t xml:space="preserve">pokrytých adresních míst </w:t>
      </w:r>
      <w:r w:rsidRPr="007B11D7">
        <w:t>disponibilní přípojk</w:t>
      </w:r>
      <w:r>
        <w:t>ou</w:t>
      </w:r>
      <w:r w:rsidRPr="007B11D7">
        <w:t xml:space="preserve"> brát v úvahu i tento doposud neexistující distribuční bod, pokud je schopna jej dobudovat </w:t>
      </w:r>
      <w:r>
        <w:t xml:space="preserve">za výše uvedených podmínek. </w:t>
      </w:r>
      <w:r w:rsidRPr="007B11D7">
        <w:t xml:space="preserve">Ostatní distribuční body a další části navazující sítě musejí být </w:t>
      </w:r>
      <w:r>
        <w:t>k</w:t>
      </w:r>
      <w:r w:rsidRPr="007B11D7">
        <w:t xml:space="preserve"> okamžiku </w:t>
      </w:r>
      <w:r>
        <w:t>sběru dat</w:t>
      </w:r>
      <w:r w:rsidRPr="007B11D7">
        <w:t xml:space="preserve"> dostupné, tj. vybudované.</w:t>
      </w:r>
    </w:p>
    <w:bookmarkEnd w:id="6"/>
    <w:p w14:paraId="5F1C804C" w14:textId="77777777" w:rsidR="00E40091" w:rsidRDefault="00E40091" w:rsidP="00E40091">
      <w:pPr>
        <w:pStyle w:val="Odstavecseseznamem"/>
        <w:ind w:left="0"/>
        <w:jc w:val="both"/>
      </w:pPr>
    </w:p>
    <w:tbl>
      <w:tblPr>
        <w:tblW w:w="985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4"/>
      </w:tblGrid>
      <w:tr w:rsidR="00E40091" w14:paraId="5B6DCDDA" w14:textId="77777777" w:rsidTr="00E40091">
        <w:trPr>
          <w:trHeight w:val="1725"/>
        </w:trPr>
        <w:tc>
          <w:tcPr>
            <w:tcW w:w="9854" w:type="dxa"/>
          </w:tcPr>
          <w:p w14:paraId="708B3DEC" w14:textId="77777777" w:rsidR="008B3548" w:rsidRDefault="008B3548" w:rsidP="008B3548">
            <w:pPr>
              <w:pStyle w:val="Odstavecseseznamem"/>
              <w:spacing w:before="240"/>
              <w:ind w:left="261"/>
              <w:jc w:val="both"/>
            </w:pPr>
          </w:p>
          <w:p w14:paraId="0C0136AD" w14:textId="2A4F9E31" w:rsidR="00A2787B" w:rsidRPr="00604BD1" w:rsidRDefault="00E40091" w:rsidP="008B3548">
            <w:pPr>
              <w:pStyle w:val="Odstavecseseznamem"/>
              <w:spacing w:before="240"/>
              <w:ind w:left="261" w:right="164"/>
              <w:jc w:val="both"/>
            </w:pPr>
            <w:r w:rsidRPr="00A63646">
              <w:t xml:space="preserve">Za disponibilní přípojku může být </w:t>
            </w:r>
            <w:r w:rsidR="00A2787B">
              <w:t xml:space="preserve">pro </w:t>
            </w:r>
            <w:r w:rsidR="00A2787B" w:rsidRPr="00A2787B">
              <w:rPr>
                <w:b/>
                <w:bCs/>
              </w:rPr>
              <w:t>„kabelové“</w:t>
            </w:r>
            <w:r w:rsidR="00A2787B">
              <w:t xml:space="preserve"> sítě </w:t>
            </w:r>
            <w:r w:rsidRPr="00A63646">
              <w:t>považována např. přípojka</w:t>
            </w:r>
            <w:r w:rsidR="00A2787B">
              <w:t xml:space="preserve"> </w:t>
            </w:r>
            <w:r w:rsidRPr="00A63646">
              <w:t xml:space="preserve">přivedená k hranici </w:t>
            </w:r>
            <w:r w:rsidRPr="00604BD1">
              <w:t>pozemku (u rodinného domu) nebo k rozvaděči (v bytovém domě)</w:t>
            </w:r>
            <w:r w:rsidR="00A2787B" w:rsidRPr="00604BD1">
              <w:t xml:space="preserve">. </w:t>
            </w:r>
          </w:p>
          <w:p w14:paraId="7606728B" w14:textId="445E296D" w:rsidR="00A2787B" w:rsidRDefault="00604BD1" w:rsidP="006A6826">
            <w:pPr>
              <w:spacing w:after="60" w:line="288" w:lineRule="auto"/>
              <w:ind w:left="261" w:right="164"/>
              <w:jc w:val="both"/>
            </w:pPr>
            <w:r>
              <w:t xml:space="preserve">V rámci přiměřených nákladů </w:t>
            </w:r>
            <w:r w:rsidR="00A2787B">
              <w:t>lze</w:t>
            </w:r>
            <w:r w:rsidR="00A2787B" w:rsidRPr="00604BD1">
              <w:t xml:space="preserve"> realizovat např.:</w:t>
            </w:r>
          </w:p>
          <w:p w14:paraId="07705863" w14:textId="10BB1A02" w:rsidR="00A2787B" w:rsidRPr="00A2787B" w:rsidRDefault="00A2787B" w:rsidP="008B3548">
            <w:pPr>
              <w:pStyle w:val="Odstavecseseznamem"/>
              <w:numPr>
                <w:ilvl w:val="0"/>
                <w:numId w:val="44"/>
              </w:numPr>
              <w:spacing w:line="288" w:lineRule="auto"/>
              <w:ind w:right="164"/>
              <w:jc w:val="both"/>
            </w:pPr>
            <w:r w:rsidRPr="00A2787B">
              <w:t>propojení v mezilehlých rozvaděčích tak, aby vznikla kontinuální přenosová cesta od portu aktivního zařízení do účastnické zásuvky</w:t>
            </w:r>
            <w:r w:rsidR="002C0FFB">
              <w:t>;</w:t>
            </w:r>
          </w:p>
          <w:p w14:paraId="7BFB7945" w14:textId="06269ABE" w:rsidR="00A2787B" w:rsidRPr="00A2787B" w:rsidRDefault="00A2787B" w:rsidP="008B3548">
            <w:pPr>
              <w:pStyle w:val="Odstavecseseznamem"/>
              <w:numPr>
                <w:ilvl w:val="1"/>
                <w:numId w:val="31"/>
              </w:numPr>
              <w:spacing w:line="288" w:lineRule="auto"/>
              <w:ind w:right="164"/>
              <w:jc w:val="both"/>
            </w:pPr>
            <w:r w:rsidRPr="00A2787B">
              <w:t xml:space="preserve">instalaci a připojení vnitřního </w:t>
            </w:r>
            <w:r>
              <w:t>vedení</w:t>
            </w:r>
            <w:r w:rsidRPr="00A2787B">
              <w:t xml:space="preserve"> od domovního rozvaděče do bytové zásuvky do připravených lišt, trubiček, či jeho protažení stoupací šachtou bez nutnosti narušovat zděné konstrukce zasekáváním do drážek apod.</w:t>
            </w:r>
            <w:r w:rsidR="002C0FFB">
              <w:t>;</w:t>
            </w:r>
          </w:p>
          <w:p w14:paraId="79684BD1" w14:textId="4B747D7D" w:rsidR="00A2787B" w:rsidRPr="00A2787B" w:rsidRDefault="00A2787B" w:rsidP="008B3548">
            <w:pPr>
              <w:pStyle w:val="Odstavecseseznamem"/>
              <w:numPr>
                <w:ilvl w:val="1"/>
                <w:numId w:val="31"/>
              </w:numPr>
              <w:spacing w:line="288" w:lineRule="auto"/>
              <w:ind w:right="164"/>
              <w:jc w:val="both"/>
            </w:pPr>
            <w:r w:rsidRPr="00A2787B">
              <w:t xml:space="preserve">instalaci a připojení </w:t>
            </w:r>
            <w:r>
              <w:t>vedení</w:t>
            </w:r>
            <w:r w:rsidRPr="00A2787B">
              <w:t xml:space="preserve"> od účastnického rozvaděče do bytové zásuvky v závěsu nebo v</w:t>
            </w:r>
            <w:r w:rsidR="009B01E9">
              <w:t> </w:t>
            </w:r>
            <w:r w:rsidRPr="00A2787B">
              <w:t>drážce, např. podél obrubníku přístupové cesty.</w:t>
            </w:r>
          </w:p>
          <w:p w14:paraId="0B899326" w14:textId="120B14E9" w:rsidR="00176F86" w:rsidRPr="00176F86" w:rsidRDefault="00176F86" w:rsidP="008B3548">
            <w:pPr>
              <w:ind w:left="332" w:right="164"/>
              <w:jc w:val="both"/>
              <w:rPr>
                <w:b/>
                <w:bCs/>
              </w:rPr>
            </w:pPr>
            <w:r w:rsidRPr="00804CA0">
              <w:lastRenderedPageBreak/>
              <w:t xml:space="preserve">Za disponibilní přípojku </w:t>
            </w:r>
            <w:r>
              <w:t xml:space="preserve">může být pro </w:t>
            </w:r>
            <w:r w:rsidRPr="00604BD1">
              <w:rPr>
                <w:b/>
                <w:bCs/>
              </w:rPr>
              <w:t>„bezdrátové“</w:t>
            </w:r>
            <w:r>
              <w:t xml:space="preserve"> sítě </w:t>
            </w:r>
            <w:r w:rsidRPr="00804CA0">
              <w:t>považována např. přípojka</w:t>
            </w:r>
            <w:r>
              <w:t xml:space="preserve"> </w:t>
            </w:r>
            <w:r w:rsidRPr="00804CA0">
              <w:t>v dosahu pokrytí existujícího distribučního bodu typicky v přímé viditelnosti daného adresního místa.</w:t>
            </w:r>
            <w:r>
              <w:t xml:space="preserve"> Konkrétně se jedná o </w:t>
            </w:r>
            <w:r w:rsidRPr="00F431FC">
              <w:t xml:space="preserve">takové přípojky, u nichž je přímá viditelnost z místa antén distribučního bodu na případné umístění bezdrátového komunikačního zařízení disponibilní přípojky, přičemž při instalaci není nutné narušovat zděné konstrukce, a zároveň výkonová bilance spoje dovolí spolehlivé dodržení vykázaných rychlostí při poskytnutí služby. </w:t>
            </w:r>
            <w:r>
              <w:t xml:space="preserve">Současně je třeba při vyplnění pokrytých adresních míst disponibilní přípojkou zohlednit kapacitní možnosti sítě, když s ohledem na kapacitní omezení nemusí být relevantní vyplnění všech adresních míst v přímé viditelnosti. </w:t>
            </w:r>
          </w:p>
          <w:p w14:paraId="477B2CAD" w14:textId="0C3CB960" w:rsidR="00A2787B" w:rsidRPr="00CA2240" w:rsidRDefault="00CA2240" w:rsidP="008B3548">
            <w:pPr>
              <w:ind w:left="332" w:right="164"/>
              <w:jc w:val="both"/>
            </w:pPr>
            <w:r>
              <w:t xml:space="preserve">V souvislosti s posuzováním přiměřenosti nákladů lze akceptovat např. </w:t>
            </w:r>
            <w:r w:rsidR="00A2787B" w:rsidRPr="00F431FC">
              <w:t xml:space="preserve">instalaci posledního spojení od existujícího distribučního bodu poskytovatele do adresního místa koncového uživatele, a to včetně instalace outdoor jednotek (typicky směrových antén) a jejich aktivace. </w:t>
            </w:r>
            <w:r>
              <w:t xml:space="preserve">Obdobně lze </w:t>
            </w:r>
            <w:r w:rsidRPr="00F431FC">
              <w:t>akceptovat např. instalaci a</w:t>
            </w:r>
            <w:r w:rsidR="00E354A6">
              <w:t> </w:t>
            </w:r>
            <w:r w:rsidRPr="00F431FC">
              <w:t>připojení vnitřního kovového kabelu do aktivního prvku poskytovatele instalovaného v</w:t>
            </w:r>
            <w:r w:rsidR="008B3548">
              <w:t> </w:t>
            </w:r>
            <w:r w:rsidRPr="00F431FC">
              <w:t xml:space="preserve">budově a jeho dovedení do bytové zásuvky pomocí připravených lišt, trubiček, či jeho protažení stoupací šachtou bez nutnosti narušovat zděné konstrukce zasekáváním do drážek </w:t>
            </w:r>
            <w:r>
              <w:t xml:space="preserve">(v případě </w:t>
            </w:r>
            <w:r w:rsidRPr="00F431FC">
              <w:t>sdílen</w:t>
            </w:r>
            <w:r>
              <w:t>í spoje</w:t>
            </w:r>
            <w:r w:rsidRPr="00F431FC">
              <w:t xml:space="preserve"> koncovými uživateli v</w:t>
            </w:r>
            <w:r w:rsidR="00E354A6">
              <w:t> </w:t>
            </w:r>
            <w:r w:rsidRPr="00F431FC">
              <w:t>domě s více bytovými jednotkami (</w:t>
            </w:r>
            <w:r w:rsidR="00A439E2">
              <w:t xml:space="preserve">tzv. </w:t>
            </w:r>
            <w:r w:rsidRPr="00F431FC">
              <w:t>WTTB – Wireless to the building)</w:t>
            </w:r>
            <w:r>
              <w:t xml:space="preserve">). </w:t>
            </w:r>
          </w:p>
        </w:tc>
      </w:tr>
    </w:tbl>
    <w:p w14:paraId="4FF9AA5F" w14:textId="162D0896" w:rsidR="00F235BB" w:rsidRDefault="00F235BB" w:rsidP="002C0FFB">
      <w:pPr>
        <w:pStyle w:val="Odstavecseseznamem"/>
        <w:ind w:left="1440"/>
        <w:jc w:val="both"/>
      </w:pPr>
    </w:p>
    <w:p w14:paraId="214355EF" w14:textId="6D8EB668" w:rsidR="00A439E2" w:rsidRPr="00914262" w:rsidRDefault="00A439E2" w:rsidP="002C0FFB">
      <w:pPr>
        <w:jc w:val="both"/>
        <w:rPr>
          <w:b/>
          <w:bCs/>
        </w:rPr>
      </w:pPr>
      <w:r w:rsidRPr="00914262">
        <w:rPr>
          <w:b/>
          <w:bCs/>
        </w:rPr>
        <w:t xml:space="preserve">Rychlostní parametry </w:t>
      </w:r>
      <w:r>
        <w:rPr>
          <w:b/>
          <w:bCs/>
        </w:rPr>
        <w:t xml:space="preserve">disponibilní </w:t>
      </w:r>
      <w:r w:rsidRPr="00914262">
        <w:rPr>
          <w:b/>
          <w:bCs/>
        </w:rPr>
        <w:t>přípojky:</w:t>
      </w:r>
    </w:p>
    <w:p w14:paraId="07CE0610" w14:textId="56283761" w:rsidR="00914262" w:rsidRDefault="008613C0" w:rsidP="002C0FFB">
      <w:pPr>
        <w:jc w:val="both"/>
      </w:pPr>
      <w:r>
        <w:t>U</w:t>
      </w:r>
      <w:r w:rsidR="00914262">
        <w:t xml:space="preserve"> každé</w:t>
      </w:r>
      <w:r>
        <w:t>ho</w:t>
      </w:r>
      <w:r w:rsidR="00914262">
        <w:t xml:space="preserve"> adresní</w:t>
      </w:r>
      <w:r>
        <w:t>ho</w:t>
      </w:r>
      <w:r w:rsidR="00914262">
        <w:t xml:space="preserve"> míst</w:t>
      </w:r>
      <w:r>
        <w:t>a</w:t>
      </w:r>
      <w:r w:rsidR="00914262">
        <w:t>, které povinná osoba vykáže jako pokryté disponibilní přípojkou, vyplní i</w:t>
      </w:r>
      <w:r w:rsidR="002C0FFB">
        <w:t> </w:t>
      </w:r>
      <w:r w:rsidR="00914262">
        <w:t>rychlostní parametry</w:t>
      </w:r>
      <w:r>
        <w:t xml:space="preserve"> disponibilní přípojky</w:t>
      </w:r>
      <w:r w:rsidR="00914262">
        <w:t>, a to v členění na:</w:t>
      </w:r>
    </w:p>
    <w:p w14:paraId="5ED7E175" w14:textId="6B4363DD" w:rsidR="00914262" w:rsidRDefault="00914262" w:rsidP="002C0FFB">
      <w:pPr>
        <w:pStyle w:val="Odstavecseseznamem"/>
        <w:numPr>
          <w:ilvl w:val="0"/>
          <w:numId w:val="27"/>
        </w:numPr>
        <w:jc w:val="both"/>
      </w:pPr>
      <w:r>
        <w:t>efektivní rychlost – download</w:t>
      </w:r>
    </w:p>
    <w:p w14:paraId="5E37F8A7" w14:textId="398D491C" w:rsidR="00914262" w:rsidRDefault="00914262" w:rsidP="00A11990">
      <w:pPr>
        <w:pStyle w:val="Odstavecseseznamem"/>
        <w:numPr>
          <w:ilvl w:val="0"/>
          <w:numId w:val="27"/>
        </w:numPr>
        <w:jc w:val="both"/>
      </w:pPr>
      <w:r>
        <w:t>efektivní rychlost – upload</w:t>
      </w:r>
    </w:p>
    <w:p w14:paraId="2DB6B15C" w14:textId="0553E92E" w:rsidR="00914262" w:rsidRDefault="00914262" w:rsidP="00A11990">
      <w:pPr>
        <w:pStyle w:val="Odstavecseseznamem"/>
        <w:numPr>
          <w:ilvl w:val="0"/>
          <w:numId w:val="27"/>
        </w:numPr>
        <w:jc w:val="both"/>
      </w:pPr>
      <w:r>
        <w:t>maximální dosažitelná rychlost – download</w:t>
      </w:r>
    </w:p>
    <w:p w14:paraId="10385A36" w14:textId="49DF966B" w:rsidR="00914262" w:rsidRDefault="00914262" w:rsidP="00A11990">
      <w:pPr>
        <w:pStyle w:val="Odstavecseseznamem"/>
        <w:numPr>
          <w:ilvl w:val="0"/>
          <w:numId w:val="27"/>
        </w:numPr>
        <w:jc w:val="both"/>
      </w:pPr>
      <w:r>
        <w:t>maximální dosažitelná rychlost – upload</w:t>
      </w:r>
    </w:p>
    <w:p w14:paraId="1ECBCD11" w14:textId="0C48019C" w:rsidR="00914262" w:rsidRDefault="00E40091" w:rsidP="00A11990">
      <w:pPr>
        <w:jc w:val="both"/>
      </w:pPr>
      <w:r>
        <w:t>Každé z těchto rychlostí povinná osoba přiřadí rychlostní interval z následujícího rozsahu</w:t>
      </w:r>
      <w:r w:rsidR="00503701">
        <w:rPr>
          <w:rStyle w:val="Znakapoznpodarou"/>
        </w:rPr>
        <w:footnoteReference w:id="3"/>
      </w:r>
      <w:r>
        <w:t>:</w:t>
      </w:r>
    </w:p>
    <w:p w14:paraId="3C4E4F7B" w14:textId="77777777" w:rsidR="00E40091" w:rsidRDefault="00E40091" w:rsidP="00E40091">
      <w:pPr>
        <w:pStyle w:val="Odstavecseseznamem"/>
        <w:numPr>
          <w:ilvl w:val="0"/>
          <w:numId w:val="28"/>
        </w:numPr>
      </w:pPr>
      <w:r w:rsidRPr="00F431FC">
        <w:t>od 2 Mbit/s (včetně) do 10 Mbit/s</w:t>
      </w:r>
    </w:p>
    <w:p w14:paraId="66930417" w14:textId="77777777" w:rsidR="00E40091" w:rsidRDefault="00E40091" w:rsidP="00E40091">
      <w:pPr>
        <w:pStyle w:val="Odstavecseseznamem"/>
        <w:numPr>
          <w:ilvl w:val="0"/>
          <w:numId w:val="28"/>
        </w:numPr>
      </w:pPr>
      <w:r w:rsidRPr="00F431FC">
        <w:t>od 10 Mbit/s (včetně) do 30 Mbit/s</w:t>
      </w:r>
    </w:p>
    <w:p w14:paraId="538F014B" w14:textId="77777777" w:rsidR="00E40091" w:rsidRDefault="00E40091" w:rsidP="00E40091">
      <w:pPr>
        <w:pStyle w:val="Odstavecseseznamem"/>
        <w:numPr>
          <w:ilvl w:val="0"/>
          <w:numId w:val="28"/>
        </w:numPr>
      </w:pPr>
      <w:r w:rsidRPr="00F431FC">
        <w:t>od 30 Mbit/s (včetně) do 100 Mbit/s</w:t>
      </w:r>
    </w:p>
    <w:p w14:paraId="22126E0F" w14:textId="77777777" w:rsidR="00E40091" w:rsidRDefault="00E40091" w:rsidP="00E40091">
      <w:pPr>
        <w:pStyle w:val="Odstavecseseznamem"/>
        <w:numPr>
          <w:ilvl w:val="0"/>
          <w:numId w:val="28"/>
        </w:numPr>
      </w:pPr>
      <w:r w:rsidRPr="00F431FC">
        <w:t>od 100 Mbit/s (včetně) do 300 Mbit/s</w:t>
      </w:r>
    </w:p>
    <w:p w14:paraId="124B471F" w14:textId="77777777" w:rsidR="00E40091" w:rsidRDefault="00E40091" w:rsidP="00E40091">
      <w:pPr>
        <w:pStyle w:val="Odstavecseseznamem"/>
        <w:numPr>
          <w:ilvl w:val="0"/>
          <w:numId w:val="28"/>
        </w:numPr>
      </w:pPr>
      <w:r w:rsidRPr="00F431FC">
        <w:t>od 300 Mbit/s (včetně) do 1 Gbit/s</w:t>
      </w:r>
    </w:p>
    <w:p w14:paraId="5EC9B3B6" w14:textId="77777777" w:rsidR="00E40091" w:rsidRDefault="00E40091" w:rsidP="00E40091">
      <w:pPr>
        <w:pStyle w:val="Odstavecseseznamem"/>
        <w:numPr>
          <w:ilvl w:val="0"/>
          <w:numId w:val="28"/>
        </w:numPr>
      </w:pPr>
      <w:r w:rsidRPr="00F431FC">
        <w:t>od 1 Gbit/s (včetně)</w:t>
      </w:r>
    </w:p>
    <w:p w14:paraId="4AD3D7FC" w14:textId="5523D0AD" w:rsidR="00E40091" w:rsidRDefault="00E40091" w:rsidP="00E40091">
      <w:pPr>
        <w:jc w:val="both"/>
      </w:pPr>
      <w:r>
        <w:rPr>
          <w:u w:val="single"/>
        </w:rPr>
        <w:t>Efektivní rychlost</w:t>
      </w:r>
      <w:r w:rsidR="00CB7F1E">
        <w:rPr>
          <w:rStyle w:val="Znakapoznpodarou"/>
          <w:u w:val="single"/>
        </w:rPr>
        <w:footnoteReference w:id="4"/>
      </w:r>
      <w:r>
        <w:rPr>
          <w:u w:val="single"/>
        </w:rPr>
        <w:t>:</w:t>
      </w:r>
      <w:r w:rsidRPr="00E40091">
        <w:t xml:space="preserve"> </w:t>
      </w:r>
    </w:p>
    <w:p w14:paraId="1282D2B4" w14:textId="071956CF" w:rsidR="00E40091" w:rsidRDefault="00F67A4F" w:rsidP="00F67A4F">
      <w:pPr>
        <w:jc w:val="both"/>
      </w:pPr>
      <w:r>
        <w:t>Efektivní rychlost p</w:t>
      </w:r>
      <w:r w:rsidR="00E40091" w:rsidRPr="00F431FC">
        <w:t>opis</w:t>
      </w:r>
      <w:r w:rsidR="00E40091">
        <w:t>uje</w:t>
      </w:r>
      <w:r w:rsidR="00E40091" w:rsidRPr="00F431FC">
        <w:t xml:space="preserve"> skutečnou schopnost sítě</w:t>
      </w:r>
      <w:r w:rsidR="00E40091">
        <w:t>. Ne</w:t>
      </w:r>
      <w:r w:rsidR="00E40091" w:rsidRPr="00F431FC">
        <w:t>vztah</w:t>
      </w:r>
      <w:r w:rsidR="00E40091">
        <w:t>uje se</w:t>
      </w:r>
      <w:r w:rsidR="00E40091" w:rsidRPr="00F431FC">
        <w:t xml:space="preserve"> k žádné konkrétní maloobchodní službě </w:t>
      </w:r>
      <w:r w:rsidR="00E40091">
        <w:t>aktuálně poskytované/odebírané</w:t>
      </w:r>
      <w:r w:rsidR="00E40091" w:rsidRPr="00F431FC">
        <w:t xml:space="preserve"> na dané adrese</w:t>
      </w:r>
      <w:r w:rsidR="00E40091">
        <w:t>, ale k potenciálně nejkvalitnější službě dostupné prostřednictvím vykázané přípojky</w:t>
      </w:r>
      <w:r>
        <w:t>.</w:t>
      </w:r>
      <w:r w:rsidR="00542062">
        <w:t xml:space="preserve"> </w:t>
      </w:r>
      <w:r w:rsidR="00A439E2">
        <w:t xml:space="preserve">Odpovídá rychlosti, kterou může </w:t>
      </w:r>
      <w:r w:rsidR="00542062">
        <w:t>účastník – koncov</w:t>
      </w:r>
      <w:r w:rsidR="00A439E2">
        <w:t>ý</w:t>
      </w:r>
      <w:r w:rsidR="00542062">
        <w:t xml:space="preserve"> uživatel</w:t>
      </w:r>
      <w:r w:rsidR="00A439E2">
        <w:t xml:space="preserve"> na daném adresním místě očekávat</w:t>
      </w:r>
      <w:r w:rsidR="00542062">
        <w:t xml:space="preserve"> při využívání předmětné služby</w:t>
      </w:r>
      <w:r w:rsidR="008A7810">
        <w:t>, a to i v době provozní špičky</w:t>
      </w:r>
      <w:r w:rsidR="00542062">
        <w:t>.</w:t>
      </w:r>
    </w:p>
    <w:p w14:paraId="2D6B192F" w14:textId="77777777" w:rsidR="009B0A1A" w:rsidRDefault="002342B3" w:rsidP="002C0FFB">
      <w:pPr>
        <w:keepNext/>
        <w:jc w:val="both"/>
      </w:pPr>
      <w:r w:rsidRPr="002342B3">
        <w:rPr>
          <w:u w:val="single"/>
        </w:rPr>
        <w:lastRenderedPageBreak/>
        <w:t>Maximální dosažitelná rychlost</w:t>
      </w:r>
      <w:r w:rsidR="00CB7F1E">
        <w:rPr>
          <w:rStyle w:val="Znakapoznpodarou"/>
          <w:u w:val="single"/>
        </w:rPr>
        <w:footnoteReference w:id="5"/>
      </w:r>
      <w:r w:rsidRPr="002342B3">
        <w:rPr>
          <w:u w:val="single"/>
        </w:rPr>
        <w:t>:</w:t>
      </w:r>
      <w:r w:rsidRPr="002342B3">
        <w:t xml:space="preserve"> </w:t>
      </w:r>
    </w:p>
    <w:p w14:paraId="4A613379" w14:textId="21CE8379" w:rsidR="00E40091" w:rsidRPr="002342B3" w:rsidRDefault="009B0A1A" w:rsidP="00F67A4F">
      <w:pPr>
        <w:jc w:val="both"/>
        <w:rPr>
          <w:u w:val="single"/>
        </w:rPr>
      </w:pPr>
      <w:r>
        <w:t xml:space="preserve">Maximální dosažitelná rychlost je </w:t>
      </w:r>
      <w:r w:rsidR="002342B3" w:rsidRPr="002342B3">
        <w:t xml:space="preserve">rychlost, kterou by koncový uživatel mohl dosáhnout po určitou dobu (např. alespoň jednou za den) při používání </w:t>
      </w:r>
      <w:r w:rsidR="00C8402F">
        <w:t>potenciálně nejkvalitnější služb</w:t>
      </w:r>
      <w:r w:rsidR="00AC0A4E">
        <w:t>y</w:t>
      </w:r>
      <w:r w:rsidR="00C8402F">
        <w:t xml:space="preserve"> dostupné prostřednictvím vykázané přípojky</w:t>
      </w:r>
      <w:r w:rsidR="002342B3" w:rsidRPr="002342B3">
        <w:t>.</w:t>
      </w:r>
    </w:p>
    <w:p w14:paraId="6463E8B0" w14:textId="52218A36" w:rsidR="00F67A4F" w:rsidRPr="00F67A4F" w:rsidRDefault="00F67A4F" w:rsidP="00E40091">
      <w:pPr>
        <w:rPr>
          <w:u w:val="single"/>
        </w:rPr>
      </w:pPr>
      <w:r>
        <w:rPr>
          <w:u w:val="single"/>
        </w:rPr>
        <w:t>Vykazování m</w:t>
      </w:r>
      <w:r w:rsidRPr="00F67A4F">
        <w:rPr>
          <w:u w:val="single"/>
        </w:rPr>
        <w:t>aximální dosažiteln</w:t>
      </w:r>
      <w:r w:rsidR="00CB7F1E">
        <w:rPr>
          <w:u w:val="single"/>
        </w:rPr>
        <w:t>é</w:t>
      </w:r>
      <w:r w:rsidRPr="00F67A4F">
        <w:rPr>
          <w:u w:val="single"/>
        </w:rPr>
        <w:t xml:space="preserve"> a efektivní rychlost</w:t>
      </w:r>
      <w:r w:rsidR="00CB7F1E">
        <w:rPr>
          <w:u w:val="single"/>
        </w:rPr>
        <w:t>i</w:t>
      </w:r>
      <w:r>
        <w:rPr>
          <w:u w:val="single"/>
        </w:rPr>
        <w:t>:</w:t>
      </w:r>
    </w:p>
    <w:p w14:paraId="3B2E2E30" w14:textId="1928D5CF" w:rsidR="00F67A4F" w:rsidRPr="00F431FC" w:rsidRDefault="00F67A4F" w:rsidP="00F67A4F">
      <w:pPr>
        <w:jc w:val="both"/>
      </w:pPr>
      <w:r w:rsidRPr="00F431FC">
        <w:t>Co se provázanosti s vykázanou efektivní rychlostí týče</w:t>
      </w:r>
      <w:r w:rsidR="000B412C">
        <w:t xml:space="preserve">, rychlostní interval </w:t>
      </w:r>
      <w:r w:rsidRPr="00F431FC">
        <w:t>maximální dosažiteln</w:t>
      </w:r>
      <w:r w:rsidR="000B412C">
        <w:t>é</w:t>
      </w:r>
      <w:r w:rsidRPr="00F431FC">
        <w:t xml:space="preserve"> rychlost</w:t>
      </w:r>
      <w:r w:rsidR="000B412C">
        <w:t xml:space="preserve">i může být </w:t>
      </w:r>
      <w:r w:rsidRPr="00F431FC">
        <w:t>shodn</w:t>
      </w:r>
      <w:r w:rsidR="000B412C">
        <w:t>ý</w:t>
      </w:r>
      <w:r w:rsidRPr="00F431FC">
        <w:t xml:space="preserve"> (zejména v případě, kdy se hodnota efektivní rychlosti nachází ve „spodní části“ intervalu), </w:t>
      </w:r>
      <w:r w:rsidR="000B412C">
        <w:t>nebo</w:t>
      </w:r>
      <w:r w:rsidRPr="00F431FC">
        <w:t xml:space="preserve"> o jed</w:t>
      </w:r>
      <w:r w:rsidR="000B412C">
        <w:t>e</w:t>
      </w:r>
      <w:r w:rsidRPr="00F431FC">
        <w:t>n</w:t>
      </w:r>
      <w:r w:rsidR="000B412C">
        <w:t xml:space="preserve"> interval </w:t>
      </w:r>
      <w:r w:rsidRPr="00F431FC">
        <w:t>v</w:t>
      </w:r>
      <w:r w:rsidR="000B412C">
        <w:t>yšší</w:t>
      </w:r>
      <w:r w:rsidRPr="00F431FC">
        <w:t xml:space="preserve"> (zejména v případě, kdy se hodnota efektivní rychlosti nachází v „horní části“ intervalu). </w:t>
      </w:r>
    </w:p>
    <w:p w14:paraId="165F94B5" w14:textId="63E94A0F" w:rsidR="00F67A4F" w:rsidRPr="00F431FC" w:rsidRDefault="00F917D0" w:rsidP="00F67A4F">
      <w:pPr>
        <w:jc w:val="both"/>
      </w:pPr>
      <w:r w:rsidRPr="00F431FC">
        <w:t>Údaje o rychlosti je možné vyplnit automaticky s využitím příslušných funkčních tlačítek odvozen</w:t>
      </w:r>
      <w:r>
        <w:t>ím</w:t>
      </w:r>
      <w:r w:rsidRPr="00F431FC">
        <w:t xml:space="preserve"> z efektivní </w:t>
      </w:r>
      <w:r w:rsidRPr="00415463">
        <w:t>rychlosti nebo maximální</w:t>
      </w:r>
      <w:r>
        <w:t xml:space="preserve"> dosažitelné rychlosti</w:t>
      </w:r>
      <w:r w:rsidR="00176F86">
        <w:t xml:space="preserve"> (k dispozici jsou tlačítka pro odvození stejného nebo o 1 interval vyššího intervalu</w:t>
      </w:r>
      <w:r w:rsidR="002C0FFB">
        <w:t xml:space="preserve"> viz odstavec výše</w:t>
      </w:r>
      <w:r w:rsidR="00176F86">
        <w:t>)</w:t>
      </w:r>
      <w:r w:rsidRPr="00F431FC">
        <w:t xml:space="preserve">. </w:t>
      </w:r>
      <w:r w:rsidR="00F67A4F" w:rsidRPr="00F431FC">
        <w:t xml:space="preserve"> </w:t>
      </w:r>
      <w:r w:rsidR="000B68A0">
        <w:t>Pro odvození musí být vždy vyplněna j</w:t>
      </w:r>
      <w:r w:rsidR="008A7810">
        <w:t xml:space="preserve">edna rychlost </w:t>
      </w:r>
      <w:r w:rsidR="00415463">
        <w:t>pro download a jedna pro upload</w:t>
      </w:r>
      <w:r w:rsidR="008A7810">
        <w:t>.</w:t>
      </w:r>
    </w:p>
    <w:p w14:paraId="6BD8A6AA" w14:textId="1A39B198" w:rsidR="00F67A4F" w:rsidRPr="00F431FC" w:rsidRDefault="00F67A4F" w:rsidP="00F67A4F">
      <w:pPr>
        <w:jc w:val="both"/>
      </w:pPr>
      <w:r w:rsidRPr="00A11990">
        <w:t>Příslušná funkční tlačítka umožní na úrovni jednotlivých záznamů automatické načtení odvozených rychlostních intervalů. Toto automatické doplnění je umožněno pouze v případě, kdy údaje o rychlosti nebyly dosud vyplněny, tj. k doplnění dojde pouze do příslušných prázdných polí a nedojde tak k přepsání již zadaných nebo dříve automaticky načtených údajů. V případě potřeby je umožněna následná „ruční“ korekce automaticky doplněných údajů.</w:t>
      </w:r>
      <w:r w:rsidRPr="00F431FC">
        <w:t xml:space="preserve"> </w:t>
      </w:r>
    </w:p>
    <w:p w14:paraId="6BA88A02" w14:textId="64552025" w:rsidR="00E40091" w:rsidRDefault="007A38C7" w:rsidP="00415463">
      <w:pPr>
        <w:jc w:val="both"/>
      </w:pPr>
      <w:r>
        <w:t xml:space="preserve">V případě, že na adresním místě (lze i v celé příloze) bude vyplněna jen jedna varianta rychlosti pro download a pro upload (maximální dosažitelná nebo efektivní), </w:t>
      </w:r>
      <w:r w:rsidR="00F67A4F">
        <w:t xml:space="preserve">dojde před odevzdáním formuláře k automatickému doplnění </w:t>
      </w:r>
      <w:r w:rsidR="003A2C2A">
        <w:t xml:space="preserve">nevyplněných </w:t>
      </w:r>
      <w:r w:rsidR="00F67A4F">
        <w:t xml:space="preserve">hodnot odvozením </w:t>
      </w:r>
      <w:r w:rsidR="003A2C2A">
        <w:t xml:space="preserve">stejného rychlostního intervalu </w:t>
      </w:r>
      <w:r w:rsidR="00F67A4F">
        <w:t>z vyplněných intervalů rychlosti.</w:t>
      </w:r>
    </w:p>
    <w:p w14:paraId="45B568DA" w14:textId="708F7058" w:rsidR="00F67A4F" w:rsidRDefault="00F67A4F" w:rsidP="00F67A4F">
      <w:pPr>
        <w:rPr>
          <w:u w:val="single"/>
        </w:rPr>
      </w:pPr>
      <w:r w:rsidRPr="00F67A4F">
        <w:rPr>
          <w:u w:val="single"/>
        </w:rPr>
        <w:t>Zásady pro vykazování rychlostí:</w:t>
      </w:r>
    </w:p>
    <w:p w14:paraId="3EBA1F3D" w14:textId="07CAFBE4" w:rsidR="00F67A4F" w:rsidRPr="00A63646" w:rsidRDefault="00F67A4F" w:rsidP="00F67A4F">
      <w:pPr>
        <w:pStyle w:val="Odstavecseseznamem"/>
        <w:numPr>
          <w:ilvl w:val="0"/>
          <w:numId w:val="29"/>
        </w:numPr>
        <w:jc w:val="both"/>
      </w:pPr>
      <w:r w:rsidRPr="00A63646">
        <w:t xml:space="preserve">povinná osoba při uvádění pokrytých adresních míst a jednotlivých rychlostních </w:t>
      </w:r>
      <w:r w:rsidR="00C37352" w:rsidRPr="00A63646">
        <w:t xml:space="preserve">intervalů </w:t>
      </w:r>
      <w:r w:rsidRPr="00A63646">
        <w:t xml:space="preserve">zohlední nejen </w:t>
      </w:r>
      <w:r w:rsidR="00A2787B" w:rsidRPr="00A63646">
        <w:t>reálné kapacitní možnosti</w:t>
      </w:r>
      <w:r w:rsidRPr="00A63646">
        <w:t xml:space="preserve"> přístupové (účastnické) části sítě</w:t>
      </w:r>
      <w:r w:rsidR="00A2787B" w:rsidRPr="00A63646">
        <w:t xml:space="preserve"> a posledního přístupového bodu</w:t>
      </w:r>
      <w:r w:rsidRPr="00A63646">
        <w:t>, ale i jí dostupnou kapacitu v navazující části sítě (části přípojné nebo distribuční sítě v dané lokalitě) tak, aby byla schopna na vykázaných pokrytých adresních místech poskytovat službu dané kvality (o vykázaných rychlostech) – v případě efektivní rychlosti to platí i pro dobu provozní špičky</w:t>
      </w:r>
    </w:p>
    <w:p w14:paraId="19B9F25F" w14:textId="112E1686" w:rsidR="00F67A4F" w:rsidRDefault="00F67A4F" w:rsidP="00F67A4F">
      <w:pPr>
        <w:pStyle w:val="Odstavecseseznamem"/>
        <w:numPr>
          <w:ilvl w:val="0"/>
          <w:numId w:val="29"/>
        </w:numPr>
        <w:jc w:val="both"/>
      </w:pPr>
      <w:r>
        <w:t>v</w:t>
      </w:r>
      <w:r w:rsidRPr="00F431FC">
        <w:t xml:space="preserve">yhodnocení potenciálu poskytnout uvedenou službu </w:t>
      </w:r>
      <w:r w:rsidR="00C37352">
        <w:t xml:space="preserve">vykázaného rychlostního intervalu </w:t>
      </w:r>
      <w:r>
        <w:t>na daném adresním místě</w:t>
      </w:r>
      <w:r w:rsidRPr="00F431FC">
        <w:t xml:space="preserve"> je plně na zodpovědnosti povinné osoby vyplňující formulář. Jen ta při vyplňování může zvážit, kolik </w:t>
      </w:r>
      <w:r>
        <w:t>adresních míst je schopna v dané lokalitě pokrýt a s jakými parametry disponibilních přípojek</w:t>
      </w:r>
    </w:p>
    <w:p w14:paraId="2D3560E0" w14:textId="70F276FC" w:rsidR="009500C6" w:rsidRDefault="009500C6" w:rsidP="009500C6">
      <w:pPr>
        <w:pStyle w:val="Odstavecseseznamem"/>
        <w:numPr>
          <w:ilvl w:val="0"/>
          <w:numId w:val="29"/>
        </w:numPr>
        <w:jc w:val="both"/>
      </w:pPr>
      <w:r w:rsidRPr="00F431FC">
        <w:t xml:space="preserve">povinná osoba </w:t>
      </w:r>
      <w:r>
        <w:t xml:space="preserve">musí </w:t>
      </w:r>
      <w:r w:rsidRPr="00F431FC">
        <w:t xml:space="preserve">vzít v úvahu i aspekt agregace (sdružování toků). </w:t>
      </w:r>
      <w:r w:rsidRPr="009500C6">
        <w:t>Je nutné, aby vykázaná pokrytá adresní místa disponibilní přípojkou v příslušných rychlostních kategoriích odpovídal</w:t>
      </w:r>
      <w:r>
        <w:t>a</w:t>
      </w:r>
      <w:r w:rsidRPr="009500C6">
        <w:t xml:space="preserve"> kapacitě sdíleného segmentu a aktivních síťových prvků</w:t>
      </w:r>
    </w:p>
    <w:p w14:paraId="77FDDCBD" w14:textId="5F129201" w:rsidR="009500C6" w:rsidRPr="00F431FC" w:rsidRDefault="009500C6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"/>
        <w:jc w:val="both"/>
      </w:pPr>
      <w:r w:rsidRPr="009500C6">
        <w:rPr>
          <w:b/>
          <w:bCs/>
        </w:rPr>
        <w:t>Agregace</w:t>
      </w:r>
      <w:r w:rsidRPr="00F431FC">
        <w:t xml:space="preserve"> je nutným procesem při postupném slučování toků od jednotlivých uživatelů směrem k páteřní síti a dále do internetu. Agregace je spojena s koncentrací provozu, která je nutná pro ekonomicky efektivní výstavbu a provozování sítí. Může tedy být určitým „úzkým hrdlem“ pro dosažitelné rychlosti v koncovém bodě sítě. S ohledem na charakter služeb musí být nastaven tzv. agregační poměr (koncentrační poměr). Jeho výše je závislá na: charakteru toků (tedy např. zda jsou </w:t>
      </w:r>
      <w:r w:rsidRPr="00F431FC">
        <w:lastRenderedPageBreak/>
        <w:t>uživateli poskytovány služby televizního a rozhlasového vysílání), celkovém objemu přenášených dat, charakteru provozu (řada služeb generuje poloduplexní toky apod.), aktivitě uživatelů (např. webové služby generují krátké dávky dat s dlouhými pauzami, kdy si uživatel prohlíží obsah), přítomnosti uživatele v domácnosti (při nepřítomnosti uživatele je komunikace nižší, např. udržování spojení speciálních M2M aplikací, stahování na pozadí apod.), počtu zdrojů dat (větší počet zdrojů dat připouští vyšší agregační poměr) a na tom, zda se jedná o dávkový režim</w:t>
      </w:r>
      <w:r w:rsidR="00461A9B">
        <w:t>,</w:t>
      </w:r>
      <w:r w:rsidRPr="00F431FC">
        <w:t xml:space="preserve"> či kontinuální tok.</w:t>
      </w:r>
      <w:r w:rsidR="00C37352">
        <w:t xml:space="preserve"> </w:t>
      </w:r>
    </w:p>
    <w:p w14:paraId="46D11127" w14:textId="1E21FABF" w:rsidR="002F1462" w:rsidRPr="00797604" w:rsidRDefault="00415463" w:rsidP="00797604">
      <w:pPr>
        <w:pStyle w:val="Odstavecseseznamem"/>
        <w:ind w:left="0"/>
        <w:jc w:val="both"/>
      </w:pPr>
      <w:r w:rsidRPr="00797604">
        <w:t>Úřad může správnost vykázaných rychlostí podrobit kontrole, v takovém případě se bude řídit zejména metodickými pokyny uvedenými v úvodu tohoto dokumentu.</w:t>
      </w:r>
    </w:p>
    <w:p w14:paraId="2E382A80" w14:textId="189D349A" w:rsidR="009A580D" w:rsidRPr="00415463" w:rsidRDefault="009A580D" w:rsidP="00415463">
      <w:pPr>
        <w:rPr>
          <w:u w:val="single"/>
        </w:rPr>
      </w:pPr>
      <w:r w:rsidRPr="00415463">
        <w:rPr>
          <w:u w:val="single"/>
        </w:rPr>
        <w:t>Standard DOCSIS 3.1 (pouze u sítí kabelové televize)</w:t>
      </w:r>
    </w:p>
    <w:p w14:paraId="3BC34A31" w14:textId="02BE864E" w:rsidR="009A580D" w:rsidRPr="00F431FC" w:rsidRDefault="009A580D" w:rsidP="009A580D">
      <w:pPr>
        <w:jc w:val="both"/>
      </w:pPr>
      <w:r w:rsidRPr="00F431FC">
        <w:t xml:space="preserve">V případě, že na daném adresním místě je </w:t>
      </w:r>
      <w:r>
        <w:t xml:space="preserve">infrastruktura </w:t>
      </w:r>
      <w:r w:rsidRPr="00F431FC">
        <w:t xml:space="preserve">provozovaná </w:t>
      </w:r>
      <w:r>
        <w:t xml:space="preserve">s využitím </w:t>
      </w:r>
      <w:r w:rsidRPr="00F431FC">
        <w:t>standardu DOCSIS 3.1 a vyššího, vyplňuje se u daného záznamu "ANO".</w:t>
      </w:r>
    </w:p>
    <w:p w14:paraId="5D8BCF6C" w14:textId="77777777" w:rsidR="006A1886" w:rsidRDefault="006A1886" w:rsidP="006A1886">
      <w:pPr>
        <w:rPr>
          <w:b/>
          <w:bCs/>
        </w:rPr>
      </w:pPr>
    </w:p>
    <w:p w14:paraId="57A13C4C" w14:textId="11ECD81C" w:rsidR="00BF5C4C" w:rsidRPr="006A1886" w:rsidRDefault="00C37352" w:rsidP="006A1886">
      <w:pPr>
        <w:pStyle w:val="Odstavecseseznamem"/>
        <w:numPr>
          <w:ilvl w:val="0"/>
          <w:numId w:val="8"/>
        </w:numPr>
        <w:ind w:left="360"/>
        <w:rPr>
          <w:b/>
          <w:bCs/>
        </w:rPr>
      </w:pPr>
      <w:r w:rsidRPr="00A63646">
        <w:rPr>
          <w:b/>
          <w:bCs/>
          <w:caps/>
        </w:rPr>
        <w:t>T</w:t>
      </w:r>
      <w:r w:rsidR="00BF5C4C" w:rsidRPr="00A63646">
        <w:rPr>
          <w:b/>
          <w:bCs/>
          <w:caps/>
        </w:rPr>
        <w:t>říd</w:t>
      </w:r>
      <w:r w:rsidRPr="00A63646">
        <w:rPr>
          <w:b/>
          <w:bCs/>
          <w:caps/>
        </w:rPr>
        <w:t>a</w:t>
      </w:r>
      <w:r w:rsidR="006A1886">
        <w:rPr>
          <w:b/>
          <w:bCs/>
        </w:rPr>
        <w:t xml:space="preserve"> </w:t>
      </w:r>
      <w:r w:rsidR="00CB5ACD">
        <w:rPr>
          <w:b/>
          <w:bCs/>
        </w:rPr>
        <w:t xml:space="preserve">SÍTĚ </w:t>
      </w:r>
      <w:r w:rsidR="006A1886" w:rsidRPr="006A1886">
        <w:rPr>
          <w:b/>
          <w:bCs/>
        </w:rPr>
        <w:t>VHCN</w:t>
      </w:r>
    </w:p>
    <w:p w14:paraId="614CDF62" w14:textId="66781644" w:rsidR="00D652C1" w:rsidRPr="009500C6" w:rsidRDefault="00D652C1" w:rsidP="00D6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F431FC">
        <w:t xml:space="preserve">Definice a parametry pro </w:t>
      </w:r>
      <w:r w:rsidRPr="00F431FC">
        <w:rPr>
          <w:b/>
          <w:bCs/>
        </w:rPr>
        <w:t>sítě s velmi vysokou kapacitou (VHCN)</w:t>
      </w:r>
      <w:r w:rsidRPr="00F431FC">
        <w:t xml:space="preserve"> vycházejí ze </w:t>
      </w:r>
      <w:hyperlink r:id="rId14" w:history="1">
        <w:r w:rsidRPr="00F431FC">
          <w:rPr>
            <w:rStyle w:val="Hypertextovodkaz"/>
          </w:rPr>
          <w:t>Směrnice</w:t>
        </w:r>
      </w:hyperlink>
      <w:r w:rsidRPr="00F431FC">
        <w:t xml:space="preserve"> Evropského parlamentu a Rady (EU) 2018/1972 ze dne 11. prosince 2018, kterou se stanoví evropský kodex pro elektronické komunikace (čl. 2/2 a recitál 13)</w:t>
      </w:r>
      <w:r w:rsidR="00461A9B">
        <w:t>,</w:t>
      </w:r>
      <w:r w:rsidRPr="00F431FC">
        <w:t xml:space="preserve"> a ze souvisejících Pokynů VHCN. Připojení prostřednictvím VHCN sítí se v kontextu uvedených dokumentů člení na pevné a bezdrátové, přičemž pevným připojením se ve vztahu k VHCN rozumí připojení prostřednictvím sítí, které pro přenos dat využívají kovová (</w:t>
      </w:r>
      <w:r w:rsidRPr="00F431FC">
        <w:rPr>
          <w:rFonts w:cs="Calibri"/>
        </w:rPr>
        <w:t>včetně koaxiálních)</w:t>
      </w:r>
      <w:r w:rsidRPr="00F431FC">
        <w:t xml:space="preserve"> nebo optická přenosová média. </w:t>
      </w:r>
    </w:p>
    <w:p w14:paraId="02E7CBDB" w14:textId="6AB5FA28" w:rsidR="00C11D74" w:rsidRDefault="00C11D74" w:rsidP="00D6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Obecnou definici doplňují Pokyny VHCN, které určují jednotlivé třídy takto: </w:t>
      </w:r>
    </w:p>
    <w:p w14:paraId="7E11413C" w14:textId="477231A8" w:rsidR="00BB30C0" w:rsidRDefault="00D652C1" w:rsidP="00D6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431FC">
        <w:t xml:space="preserve">Sítí VHCN je v případě pevného připojení (FTTH/B, xDSL, CATV): </w:t>
      </w:r>
    </w:p>
    <w:p w14:paraId="6AAF1E8B" w14:textId="77777777" w:rsidR="00BB30C0" w:rsidRDefault="00D652C1" w:rsidP="00D6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431FC">
        <w:t xml:space="preserve">a) síť sestávající plně z optických vláken až do budovy (třída VHCN 1), </w:t>
      </w:r>
      <w:r w:rsidRPr="00AC0A4E">
        <w:rPr>
          <w:b/>
          <w:bCs/>
        </w:rPr>
        <w:t>nebo</w:t>
      </w:r>
      <w:r w:rsidRPr="00F431FC">
        <w:t xml:space="preserve"> </w:t>
      </w:r>
    </w:p>
    <w:p w14:paraId="0AC046E7" w14:textId="77777777" w:rsidR="008B3548" w:rsidRDefault="00D652C1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431FC">
        <w:t>b) jiná pevná síť umožňující na koncovém bodu sítě zajistit</w:t>
      </w:r>
      <w:r w:rsidR="008B3548">
        <w:t>:</w:t>
      </w:r>
    </w:p>
    <w:p w14:paraId="3C9ADE82" w14:textId="6820067F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>–</w:t>
      </w:r>
      <w:r w:rsidR="00D652C1" w:rsidRPr="00F431FC">
        <w:t xml:space="preserve"> </w:t>
      </w:r>
      <w:bookmarkStart w:id="7" w:name="_Hlk53737930"/>
      <w:r w:rsidR="00D652C1" w:rsidRPr="00F431FC">
        <w:t>„downlink data rate</w:t>
      </w:r>
      <w:r w:rsidR="00D652C1" w:rsidRPr="00F431FC">
        <w:rPr>
          <w:i/>
          <w:iCs/>
        </w:rPr>
        <w:t>“</w:t>
      </w:r>
      <w:r w:rsidR="00D652C1" w:rsidRPr="00F431FC">
        <w:t xml:space="preserve"> </w:t>
      </w:r>
      <w:bookmarkEnd w:id="7"/>
      <w:r w:rsidR="005D5EF7">
        <w:tab/>
      </w:r>
      <w:r w:rsidR="005D5EF7">
        <w:tab/>
      </w:r>
      <w:r w:rsidR="00D652C1" w:rsidRPr="00F431FC">
        <w:rPr>
          <w:rFonts w:cs="Calibri"/>
        </w:rPr>
        <w:t>≥</w:t>
      </w:r>
      <w:r w:rsidR="00D652C1" w:rsidRPr="00F431FC">
        <w:t xml:space="preserve"> 1 000 Mbit/s</w:t>
      </w:r>
    </w:p>
    <w:p w14:paraId="1F7730E9" w14:textId="2FA62E53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>–</w:t>
      </w:r>
      <w:r w:rsidR="00D652C1" w:rsidRPr="00F431FC">
        <w:t xml:space="preserve"> „uplink data rate</w:t>
      </w:r>
      <w:r w:rsidR="00D652C1" w:rsidRPr="00F431FC">
        <w:rPr>
          <w:i/>
          <w:iCs/>
        </w:rPr>
        <w:t>“</w:t>
      </w:r>
      <w:r w:rsidR="00D652C1" w:rsidRPr="00F431FC">
        <w:t xml:space="preserve"> </w:t>
      </w:r>
      <w:r w:rsidR="005D5EF7">
        <w:tab/>
      </w:r>
      <w:r w:rsidR="005D5EF7">
        <w:tab/>
      </w:r>
      <w:r w:rsidR="00D652C1" w:rsidRPr="00F431FC">
        <w:rPr>
          <w:rFonts w:cs="Calibri"/>
        </w:rPr>
        <w:t>≥</w:t>
      </w:r>
      <w:r w:rsidR="00D652C1" w:rsidRPr="00F431FC">
        <w:t xml:space="preserve"> 200 Mbit/s</w:t>
      </w:r>
    </w:p>
    <w:p w14:paraId="4F331F9D" w14:textId="154BE71E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>–</w:t>
      </w:r>
      <w:r w:rsidR="00D652C1" w:rsidRPr="00F431FC">
        <w:t xml:space="preserve"> chybovost paketů </w:t>
      </w:r>
      <w:r w:rsidR="005D5EF7">
        <w:tab/>
      </w:r>
      <w:r w:rsidR="005D5EF7">
        <w:tab/>
      </w:r>
      <w:r w:rsidR="00D652C1" w:rsidRPr="00F431FC">
        <w:t xml:space="preserve">max. 0,05 % </w:t>
      </w:r>
    </w:p>
    <w:p w14:paraId="04D0DA98" w14:textId="1BEE2FE2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 xml:space="preserve">– </w:t>
      </w:r>
      <w:r w:rsidR="00D652C1" w:rsidRPr="00F431FC">
        <w:t xml:space="preserve">ztrátovost paketů </w:t>
      </w:r>
      <w:r w:rsidR="005D5EF7">
        <w:tab/>
      </w:r>
      <w:r w:rsidR="005D5EF7">
        <w:tab/>
      </w:r>
      <w:r w:rsidR="00D652C1" w:rsidRPr="00F431FC">
        <w:t xml:space="preserve">max. 0,0025 % </w:t>
      </w:r>
    </w:p>
    <w:p w14:paraId="42C7035A" w14:textId="1BAFBD9B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 xml:space="preserve">– </w:t>
      </w:r>
      <w:r w:rsidR="00D652C1" w:rsidRPr="00F431FC">
        <w:t xml:space="preserve">obousměrné zpoždění IP paketů </w:t>
      </w:r>
      <w:r w:rsidR="005D5EF7">
        <w:tab/>
      </w:r>
      <w:r w:rsidR="00D652C1" w:rsidRPr="00F431FC">
        <w:t xml:space="preserve">max. 10 ms </w:t>
      </w:r>
    </w:p>
    <w:p w14:paraId="3BB88A06" w14:textId="4009A83E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 xml:space="preserve">– </w:t>
      </w:r>
      <w:r w:rsidR="00D652C1" w:rsidRPr="00F431FC">
        <w:t xml:space="preserve">kolísání zpoždění </w:t>
      </w:r>
      <w:r w:rsidR="005D5EF7">
        <w:tab/>
      </w:r>
      <w:r w:rsidR="005D5EF7">
        <w:tab/>
      </w:r>
      <w:r w:rsidR="00D652C1" w:rsidRPr="00F431FC">
        <w:t>max. 2 ms</w:t>
      </w:r>
    </w:p>
    <w:p w14:paraId="5D22AD8F" w14:textId="4D88308F" w:rsidR="00D652C1" w:rsidRPr="00F431FC" w:rsidRDefault="008B3548" w:rsidP="00E44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>
        <w:t>–</w:t>
      </w:r>
      <w:r w:rsidR="00D652C1" w:rsidRPr="00F431FC">
        <w:t xml:space="preserve"> dostupnost služby </w:t>
      </w:r>
      <w:r w:rsidR="005D5EF7">
        <w:tab/>
      </w:r>
      <w:r w:rsidR="005D5EF7">
        <w:tab/>
      </w:r>
      <w:r w:rsidR="00D652C1" w:rsidRPr="00F431FC">
        <w:t>min. 99,9 % za rok (třída VHCN 3)</w:t>
      </w:r>
    </w:p>
    <w:p w14:paraId="696EC3A1" w14:textId="77777777" w:rsidR="00BB30C0" w:rsidRDefault="00D652C1" w:rsidP="00D6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431FC">
        <w:t xml:space="preserve">Sítí VHCN je v případě bezdrátového připojení (bezdrátový přístup v licencovaných pásmech a bezdrátový přístup ve volných pásmech): </w:t>
      </w:r>
    </w:p>
    <w:p w14:paraId="03C564D3" w14:textId="6AF32A85" w:rsidR="00BB30C0" w:rsidRDefault="00D652C1" w:rsidP="00D6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431FC">
        <w:t>a) síť sestávající plně z optických vláken až k základnové stanici (či obdobnému bezdrátovému přístupovému bodu (AP)</w:t>
      </w:r>
      <w:r w:rsidRPr="00F431FC">
        <w:rPr>
          <w:rStyle w:val="Znakapoznpodarou"/>
        </w:rPr>
        <w:footnoteReference w:id="6"/>
      </w:r>
      <w:r w:rsidRPr="00F431FC">
        <w:t xml:space="preserve">, tzn. bodu s aktivním komunikačním zařízením pro </w:t>
      </w:r>
      <w:r w:rsidRPr="00DE3F14">
        <w:t>vysílání, přenos a</w:t>
      </w:r>
      <w:r w:rsidR="00E354A6">
        <w:t> </w:t>
      </w:r>
      <w:r w:rsidRPr="00DE3F14">
        <w:t xml:space="preserve">směrování provozu ke a od koncového uživatele (třída VHCN 2)), </w:t>
      </w:r>
      <w:r w:rsidRPr="00AC0A4E">
        <w:rPr>
          <w:b/>
          <w:bCs/>
        </w:rPr>
        <w:t>nebo</w:t>
      </w:r>
      <w:r w:rsidRPr="00DE3F14">
        <w:t xml:space="preserve"> </w:t>
      </w:r>
    </w:p>
    <w:p w14:paraId="7D4BB878" w14:textId="77777777" w:rsidR="008B3548" w:rsidRDefault="00D652C1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E3F14">
        <w:t>b) jiná bezdrátová síť umožňující na koncovém bodu sítě zajistit</w:t>
      </w:r>
      <w:r w:rsidR="008B3548">
        <w:t>:</w:t>
      </w:r>
    </w:p>
    <w:p w14:paraId="6D265AE2" w14:textId="7CBBB636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>–</w:t>
      </w:r>
      <w:r w:rsidR="00D652C1" w:rsidRPr="00DE3F14">
        <w:t xml:space="preserve"> </w:t>
      </w:r>
      <w:r w:rsidR="00D652C1" w:rsidRPr="00DE3F14">
        <w:rPr>
          <w:i/>
          <w:iCs/>
        </w:rPr>
        <w:t>„</w:t>
      </w:r>
      <w:r w:rsidR="00D652C1" w:rsidRPr="00DE3F14">
        <w:t>downlink data rate</w:t>
      </w:r>
      <w:r w:rsidR="00D652C1" w:rsidRPr="00DE3F14">
        <w:rPr>
          <w:i/>
          <w:iCs/>
        </w:rPr>
        <w:t>“</w:t>
      </w:r>
      <w:r w:rsidR="00D652C1" w:rsidRPr="00DE3F14">
        <w:t xml:space="preserve"> </w:t>
      </w:r>
      <w:r w:rsidR="002C0FFB">
        <w:tab/>
      </w:r>
      <w:r w:rsidR="005D5EF7">
        <w:tab/>
      </w:r>
      <w:r w:rsidR="00D652C1" w:rsidRPr="00DE3F14">
        <w:rPr>
          <w:rFonts w:cs="Calibri"/>
        </w:rPr>
        <w:t>≥ 3</w:t>
      </w:r>
      <w:r w:rsidR="00D652C1" w:rsidRPr="00DE3F14">
        <w:t xml:space="preserve">50 Mbit/s </w:t>
      </w:r>
    </w:p>
    <w:p w14:paraId="18378E53" w14:textId="484A34C5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 xml:space="preserve">– </w:t>
      </w:r>
      <w:r w:rsidR="00D652C1" w:rsidRPr="00DE3F14">
        <w:t>„uplink data rate</w:t>
      </w:r>
      <w:r w:rsidR="00D652C1" w:rsidRPr="00DE3F14">
        <w:rPr>
          <w:i/>
          <w:iCs/>
        </w:rPr>
        <w:t>“</w:t>
      </w:r>
      <w:r w:rsidR="00D652C1" w:rsidRPr="00DE3F14">
        <w:t xml:space="preserve"> </w:t>
      </w:r>
      <w:r w:rsidR="002C0FFB">
        <w:tab/>
      </w:r>
      <w:r w:rsidR="005D5EF7">
        <w:tab/>
      </w:r>
      <w:r w:rsidR="00D652C1" w:rsidRPr="00DE3F14">
        <w:rPr>
          <w:rFonts w:cs="Calibri"/>
        </w:rPr>
        <w:t xml:space="preserve">≥ </w:t>
      </w:r>
      <w:r w:rsidR="00D652C1" w:rsidRPr="00DE3F14">
        <w:t xml:space="preserve">50 Mbit/s </w:t>
      </w:r>
    </w:p>
    <w:p w14:paraId="0622CD56" w14:textId="61D74CD8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lastRenderedPageBreak/>
        <w:t xml:space="preserve">– </w:t>
      </w:r>
      <w:r w:rsidR="00D652C1" w:rsidRPr="00DE3F14">
        <w:t xml:space="preserve">chybovost paketů </w:t>
      </w:r>
      <w:r w:rsidR="002C0FFB">
        <w:tab/>
      </w:r>
      <w:r w:rsidR="005D5EF7">
        <w:tab/>
      </w:r>
      <w:r w:rsidR="00D652C1" w:rsidRPr="00DE3F14">
        <w:t xml:space="preserve">max. 0,01 % </w:t>
      </w:r>
    </w:p>
    <w:p w14:paraId="1FCB885E" w14:textId="1BABEE29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 xml:space="preserve">– </w:t>
      </w:r>
      <w:r w:rsidR="00D652C1" w:rsidRPr="00DE3F14">
        <w:t xml:space="preserve">ztrátovost paketů </w:t>
      </w:r>
      <w:r w:rsidR="002C0FFB">
        <w:tab/>
      </w:r>
      <w:r w:rsidR="005D5EF7">
        <w:tab/>
      </w:r>
      <w:r w:rsidR="00D652C1" w:rsidRPr="00DE3F14">
        <w:t xml:space="preserve">max. 0,01 % </w:t>
      </w:r>
    </w:p>
    <w:p w14:paraId="2BC0AF5E" w14:textId="2DDC5FC1" w:rsidR="008B3548" w:rsidRDefault="008B3548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 xml:space="preserve">– </w:t>
      </w:r>
      <w:r w:rsidR="00D652C1" w:rsidRPr="00DE3F14">
        <w:t xml:space="preserve">obousměrné zpoždění IP paketů </w:t>
      </w:r>
      <w:r w:rsidR="005D5EF7">
        <w:tab/>
      </w:r>
      <w:r w:rsidR="00D652C1" w:rsidRPr="00DE3F14">
        <w:t xml:space="preserve">max. 18 ms </w:t>
      </w:r>
    </w:p>
    <w:p w14:paraId="592A84F8" w14:textId="7A52462D" w:rsidR="00E445FA" w:rsidRDefault="00E445FA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</w:pPr>
      <w:r>
        <w:t xml:space="preserve">– </w:t>
      </w:r>
      <w:r w:rsidR="00D652C1" w:rsidRPr="00DE3F14">
        <w:t xml:space="preserve">kolísání zpoždění </w:t>
      </w:r>
      <w:r w:rsidR="005D5EF7">
        <w:tab/>
      </w:r>
      <w:r w:rsidR="005D5EF7">
        <w:tab/>
      </w:r>
      <w:r w:rsidR="00D652C1" w:rsidRPr="00DE3F14">
        <w:t>max. 5 ms</w:t>
      </w:r>
    </w:p>
    <w:p w14:paraId="0F141300" w14:textId="415B2F19" w:rsidR="00E445FA" w:rsidRDefault="00E445FA" w:rsidP="002C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>
        <w:t>–</w:t>
      </w:r>
      <w:r w:rsidR="00D652C1" w:rsidRPr="00DE3F14">
        <w:t xml:space="preserve"> dostupnost služby </w:t>
      </w:r>
      <w:r w:rsidR="005D5EF7">
        <w:tab/>
      </w:r>
      <w:r w:rsidR="005D5EF7">
        <w:tab/>
      </w:r>
      <w:r w:rsidR="00D652C1" w:rsidRPr="00DE3F14">
        <w:t xml:space="preserve">min. 99,9 % za rok (třída VHCN 4) </w:t>
      </w:r>
    </w:p>
    <w:p w14:paraId="16692390" w14:textId="68F80CE8" w:rsidR="00D652C1" w:rsidRDefault="00D652C1" w:rsidP="00D6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3F14">
        <w:t>Pokud bezdrátové připojení splňuje „přísnější“ kritéria třídy VHCN 3, primárně určená pro služby pevného (kabelového) připojení (kovová a optická přenosová média), vykazuje se taková síť za „pevnou</w:t>
      </w:r>
      <w:r w:rsidRPr="00F431FC">
        <w:t xml:space="preserve"> VHCN“ třídy VHCN 3.</w:t>
      </w:r>
    </w:p>
    <w:p w14:paraId="5A861245" w14:textId="09F7E173" w:rsidR="00D652C1" w:rsidRDefault="00D652C1" w:rsidP="00D6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652C1">
        <w:rPr>
          <w:u w:val="single"/>
        </w:rPr>
        <w:t>Pozn.:</w:t>
      </w:r>
      <w:r w:rsidRPr="00D652C1">
        <w:t xml:space="preserve"> Pojmy downlink a uplink data rate představují parametry sítě ve smyslu rychlosti přenosu dat pro downlink a uplink, resp. vyjádření dostupné šířky pásma dané přípojky</w:t>
      </w:r>
      <w:r w:rsidR="00C11D74">
        <w:t>. P</w:t>
      </w:r>
      <w:r w:rsidRPr="00D652C1">
        <w:t>ři vyhodnocování parametru VHCN se využívá jiná rychlost než při vykazování dat</w:t>
      </w:r>
      <w:r w:rsidR="00C11D74">
        <w:t xml:space="preserve"> v rámci zeměpisného mapování podle Pokynů k mapování</w:t>
      </w:r>
      <w:r w:rsidRPr="00D652C1">
        <w:t xml:space="preserve">, kde se pracuje s rychlostí download a upload. </w:t>
      </w:r>
      <w:r w:rsidR="00C11D74">
        <w:t xml:space="preserve">Pro určení příslušné třídy dané výkonnostními parametry (třída 3 a 4) je rozhodující potenciální schopnost sítě </w:t>
      </w:r>
      <w:r w:rsidRPr="00D652C1">
        <w:t xml:space="preserve">poskytovat </w:t>
      </w:r>
      <w:r w:rsidR="00C11D74">
        <w:t xml:space="preserve">v koncovém bodě </w:t>
      </w:r>
      <w:r w:rsidRPr="00D652C1">
        <w:t xml:space="preserve">službu o příslušných </w:t>
      </w:r>
      <w:r w:rsidR="00C11D74">
        <w:t xml:space="preserve">kvalitativních </w:t>
      </w:r>
      <w:r w:rsidRPr="00D652C1">
        <w:t>parametrech</w:t>
      </w:r>
      <w:r w:rsidR="00C11D74">
        <w:t xml:space="preserve">, aniž by </w:t>
      </w:r>
      <w:r w:rsidRPr="00D652C1">
        <w:t>služba mus</w:t>
      </w:r>
      <w:r w:rsidR="00C11D74">
        <w:t>ela</w:t>
      </w:r>
      <w:r w:rsidRPr="00D652C1">
        <w:t xml:space="preserve"> být </w:t>
      </w:r>
      <w:r w:rsidR="00C11D74" w:rsidRPr="00D652C1">
        <w:t xml:space="preserve">v době vykázání </w:t>
      </w:r>
      <w:r w:rsidRPr="00D652C1">
        <w:t>fakticky poskytována</w:t>
      </w:r>
      <w:r w:rsidR="00C11D74">
        <w:t xml:space="preserve"> nebo nabízena</w:t>
      </w:r>
      <w:r w:rsidRPr="00D652C1">
        <w:t>.</w:t>
      </w:r>
    </w:p>
    <w:p w14:paraId="7F51CF00" w14:textId="5E9653CA" w:rsidR="009500C6" w:rsidRDefault="009500C6" w:rsidP="009500C6">
      <w:pPr>
        <w:jc w:val="both"/>
      </w:pPr>
      <w:r>
        <w:t>Adresní místo je pokryto</w:t>
      </w:r>
      <w:r w:rsidR="00C11D74">
        <w:t xml:space="preserve"> přípojkou odpovídající požadavkům na některou ze tříd </w:t>
      </w:r>
      <w:r>
        <w:t xml:space="preserve">sítí VHCN, pokud </w:t>
      </w:r>
      <w:r w:rsidR="00C11D74">
        <w:t xml:space="preserve">jsou </w:t>
      </w:r>
      <w:r w:rsidRPr="00F431FC">
        <w:t>spl</w:t>
      </w:r>
      <w:r w:rsidR="00C11D74">
        <w:t xml:space="preserve">něny </w:t>
      </w:r>
      <w:r w:rsidR="00497F63">
        <w:t xml:space="preserve">výše uvedené </w:t>
      </w:r>
      <w:r w:rsidRPr="00F431FC">
        <w:t>podmínky pro koncový bod sítě VHCN</w:t>
      </w:r>
      <w:r w:rsidR="00497F63">
        <w:t>.</w:t>
      </w:r>
    </w:p>
    <w:p w14:paraId="28AD77BE" w14:textId="77777777" w:rsidR="00B0005F" w:rsidRDefault="00B0005F" w:rsidP="00A63646">
      <w:pPr>
        <w:keepNext/>
        <w:rPr>
          <w:u w:val="single"/>
        </w:rPr>
      </w:pPr>
      <w:r>
        <w:rPr>
          <w:u w:val="single"/>
        </w:rPr>
        <w:t>Zásady pro vykazování třídy VHCN:</w:t>
      </w:r>
    </w:p>
    <w:p w14:paraId="21D78B04" w14:textId="0A635324" w:rsidR="00B0005F" w:rsidRDefault="005D5EF7" w:rsidP="00B0005F">
      <w:pPr>
        <w:pStyle w:val="Odstavecseseznamem"/>
        <w:numPr>
          <w:ilvl w:val="0"/>
          <w:numId w:val="35"/>
        </w:numPr>
        <w:jc w:val="both"/>
      </w:pPr>
      <w:r>
        <w:t>T</w:t>
      </w:r>
      <w:r w:rsidR="00B0005F" w:rsidRPr="00D652C1">
        <w:t>řída VHCN nezávisí na aktuální komerční nabídce služeb ani na charakteru aktuálně poskytovaných služeb, ale na samotn</w:t>
      </w:r>
      <w:r w:rsidR="00DD6D3D">
        <w:t>é</w:t>
      </w:r>
      <w:r w:rsidR="00B0005F" w:rsidRPr="00D652C1">
        <w:t xml:space="preserve"> schopnost</w:t>
      </w:r>
      <w:r w:rsidR="00DD6D3D">
        <w:t>i</w:t>
      </w:r>
      <w:r w:rsidR="00B0005F" w:rsidRPr="00D652C1">
        <w:t xml:space="preserve"> sítě poskytovat službu, která by odpovídala parametrům pro předmětnou klasifikaci jednotlivých tříd</w:t>
      </w:r>
      <w:r>
        <w:t>.</w:t>
      </w:r>
    </w:p>
    <w:p w14:paraId="64FCEDDF" w14:textId="4455BA2C" w:rsidR="00B0005F" w:rsidRDefault="005D5EF7" w:rsidP="00B0005F">
      <w:pPr>
        <w:pStyle w:val="Odstavecseseznamem"/>
        <w:numPr>
          <w:ilvl w:val="0"/>
          <w:numId w:val="35"/>
        </w:numPr>
        <w:jc w:val="both"/>
      </w:pPr>
      <w:r>
        <w:t>C</w:t>
      </w:r>
      <w:r w:rsidR="00B0005F">
        <w:t>harakter sítě ve smyslu VHCN je potřeba posuzovat v jednotlivých dílčích oblastech (oblast přístupového uzlu, oblast skupiny rodinných domů, budova s více bytovými jednotkami) a</w:t>
      </w:r>
      <w:r w:rsidR="00797604">
        <w:t> </w:t>
      </w:r>
      <w:r w:rsidR="00B0005F">
        <w:t>každou z těchto oblastí vyhodnocovat zvlášť. Schopnost sítě nelze vyhodnotit na jediném místě a výsledek uplatnit na celou síť</w:t>
      </w:r>
      <w:r>
        <w:t>.</w:t>
      </w:r>
    </w:p>
    <w:p w14:paraId="563E608C" w14:textId="4E73DB7C" w:rsidR="00B0005F" w:rsidRDefault="005D5EF7" w:rsidP="00B0005F">
      <w:pPr>
        <w:pStyle w:val="Odstavecseseznamem"/>
        <w:numPr>
          <w:ilvl w:val="0"/>
          <w:numId w:val="35"/>
        </w:numPr>
        <w:jc w:val="both"/>
      </w:pPr>
      <w:r>
        <w:t>P</w:t>
      </w:r>
      <w:r w:rsidR="00B0005F">
        <w:t xml:space="preserve">ro ověření správnosti vykázaných dat, zde konkrétně zařazení do jednotlivých VHCN tříd, může Úřad požadovat po poskytovateli služby přístupu k internetu </w:t>
      </w:r>
      <w:r w:rsidR="00B0005F" w:rsidRPr="00D652C1">
        <w:t>zřízení testovací služby pro ověření schopností sítě takovou službu na daném adresním místě realizovat</w:t>
      </w:r>
      <w:r>
        <w:t>.</w:t>
      </w:r>
    </w:p>
    <w:p w14:paraId="4957DE0C" w14:textId="2B7FA9B9" w:rsidR="009500C6" w:rsidRDefault="00B0005F" w:rsidP="00BA6172">
      <w:pPr>
        <w:jc w:val="both"/>
      </w:pPr>
      <w:r>
        <w:t>P</w:t>
      </w:r>
      <w:r w:rsidR="009500C6">
        <w:t xml:space="preserve">okud je adresní místo </w:t>
      </w:r>
      <w:r>
        <w:t>sítí VHCN pokryto</w:t>
      </w:r>
      <w:r w:rsidR="009500C6">
        <w:t>,</w:t>
      </w:r>
      <w:r w:rsidR="009500C6" w:rsidRPr="00F431FC">
        <w:t xml:space="preserve"> vybere povinná osoba u daného záznamu příslušnou třídu VHCN (1 až 4, resp. příslušný „kód třídy VHCN“)</w:t>
      </w:r>
      <w:r w:rsidR="00CA7200">
        <w:t>.</w:t>
      </w:r>
    </w:p>
    <w:p w14:paraId="4EB3707B" w14:textId="77777777" w:rsidR="00D652C1" w:rsidRPr="000A3E10" w:rsidRDefault="00D652C1" w:rsidP="005D5EF7">
      <w:pPr>
        <w:spacing w:after="0"/>
        <w:jc w:val="both"/>
      </w:pPr>
      <w:r w:rsidRPr="000A3E10">
        <w:t>V případě souběžného splnění kritérií více VHCN tříd postupuje povinná osoba následovně:</w:t>
      </w:r>
    </w:p>
    <w:p w14:paraId="54EEFEF7" w14:textId="27D89086" w:rsidR="00D652C1" w:rsidRPr="000A3E10" w:rsidRDefault="00D652C1" w:rsidP="00415463">
      <w:pPr>
        <w:pStyle w:val="Odstavecseseznamem"/>
        <w:numPr>
          <w:ilvl w:val="0"/>
          <w:numId w:val="33"/>
        </w:numPr>
        <w:jc w:val="both"/>
      </w:pPr>
      <w:r w:rsidRPr="000A3E10">
        <w:t>pokud v případě pevného připojení splňuje parametry třídy VHCN 1 a VHCN 3, vyplní třídu VHCN 1</w:t>
      </w:r>
      <w:r w:rsidR="005D5EF7">
        <w:t>.</w:t>
      </w:r>
    </w:p>
    <w:p w14:paraId="6FB8333A" w14:textId="73E6EFF2" w:rsidR="00D652C1" w:rsidRDefault="00D652C1" w:rsidP="00415463">
      <w:pPr>
        <w:pStyle w:val="Odstavecseseznamem"/>
        <w:numPr>
          <w:ilvl w:val="0"/>
          <w:numId w:val="33"/>
        </w:numPr>
        <w:jc w:val="both"/>
      </w:pPr>
      <w:r w:rsidRPr="000A3E10">
        <w:t>pokud v případě bezdrátového připojení splňuje parametry třídy VHCN 2 a VHCN 4, vyplní třídu VHCN 2</w:t>
      </w:r>
      <w:r w:rsidR="005D5EF7">
        <w:t>.</w:t>
      </w:r>
    </w:p>
    <w:p w14:paraId="7666540D" w14:textId="3AF91690" w:rsidR="00D652C1" w:rsidRDefault="00D652C1" w:rsidP="00415463">
      <w:pPr>
        <w:pStyle w:val="Odstavecseseznamem"/>
        <w:numPr>
          <w:ilvl w:val="0"/>
          <w:numId w:val="33"/>
        </w:numPr>
        <w:jc w:val="both"/>
      </w:pPr>
      <w:r w:rsidRPr="000A3E10">
        <w:t>pokud v případě bezdrátového připojení splňuje současně i parametry třídy VHCN 3, vyplní třídu</w:t>
      </w:r>
      <w:r w:rsidR="00CA7200">
        <w:t xml:space="preserve"> VHCN 3</w:t>
      </w:r>
      <w:r w:rsidR="00E445FA">
        <w:t>.</w:t>
      </w:r>
    </w:p>
    <w:p w14:paraId="71B501F1" w14:textId="77777777" w:rsidR="009500C6" w:rsidRDefault="009500C6" w:rsidP="00D652C1">
      <w:pPr>
        <w:pStyle w:val="Odstavecseseznamem"/>
        <w:ind w:left="1440"/>
        <w:jc w:val="both"/>
      </w:pPr>
    </w:p>
    <w:p w14:paraId="7F818DFC" w14:textId="06121879" w:rsidR="00F33096" w:rsidRDefault="00B0005F" w:rsidP="00EF4532">
      <w:pPr>
        <w:jc w:val="both"/>
      </w:pPr>
      <w:r>
        <w:t>P</w:t>
      </w:r>
      <w:r w:rsidR="009500C6">
        <w:t>okud adresní místo pokryto sítí VHCN není</w:t>
      </w:r>
      <w:r w:rsidR="009500C6" w:rsidRPr="00F431FC">
        <w:t>, vybere povinná osoba u daného záznamu třídu VHCN 0, případně ponechá pole prázdné a systém ESD třídu VHCN 0 doplní automaticky</w:t>
      </w:r>
      <w:r w:rsidR="00BB30C0">
        <w:t>.</w:t>
      </w:r>
    </w:p>
    <w:sectPr w:rsidR="00F33096" w:rsidSect="00263100">
      <w:footerReference w:type="defaul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F5017" w14:textId="77777777" w:rsidR="00A41167" w:rsidRDefault="00A41167" w:rsidP="00B47888">
      <w:pPr>
        <w:spacing w:after="0" w:line="240" w:lineRule="auto"/>
      </w:pPr>
      <w:r>
        <w:separator/>
      </w:r>
    </w:p>
  </w:endnote>
  <w:endnote w:type="continuationSeparator" w:id="0">
    <w:p w14:paraId="1DD3DEE7" w14:textId="77777777" w:rsidR="00A41167" w:rsidRDefault="00A41167" w:rsidP="00B4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248168"/>
      <w:docPartObj>
        <w:docPartGallery w:val="Page Numbers (Bottom of Page)"/>
        <w:docPartUnique/>
      </w:docPartObj>
    </w:sdtPr>
    <w:sdtEndPr/>
    <w:sdtContent>
      <w:p w14:paraId="1619E494" w14:textId="37D59CF0" w:rsidR="00B47888" w:rsidRDefault="00B478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F01E1" w14:textId="77777777" w:rsidR="00B47888" w:rsidRDefault="00B478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A481" w14:textId="77777777" w:rsidR="00A41167" w:rsidRDefault="00A41167" w:rsidP="00B47888">
      <w:pPr>
        <w:spacing w:after="0" w:line="240" w:lineRule="auto"/>
      </w:pPr>
      <w:r>
        <w:separator/>
      </w:r>
    </w:p>
  </w:footnote>
  <w:footnote w:type="continuationSeparator" w:id="0">
    <w:p w14:paraId="04C857CD" w14:textId="77777777" w:rsidR="00A41167" w:rsidRDefault="00A41167" w:rsidP="00B47888">
      <w:pPr>
        <w:spacing w:after="0" w:line="240" w:lineRule="auto"/>
      </w:pPr>
      <w:r>
        <w:continuationSeparator/>
      </w:r>
    </w:p>
  </w:footnote>
  <w:footnote w:id="1">
    <w:p w14:paraId="05093030" w14:textId="66DA2C2E" w:rsidR="00563B17" w:rsidRDefault="00563B17" w:rsidP="00A6364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bookmarkStart w:id="2" w:name="_Hlk172565279"/>
      <w:bookmarkStart w:id="3" w:name="_Hlk172563005"/>
      <w:r w:rsidRPr="00563B17">
        <w:t>V případě služ</w:t>
      </w:r>
      <w:r w:rsidR="001F1946">
        <w:t>e</w:t>
      </w:r>
      <w:r w:rsidRPr="00563B17">
        <w:t>b čistě fixního charakteru, tedy služ</w:t>
      </w:r>
      <w:r w:rsidR="001F1946">
        <w:t>e</w:t>
      </w:r>
      <w:r w:rsidRPr="00563B17">
        <w:t>b, které jsou poskytovány v</w:t>
      </w:r>
      <w:r w:rsidR="009B01E9">
        <w:t> </w:t>
      </w:r>
      <w:r w:rsidRPr="00563B17">
        <w:t>jediném konkrétním místě připojení, je příslušným adresním místem tzv. instalační adresa. V případě služ</w:t>
      </w:r>
      <w:r w:rsidR="001F1946">
        <w:t>e</w:t>
      </w:r>
      <w:r w:rsidRPr="00563B17">
        <w:t>b nomadického charakteru, kter</w:t>
      </w:r>
      <w:r w:rsidR="001F1946">
        <w:t>é</w:t>
      </w:r>
      <w:r w:rsidRPr="00563B17">
        <w:t xml:space="preserve"> ne</w:t>
      </w:r>
      <w:r w:rsidR="001F1946">
        <w:t>jsou</w:t>
      </w:r>
      <w:r w:rsidRPr="00563B17">
        <w:t xml:space="preserve"> omezen</w:t>
      </w:r>
      <w:r w:rsidR="001F1946">
        <w:t>y</w:t>
      </w:r>
      <w:r w:rsidRPr="00563B17">
        <w:t xml:space="preserve"> na jedno pevné místo, ale lze k n</w:t>
      </w:r>
      <w:r w:rsidR="001F1946">
        <w:t>im</w:t>
      </w:r>
      <w:r w:rsidRPr="00563B17">
        <w:t xml:space="preserve"> přistupovat z více (</w:t>
      </w:r>
      <w:r w:rsidR="001F1946">
        <w:t>s</w:t>
      </w:r>
      <w:r w:rsidRPr="00563B17">
        <w:t>jednaných) pevných míst v rámci pokrytí sítě, je příslušným adresním místem primární adresa, kterou si účastník pro využívání dané služby zvolil v</w:t>
      </w:r>
      <w:r w:rsidR="00224735">
        <w:t> </w:t>
      </w:r>
      <w:r w:rsidRPr="00563B17">
        <w:t>účastnické smlouvě</w:t>
      </w:r>
      <w:bookmarkEnd w:id="2"/>
      <w:r w:rsidRPr="00563B17">
        <w:t>.</w:t>
      </w:r>
    </w:p>
    <w:bookmarkEnd w:id="3"/>
  </w:footnote>
  <w:footnote w:id="2">
    <w:p w14:paraId="3B20C2A7" w14:textId="77777777" w:rsidR="00B47888" w:rsidRDefault="00B47888" w:rsidP="00B47888">
      <w:pPr>
        <w:pStyle w:val="Textpoznpodarou"/>
      </w:pPr>
      <w:r>
        <w:rPr>
          <w:rStyle w:val="Znakapoznpodarou"/>
        </w:rPr>
        <w:footnoteRef/>
      </w:r>
      <w:r>
        <w:t xml:space="preserve"> Údaje o přístupu k internetu prostřednictvím satelitu se v geografickém členění nesbírají.</w:t>
      </w:r>
    </w:p>
  </w:footnote>
  <w:footnote w:id="3">
    <w:p w14:paraId="7E1AF170" w14:textId="5FE1777A" w:rsidR="00503701" w:rsidRDefault="00503701" w:rsidP="002C0FF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je povinná osoba </w:t>
      </w:r>
      <w:r w:rsidR="008613C0">
        <w:t xml:space="preserve">schopna poskytnout </w:t>
      </w:r>
      <w:r>
        <w:t>na daném adresním místě službu přístupu k internetu v pevném místě s rychlostí pouze do 2 Mbit/s, neuvede u příslušného typu rychlosti žádný rychlostní interval.</w:t>
      </w:r>
    </w:p>
  </w:footnote>
  <w:footnote w:id="4">
    <w:p w14:paraId="23AC2AC8" w14:textId="2F20C863" w:rsidR="00CB7F1E" w:rsidRPr="00415463" w:rsidRDefault="00CB7F1E">
      <w:pPr>
        <w:pStyle w:val="Textpoznpodarou"/>
      </w:pPr>
      <w:r w:rsidRPr="00415463">
        <w:rPr>
          <w:rStyle w:val="Znakapoznpodarou"/>
        </w:rPr>
        <w:footnoteRef/>
      </w:r>
      <w:r w:rsidRPr="00415463">
        <w:t xml:space="preserve"> Odpovídá Expected peak time speed z Pokynů k</w:t>
      </w:r>
      <w:r w:rsidR="00E354A6">
        <w:t> </w:t>
      </w:r>
      <w:r w:rsidRPr="00415463">
        <w:t>mapování</w:t>
      </w:r>
      <w:r w:rsidR="00E354A6">
        <w:t>.</w:t>
      </w:r>
    </w:p>
  </w:footnote>
  <w:footnote w:id="5">
    <w:p w14:paraId="05E431B9" w14:textId="3022CB1A" w:rsidR="00CB7F1E" w:rsidRDefault="00CB7F1E">
      <w:pPr>
        <w:pStyle w:val="Textpoznpodarou"/>
      </w:pPr>
      <w:r w:rsidRPr="00415463">
        <w:rPr>
          <w:rStyle w:val="Znakapoznpodarou"/>
        </w:rPr>
        <w:footnoteRef/>
      </w:r>
      <w:r w:rsidRPr="00415463">
        <w:t xml:space="preserve"> Odpovídá Maximum </w:t>
      </w:r>
      <w:r w:rsidR="00176F86">
        <w:t>a</w:t>
      </w:r>
      <w:r w:rsidRPr="00415463">
        <w:t>chievable speed z Pokynů k</w:t>
      </w:r>
      <w:r w:rsidR="00E354A6">
        <w:t> </w:t>
      </w:r>
      <w:r w:rsidRPr="00415463">
        <w:t>mapování</w:t>
      </w:r>
      <w:r w:rsidR="00E354A6">
        <w:t>.</w:t>
      </w:r>
    </w:p>
  </w:footnote>
  <w:footnote w:id="6">
    <w:p w14:paraId="1BD87A44" w14:textId="77777777" w:rsidR="00D652C1" w:rsidRDefault="00D652C1" w:rsidP="00D652C1">
      <w:pPr>
        <w:pStyle w:val="Textpoznpodarou"/>
        <w:jc w:val="both"/>
      </w:pPr>
      <w:r w:rsidRPr="00494694">
        <w:rPr>
          <w:rStyle w:val="Znakapoznpodarou"/>
        </w:rPr>
        <w:footnoteRef/>
      </w:r>
      <w:r w:rsidRPr="00494694">
        <w:t xml:space="preserve"> Jedná se pouze o poslední </w:t>
      </w:r>
      <w:r>
        <w:t>distribuční</w:t>
      </w:r>
      <w:r w:rsidRPr="00494694">
        <w:t xml:space="preserve"> bod</w:t>
      </w:r>
      <w:r>
        <w:t xml:space="preserve"> </w:t>
      </w:r>
      <w:r w:rsidRPr="00494694">
        <w:t>v</w:t>
      </w:r>
      <w:r>
        <w:t> </w:t>
      </w:r>
      <w:r w:rsidRPr="00494694">
        <w:t>síti</w:t>
      </w:r>
      <w:r>
        <w:t xml:space="preserve"> (přístupový bod, </w:t>
      </w:r>
      <w:r w:rsidRPr="006C1EE3">
        <w:t>od kterého vede spoj ke</w:t>
      </w:r>
      <w:r>
        <w:t xml:space="preserve"> koncovému uživateli)</w:t>
      </w:r>
      <w:r w:rsidRPr="00494694">
        <w:t>, tzv. "obslužné místo“.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8DC"/>
    <w:multiLevelType w:val="hybridMultilevel"/>
    <w:tmpl w:val="D6287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B84"/>
    <w:multiLevelType w:val="hybridMultilevel"/>
    <w:tmpl w:val="AC3E5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36AC"/>
    <w:multiLevelType w:val="hybridMultilevel"/>
    <w:tmpl w:val="67B28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F19"/>
    <w:multiLevelType w:val="hybridMultilevel"/>
    <w:tmpl w:val="E5E052F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A94FFA"/>
    <w:multiLevelType w:val="hybridMultilevel"/>
    <w:tmpl w:val="C05E4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14CBC"/>
    <w:multiLevelType w:val="hybridMultilevel"/>
    <w:tmpl w:val="20802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66AA8"/>
    <w:multiLevelType w:val="hybridMultilevel"/>
    <w:tmpl w:val="16A62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31202"/>
    <w:multiLevelType w:val="hybridMultilevel"/>
    <w:tmpl w:val="339E8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A1EEA"/>
    <w:multiLevelType w:val="hybridMultilevel"/>
    <w:tmpl w:val="5F362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A2F9C"/>
    <w:multiLevelType w:val="hybridMultilevel"/>
    <w:tmpl w:val="5128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13325"/>
    <w:multiLevelType w:val="hybridMultilevel"/>
    <w:tmpl w:val="B8923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5B09"/>
    <w:multiLevelType w:val="hybridMultilevel"/>
    <w:tmpl w:val="7CFE9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278C3"/>
    <w:multiLevelType w:val="hybridMultilevel"/>
    <w:tmpl w:val="50843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922B9"/>
    <w:multiLevelType w:val="hybridMultilevel"/>
    <w:tmpl w:val="8314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42FD6"/>
    <w:multiLevelType w:val="hybridMultilevel"/>
    <w:tmpl w:val="CB2A8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C5724"/>
    <w:multiLevelType w:val="hybridMultilevel"/>
    <w:tmpl w:val="8988A7D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E016CF"/>
    <w:multiLevelType w:val="hybridMultilevel"/>
    <w:tmpl w:val="905ED8CE"/>
    <w:lvl w:ilvl="0" w:tplc="3C5C04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3340"/>
    <w:multiLevelType w:val="hybridMultilevel"/>
    <w:tmpl w:val="2D4AC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51818"/>
    <w:multiLevelType w:val="hybridMultilevel"/>
    <w:tmpl w:val="0CB0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1CA"/>
    <w:multiLevelType w:val="hybridMultilevel"/>
    <w:tmpl w:val="D2361454"/>
    <w:lvl w:ilvl="0" w:tplc="60B2E2D6">
      <w:numFmt w:val="bullet"/>
      <w:lvlText w:val="-"/>
      <w:lvlJc w:val="left"/>
      <w:pPr>
        <w:ind w:left="285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20" w15:restartNumberingAfterBreak="0">
    <w:nsid w:val="3F9B6AA5"/>
    <w:multiLevelType w:val="hybridMultilevel"/>
    <w:tmpl w:val="F5821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9287B"/>
    <w:multiLevelType w:val="hybridMultilevel"/>
    <w:tmpl w:val="576AE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73949"/>
    <w:multiLevelType w:val="hybridMultilevel"/>
    <w:tmpl w:val="ED08CE5E"/>
    <w:lvl w:ilvl="0" w:tplc="AA6674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281E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6005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5642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2E6A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0873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AF8E5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5827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A08E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3E203F2"/>
    <w:multiLevelType w:val="hybridMultilevel"/>
    <w:tmpl w:val="37B698AE"/>
    <w:lvl w:ilvl="0" w:tplc="3C5C04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BB299B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67E7C"/>
    <w:multiLevelType w:val="hybridMultilevel"/>
    <w:tmpl w:val="59E2A2B0"/>
    <w:lvl w:ilvl="0" w:tplc="13B0C7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2223E"/>
    <w:multiLevelType w:val="hybridMultilevel"/>
    <w:tmpl w:val="C234B7FA"/>
    <w:lvl w:ilvl="0" w:tplc="68444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63BF8"/>
    <w:multiLevelType w:val="hybridMultilevel"/>
    <w:tmpl w:val="AB5A0B1C"/>
    <w:lvl w:ilvl="0" w:tplc="8DFED3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D669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560E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C066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D874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B6DF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84079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AAF8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D8F2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5F5510B"/>
    <w:multiLevelType w:val="hybridMultilevel"/>
    <w:tmpl w:val="AFEC6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B6D83"/>
    <w:multiLevelType w:val="hybridMultilevel"/>
    <w:tmpl w:val="2A28A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1106A"/>
    <w:multiLevelType w:val="hybridMultilevel"/>
    <w:tmpl w:val="A724A6C6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5B6D2004"/>
    <w:multiLevelType w:val="hybridMultilevel"/>
    <w:tmpl w:val="0464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32EF5"/>
    <w:multiLevelType w:val="hybridMultilevel"/>
    <w:tmpl w:val="81CA9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264AB"/>
    <w:multiLevelType w:val="hybridMultilevel"/>
    <w:tmpl w:val="DEB08596"/>
    <w:lvl w:ilvl="0" w:tplc="CAEA1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60A17"/>
    <w:multiLevelType w:val="hybridMultilevel"/>
    <w:tmpl w:val="682A957C"/>
    <w:lvl w:ilvl="0" w:tplc="CAEA11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62F6790"/>
    <w:multiLevelType w:val="hybridMultilevel"/>
    <w:tmpl w:val="79B6D362"/>
    <w:lvl w:ilvl="0" w:tplc="2BB299B2">
      <w:numFmt w:val="bullet"/>
      <w:lvlText w:val="-"/>
      <w:lvlJc w:val="left"/>
      <w:pPr>
        <w:ind w:left="2136" w:hanging="72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67B5B0A"/>
    <w:multiLevelType w:val="hybridMultilevel"/>
    <w:tmpl w:val="B31CB6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853AA1"/>
    <w:multiLevelType w:val="hybridMultilevel"/>
    <w:tmpl w:val="8C7883F8"/>
    <w:lvl w:ilvl="0" w:tplc="13B0C7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9256C"/>
    <w:multiLevelType w:val="hybridMultilevel"/>
    <w:tmpl w:val="B9209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47692"/>
    <w:multiLevelType w:val="hybridMultilevel"/>
    <w:tmpl w:val="22D6F8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E401D3"/>
    <w:multiLevelType w:val="hybridMultilevel"/>
    <w:tmpl w:val="CF56B19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86B7A90"/>
    <w:multiLevelType w:val="hybridMultilevel"/>
    <w:tmpl w:val="AA8C65CA"/>
    <w:lvl w:ilvl="0" w:tplc="2BB299B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946369F"/>
    <w:multiLevelType w:val="hybridMultilevel"/>
    <w:tmpl w:val="62BC3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F30853"/>
    <w:multiLevelType w:val="hybridMultilevel"/>
    <w:tmpl w:val="0F046C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E886C7E"/>
    <w:multiLevelType w:val="hybridMultilevel"/>
    <w:tmpl w:val="CF56B19A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6"/>
  </w:num>
  <w:num w:numId="4">
    <w:abstractNumId w:val="24"/>
  </w:num>
  <w:num w:numId="5">
    <w:abstractNumId w:val="35"/>
  </w:num>
  <w:num w:numId="6">
    <w:abstractNumId w:val="3"/>
  </w:num>
  <w:num w:numId="7">
    <w:abstractNumId w:val="29"/>
  </w:num>
  <w:num w:numId="8">
    <w:abstractNumId w:val="30"/>
  </w:num>
  <w:num w:numId="9">
    <w:abstractNumId w:val="15"/>
  </w:num>
  <w:num w:numId="10">
    <w:abstractNumId w:val="28"/>
  </w:num>
  <w:num w:numId="11">
    <w:abstractNumId w:val="2"/>
  </w:num>
  <w:num w:numId="12">
    <w:abstractNumId w:val="1"/>
  </w:num>
  <w:num w:numId="13">
    <w:abstractNumId w:val="17"/>
  </w:num>
  <w:num w:numId="14">
    <w:abstractNumId w:val="25"/>
  </w:num>
  <w:num w:numId="15">
    <w:abstractNumId w:val="8"/>
  </w:num>
  <w:num w:numId="16">
    <w:abstractNumId w:val="13"/>
  </w:num>
  <w:num w:numId="17">
    <w:abstractNumId w:val="20"/>
  </w:num>
  <w:num w:numId="18">
    <w:abstractNumId w:val="37"/>
  </w:num>
  <w:num w:numId="19">
    <w:abstractNumId w:val="32"/>
  </w:num>
  <w:num w:numId="20">
    <w:abstractNumId w:val="40"/>
  </w:num>
  <w:num w:numId="21">
    <w:abstractNumId w:val="27"/>
  </w:num>
  <w:num w:numId="22">
    <w:abstractNumId w:val="9"/>
  </w:num>
  <w:num w:numId="23">
    <w:abstractNumId w:val="42"/>
  </w:num>
  <w:num w:numId="24">
    <w:abstractNumId w:val="33"/>
  </w:num>
  <w:num w:numId="25">
    <w:abstractNumId w:val="43"/>
  </w:num>
  <w:num w:numId="26">
    <w:abstractNumId w:val="4"/>
  </w:num>
  <w:num w:numId="27">
    <w:abstractNumId w:val="10"/>
  </w:num>
  <w:num w:numId="28">
    <w:abstractNumId w:val="18"/>
  </w:num>
  <w:num w:numId="29">
    <w:abstractNumId w:val="21"/>
  </w:num>
  <w:num w:numId="30">
    <w:abstractNumId w:val="23"/>
  </w:num>
  <w:num w:numId="31">
    <w:abstractNumId w:val="16"/>
  </w:num>
  <w:num w:numId="32">
    <w:abstractNumId w:val="5"/>
  </w:num>
  <w:num w:numId="33">
    <w:abstractNumId w:val="0"/>
  </w:num>
  <w:num w:numId="34">
    <w:abstractNumId w:val="31"/>
  </w:num>
  <w:num w:numId="35">
    <w:abstractNumId w:val="7"/>
  </w:num>
  <w:num w:numId="36">
    <w:abstractNumId w:val="26"/>
  </w:num>
  <w:num w:numId="37">
    <w:abstractNumId w:val="22"/>
  </w:num>
  <w:num w:numId="38">
    <w:abstractNumId w:val="41"/>
  </w:num>
  <w:num w:numId="39">
    <w:abstractNumId w:val="34"/>
  </w:num>
  <w:num w:numId="40">
    <w:abstractNumId w:val="6"/>
  </w:num>
  <w:num w:numId="41">
    <w:abstractNumId w:val="39"/>
  </w:num>
  <w:num w:numId="42">
    <w:abstractNumId w:val="19"/>
  </w:num>
  <w:num w:numId="43">
    <w:abstractNumId w:val="1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8"/>
    <w:rsid w:val="00001062"/>
    <w:rsid w:val="0000612B"/>
    <w:rsid w:val="00015E86"/>
    <w:rsid w:val="000407CE"/>
    <w:rsid w:val="0004084F"/>
    <w:rsid w:val="000413BF"/>
    <w:rsid w:val="00041698"/>
    <w:rsid w:val="00046F0D"/>
    <w:rsid w:val="000A1B55"/>
    <w:rsid w:val="000B412C"/>
    <w:rsid w:val="000B68A0"/>
    <w:rsid w:val="000F5779"/>
    <w:rsid w:val="0011619F"/>
    <w:rsid w:val="0015305D"/>
    <w:rsid w:val="00176F86"/>
    <w:rsid w:val="001804EA"/>
    <w:rsid w:val="001B1028"/>
    <w:rsid w:val="001C5FB9"/>
    <w:rsid w:val="001E7A7C"/>
    <w:rsid w:val="001F1946"/>
    <w:rsid w:val="00224735"/>
    <w:rsid w:val="002342B3"/>
    <w:rsid w:val="002403CD"/>
    <w:rsid w:val="002470EE"/>
    <w:rsid w:val="00247BCC"/>
    <w:rsid w:val="00263100"/>
    <w:rsid w:val="002B6C38"/>
    <w:rsid w:val="002C0FFB"/>
    <w:rsid w:val="002C25AB"/>
    <w:rsid w:val="002C60CC"/>
    <w:rsid w:val="002F1462"/>
    <w:rsid w:val="003604E3"/>
    <w:rsid w:val="00372959"/>
    <w:rsid w:val="00377DB1"/>
    <w:rsid w:val="003868A3"/>
    <w:rsid w:val="003A2157"/>
    <w:rsid w:val="003A2C2A"/>
    <w:rsid w:val="003B7386"/>
    <w:rsid w:val="003C49F2"/>
    <w:rsid w:val="00415463"/>
    <w:rsid w:val="00461A9B"/>
    <w:rsid w:val="0049456F"/>
    <w:rsid w:val="00497F63"/>
    <w:rsid w:val="004D1A4E"/>
    <w:rsid w:val="004F7EDD"/>
    <w:rsid w:val="00503701"/>
    <w:rsid w:val="00524371"/>
    <w:rsid w:val="00542062"/>
    <w:rsid w:val="00563B17"/>
    <w:rsid w:val="005773D9"/>
    <w:rsid w:val="005B0847"/>
    <w:rsid w:val="005B5238"/>
    <w:rsid w:val="005B56A5"/>
    <w:rsid w:val="005B6C12"/>
    <w:rsid w:val="005C4D95"/>
    <w:rsid w:val="005D5EF7"/>
    <w:rsid w:val="005F610D"/>
    <w:rsid w:val="00600C70"/>
    <w:rsid w:val="00604BD1"/>
    <w:rsid w:val="00613F43"/>
    <w:rsid w:val="00623E3B"/>
    <w:rsid w:val="00651A5D"/>
    <w:rsid w:val="00672366"/>
    <w:rsid w:val="006812A2"/>
    <w:rsid w:val="006840F1"/>
    <w:rsid w:val="006878E6"/>
    <w:rsid w:val="00690749"/>
    <w:rsid w:val="00694B9B"/>
    <w:rsid w:val="006A1886"/>
    <w:rsid w:val="006A2C2F"/>
    <w:rsid w:val="006A5956"/>
    <w:rsid w:val="006A6826"/>
    <w:rsid w:val="006A7A9A"/>
    <w:rsid w:val="006C71C2"/>
    <w:rsid w:val="006F064C"/>
    <w:rsid w:val="00704A33"/>
    <w:rsid w:val="00706646"/>
    <w:rsid w:val="00730565"/>
    <w:rsid w:val="007441DF"/>
    <w:rsid w:val="007461F6"/>
    <w:rsid w:val="00771B5A"/>
    <w:rsid w:val="0077365C"/>
    <w:rsid w:val="00795301"/>
    <w:rsid w:val="00797604"/>
    <w:rsid w:val="007A38C7"/>
    <w:rsid w:val="007B5B14"/>
    <w:rsid w:val="007C3485"/>
    <w:rsid w:val="007D4200"/>
    <w:rsid w:val="007E25A9"/>
    <w:rsid w:val="007F2D96"/>
    <w:rsid w:val="00816AC5"/>
    <w:rsid w:val="00834F16"/>
    <w:rsid w:val="008613C0"/>
    <w:rsid w:val="008909FC"/>
    <w:rsid w:val="008A7810"/>
    <w:rsid w:val="008B3548"/>
    <w:rsid w:val="008F2A09"/>
    <w:rsid w:val="00914262"/>
    <w:rsid w:val="0094063A"/>
    <w:rsid w:val="009500C6"/>
    <w:rsid w:val="009A580D"/>
    <w:rsid w:val="009A5C7C"/>
    <w:rsid w:val="009B01E9"/>
    <w:rsid w:val="009B0A1A"/>
    <w:rsid w:val="009B78D3"/>
    <w:rsid w:val="009D77E1"/>
    <w:rsid w:val="009E24C1"/>
    <w:rsid w:val="009E5E25"/>
    <w:rsid w:val="00A007CB"/>
    <w:rsid w:val="00A027E7"/>
    <w:rsid w:val="00A0289B"/>
    <w:rsid w:val="00A11990"/>
    <w:rsid w:val="00A2787B"/>
    <w:rsid w:val="00A32DF8"/>
    <w:rsid w:val="00A41167"/>
    <w:rsid w:val="00A439E2"/>
    <w:rsid w:val="00A63646"/>
    <w:rsid w:val="00A823C5"/>
    <w:rsid w:val="00A90E86"/>
    <w:rsid w:val="00A9586C"/>
    <w:rsid w:val="00AC0A4E"/>
    <w:rsid w:val="00AC677F"/>
    <w:rsid w:val="00AD4B00"/>
    <w:rsid w:val="00AD71E0"/>
    <w:rsid w:val="00AE4F09"/>
    <w:rsid w:val="00B0005F"/>
    <w:rsid w:val="00B34619"/>
    <w:rsid w:val="00B3625C"/>
    <w:rsid w:val="00B4331D"/>
    <w:rsid w:val="00B47888"/>
    <w:rsid w:val="00B6028A"/>
    <w:rsid w:val="00B6190C"/>
    <w:rsid w:val="00B63C23"/>
    <w:rsid w:val="00B8699D"/>
    <w:rsid w:val="00BA6172"/>
    <w:rsid w:val="00BB22A1"/>
    <w:rsid w:val="00BB30C0"/>
    <w:rsid w:val="00BE3B65"/>
    <w:rsid w:val="00BF1D28"/>
    <w:rsid w:val="00BF5C4C"/>
    <w:rsid w:val="00C11D74"/>
    <w:rsid w:val="00C205E9"/>
    <w:rsid w:val="00C23473"/>
    <w:rsid w:val="00C37352"/>
    <w:rsid w:val="00C42AA3"/>
    <w:rsid w:val="00C541A9"/>
    <w:rsid w:val="00C72E0E"/>
    <w:rsid w:val="00C7386A"/>
    <w:rsid w:val="00C80667"/>
    <w:rsid w:val="00C8402F"/>
    <w:rsid w:val="00CA2240"/>
    <w:rsid w:val="00CA3661"/>
    <w:rsid w:val="00CA570E"/>
    <w:rsid w:val="00CA7200"/>
    <w:rsid w:val="00CB5ACD"/>
    <w:rsid w:val="00CB7F1E"/>
    <w:rsid w:val="00CC6D5F"/>
    <w:rsid w:val="00CF4DC7"/>
    <w:rsid w:val="00D10628"/>
    <w:rsid w:val="00D21BD0"/>
    <w:rsid w:val="00D44334"/>
    <w:rsid w:val="00D5059F"/>
    <w:rsid w:val="00D56297"/>
    <w:rsid w:val="00D652C1"/>
    <w:rsid w:val="00D92401"/>
    <w:rsid w:val="00DB718D"/>
    <w:rsid w:val="00DD1CBC"/>
    <w:rsid w:val="00DD6D3D"/>
    <w:rsid w:val="00E02C09"/>
    <w:rsid w:val="00E242BC"/>
    <w:rsid w:val="00E354A6"/>
    <w:rsid w:val="00E37838"/>
    <w:rsid w:val="00E40091"/>
    <w:rsid w:val="00E40E7D"/>
    <w:rsid w:val="00E445FA"/>
    <w:rsid w:val="00E50059"/>
    <w:rsid w:val="00E540AF"/>
    <w:rsid w:val="00E567CB"/>
    <w:rsid w:val="00E95ADE"/>
    <w:rsid w:val="00EF1111"/>
    <w:rsid w:val="00EF4532"/>
    <w:rsid w:val="00F20ACB"/>
    <w:rsid w:val="00F235BB"/>
    <w:rsid w:val="00F33096"/>
    <w:rsid w:val="00F6539D"/>
    <w:rsid w:val="00F67A4F"/>
    <w:rsid w:val="00F74C1E"/>
    <w:rsid w:val="00F85BD3"/>
    <w:rsid w:val="00F917D0"/>
    <w:rsid w:val="00FD258B"/>
    <w:rsid w:val="00FD3975"/>
    <w:rsid w:val="00FF1043"/>
    <w:rsid w:val="00FF150F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BF9F"/>
  <w15:chartTrackingRefBased/>
  <w15:docId w15:val="{6B94983B-3087-4B57-A4F0-FF91D54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qFormat/>
    <w:rsid w:val="002B6C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69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69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9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00612B"/>
    <w:rPr>
      <w:rFonts w:cs="Times New Roman"/>
      <w:color w:val="004B8D"/>
      <w:u w:val="single"/>
    </w:rPr>
  </w:style>
  <w:style w:type="paragraph" w:styleId="Zhlav">
    <w:name w:val="header"/>
    <w:basedOn w:val="Normln"/>
    <w:link w:val="ZhlavChar"/>
    <w:uiPriority w:val="99"/>
    <w:unhideWhenUsed/>
    <w:rsid w:val="00B4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888"/>
  </w:style>
  <w:style w:type="paragraph" w:styleId="Zpat">
    <w:name w:val="footer"/>
    <w:basedOn w:val="Normln"/>
    <w:link w:val="ZpatChar"/>
    <w:uiPriority w:val="99"/>
    <w:unhideWhenUsed/>
    <w:rsid w:val="00B4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888"/>
  </w:style>
  <w:style w:type="paragraph" w:styleId="Textpoznpodarou">
    <w:name w:val="footnote text"/>
    <w:basedOn w:val="Normln"/>
    <w:link w:val="TextpoznpodarouChar"/>
    <w:uiPriority w:val="99"/>
    <w:unhideWhenUsed/>
    <w:rsid w:val="00B4788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47888"/>
    <w:rPr>
      <w:rFonts w:ascii="Calibri" w:eastAsia="Times New Roman" w:hAnsi="Calibri" w:cs="Times New Roman"/>
      <w:color w:val="000000"/>
      <w:sz w:val="20"/>
      <w:szCs w:val="20"/>
    </w:rPr>
  </w:style>
  <w:style w:type="character" w:styleId="Znakapoznpodarou">
    <w:name w:val="footnote reference"/>
    <w:uiPriority w:val="99"/>
    <w:semiHidden/>
    <w:unhideWhenUsed/>
    <w:rsid w:val="00B47888"/>
    <w:rPr>
      <w:rFonts w:cs="Times New Roman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C49F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E25A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D42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c.europa.eu/eng/document_register/subject_matter/berec/regulatory_best_practices/guidelines/9027-berec-guidelines-to-assist-nras-on-the-consistent-application-of-geographical-surveys-of-network-deployments" TargetMode="External"/><Relationship Id="rId13" Type="http://schemas.openxmlformats.org/officeDocument/2006/relationships/hyperlink" Target="https://www.cuzk.cz/ruian/RUIA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tu.gov.cz/elektronicky-sber-dat-esd-elektronicke-komunika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tu.cz/vyhodnocovani-kapacity-si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tu.cz/mereni-rychlosti-prenosu-dat" TargetMode="External"/><Relationship Id="rId14" Type="http://schemas.openxmlformats.org/officeDocument/2006/relationships/hyperlink" Target="https://eur-lex.europa.eu/legal-content/CS/TXT/HTML/?uri=CELEX:32018L1972&amp;from=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F212-AFF6-4300-81AF-8CCA5757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2978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Hirič Dalibor</dc:creator>
  <cp:keywords/>
  <dc:description/>
  <cp:lastModifiedBy>Hankiewiczová Hana</cp:lastModifiedBy>
  <cp:revision>4</cp:revision>
  <cp:lastPrinted>2024-07-19T07:53:00Z</cp:lastPrinted>
  <dcterms:created xsi:type="dcterms:W3CDTF">2024-08-27T09:30:00Z</dcterms:created>
  <dcterms:modified xsi:type="dcterms:W3CDTF">2024-08-27T10:50:00Z</dcterms:modified>
</cp:coreProperties>
</file>