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0C93" w14:textId="77777777" w:rsidR="00F462E3" w:rsidRDefault="00657840">
      <w:pPr>
        <w:rPr>
          <w:b/>
          <w:bCs/>
          <w:sz w:val="28"/>
          <w:szCs w:val="28"/>
        </w:rPr>
      </w:pPr>
      <w:r>
        <w:rPr>
          <w:b/>
          <w:bCs/>
          <w:sz w:val="28"/>
          <w:szCs w:val="28"/>
        </w:rPr>
        <w:t xml:space="preserve">III. </w:t>
      </w:r>
    </w:p>
    <w:p w14:paraId="5642845D" w14:textId="77777777" w:rsidR="00F462E3" w:rsidRDefault="00F462E3">
      <w:pPr>
        <w:rPr>
          <w:b/>
          <w:bCs/>
          <w:sz w:val="28"/>
          <w:szCs w:val="28"/>
        </w:rPr>
      </w:pPr>
    </w:p>
    <w:p w14:paraId="3EAE5CF2" w14:textId="77777777" w:rsidR="00F462E3" w:rsidRDefault="00F462E3">
      <w:pPr>
        <w:rPr>
          <w:b/>
          <w:bCs/>
          <w:sz w:val="28"/>
          <w:szCs w:val="28"/>
        </w:rPr>
      </w:pPr>
    </w:p>
    <w:p w14:paraId="59BA32F3" w14:textId="77777777" w:rsidR="00F462E3" w:rsidRDefault="00F462E3">
      <w:pPr>
        <w:rPr>
          <w:b/>
          <w:bCs/>
          <w:sz w:val="28"/>
          <w:szCs w:val="28"/>
        </w:rPr>
      </w:pPr>
    </w:p>
    <w:p w14:paraId="068E8B07" w14:textId="77777777" w:rsidR="00F462E3" w:rsidRDefault="00F462E3">
      <w:pPr>
        <w:rPr>
          <w:b/>
          <w:bCs/>
          <w:sz w:val="28"/>
          <w:szCs w:val="28"/>
        </w:rPr>
      </w:pPr>
    </w:p>
    <w:p w14:paraId="11B48D61" w14:textId="77777777" w:rsidR="00F462E3" w:rsidRDefault="00F462E3">
      <w:pPr>
        <w:rPr>
          <w:b/>
          <w:bCs/>
          <w:sz w:val="28"/>
          <w:szCs w:val="28"/>
        </w:rPr>
      </w:pPr>
    </w:p>
    <w:p w14:paraId="654699D9" w14:textId="77777777" w:rsidR="00F462E3" w:rsidRDefault="00F462E3">
      <w:pPr>
        <w:rPr>
          <w:b/>
          <w:bCs/>
          <w:sz w:val="28"/>
          <w:szCs w:val="28"/>
        </w:rPr>
      </w:pPr>
    </w:p>
    <w:p w14:paraId="0454587E" w14:textId="77777777" w:rsidR="00F462E3" w:rsidRDefault="00F462E3">
      <w:pPr>
        <w:rPr>
          <w:b/>
          <w:bCs/>
          <w:sz w:val="28"/>
          <w:szCs w:val="28"/>
        </w:rPr>
      </w:pPr>
    </w:p>
    <w:p w14:paraId="4BB2B0BB" w14:textId="2E7F2193" w:rsidR="00BC29B7" w:rsidRPr="00F36206" w:rsidRDefault="00B842A1">
      <w:pPr>
        <w:rPr>
          <w:b/>
          <w:bCs/>
          <w:sz w:val="36"/>
          <w:szCs w:val="36"/>
        </w:rPr>
      </w:pPr>
      <w:r w:rsidRPr="00F36206">
        <w:rPr>
          <w:b/>
          <w:bCs/>
          <w:sz w:val="36"/>
          <w:szCs w:val="36"/>
        </w:rPr>
        <w:t xml:space="preserve">Návrh implementace Aktu o umělé inteligenci v České republice </w:t>
      </w:r>
    </w:p>
    <w:p w14:paraId="6B7AF804" w14:textId="77777777" w:rsidR="00F462E3" w:rsidRDefault="00F462E3">
      <w:pPr>
        <w:suppressAutoHyphens w:val="0"/>
        <w:spacing w:after="200" w:line="276" w:lineRule="auto"/>
        <w:rPr>
          <w:b/>
          <w:sz w:val="28"/>
        </w:rPr>
      </w:pPr>
      <w:r>
        <w:br w:type="page"/>
      </w:r>
    </w:p>
    <w:p w14:paraId="2132CC54" w14:textId="32471199" w:rsidR="00BC29B7" w:rsidRDefault="00B842A1">
      <w:pPr>
        <w:pStyle w:val="Nadpisobsahu"/>
      </w:pPr>
      <w:r>
        <w:lastRenderedPageBreak/>
        <w:t>Obsah</w:t>
      </w:r>
    </w:p>
    <w:p w14:paraId="4692A37B" w14:textId="147F7C50" w:rsidR="00B76BAC" w:rsidRDefault="00B842A1">
      <w:pPr>
        <w:pStyle w:val="Obsah1"/>
        <w:tabs>
          <w:tab w:val="left" w:pos="440"/>
          <w:tab w:val="right" w:leader="dot" w:pos="9628"/>
        </w:tabs>
        <w:rPr>
          <w:rFonts w:asciiTheme="minorHAnsi" w:eastAsiaTheme="minorEastAsia" w:hAnsiTheme="minorHAnsi" w:cstheme="minorBidi"/>
          <w:noProof/>
          <w:color w:val="auto"/>
          <w:lang w:eastAsia="cs-CZ"/>
        </w:rPr>
      </w:pPr>
      <w:r w:rsidRPr="004D3B29">
        <w:rPr>
          <w:b/>
          <w:sz w:val="24"/>
          <w:szCs w:val="24"/>
        </w:rPr>
        <w:fldChar w:fldCharType="begin"/>
      </w:r>
      <w:r w:rsidRPr="004D3B29">
        <w:rPr>
          <w:sz w:val="24"/>
          <w:szCs w:val="24"/>
        </w:rPr>
        <w:instrText xml:space="preserve"> TOC \o "1-3" \u \h </w:instrText>
      </w:r>
      <w:r w:rsidRPr="004D3B29">
        <w:rPr>
          <w:b/>
          <w:sz w:val="24"/>
          <w:szCs w:val="24"/>
        </w:rPr>
        <w:fldChar w:fldCharType="separate"/>
      </w:r>
      <w:hyperlink w:anchor="_Toc194654515" w:history="1">
        <w:r w:rsidR="00B76BAC" w:rsidRPr="00736150">
          <w:rPr>
            <w:rStyle w:val="Hypertextovodkaz"/>
            <w:noProof/>
            <w:lang w:eastAsia="cs-CZ"/>
          </w:rPr>
          <w:t>1.</w:t>
        </w:r>
        <w:r w:rsidR="00B76BAC">
          <w:rPr>
            <w:rFonts w:asciiTheme="minorHAnsi" w:eastAsiaTheme="minorEastAsia" w:hAnsiTheme="minorHAnsi" w:cstheme="minorBidi"/>
            <w:noProof/>
            <w:color w:val="auto"/>
            <w:lang w:eastAsia="cs-CZ"/>
          </w:rPr>
          <w:tab/>
        </w:r>
        <w:r w:rsidR="00B76BAC" w:rsidRPr="00736150">
          <w:rPr>
            <w:rStyle w:val="Hypertextovodkaz"/>
            <w:noProof/>
            <w:lang w:eastAsia="cs-CZ"/>
          </w:rPr>
          <w:t>Úvod</w:t>
        </w:r>
        <w:r w:rsidR="00B76BAC">
          <w:rPr>
            <w:noProof/>
          </w:rPr>
          <w:tab/>
        </w:r>
        <w:r w:rsidR="00B76BAC">
          <w:rPr>
            <w:noProof/>
          </w:rPr>
          <w:fldChar w:fldCharType="begin"/>
        </w:r>
        <w:r w:rsidR="00B76BAC">
          <w:rPr>
            <w:noProof/>
          </w:rPr>
          <w:instrText xml:space="preserve"> PAGEREF _Toc194654515 \h </w:instrText>
        </w:r>
        <w:r w:rsidR="00B76BAC">
          <w:rPr>
            <w:noProof/>
          </w:rPr>
        </w:r>
        <w:r w:rsidR="00B76BAC">
          <w:rPr>
            <w:noProof/>
          </w:rPr>
          <w:fldChar w:fldCharType="separate"/>
        </w:r>
        <w:r w:rsidR="00B76BAC">
          <w:rPr>
            <w:noProof/>
          </w:rPr>
          <w:t>3</w:t>
        </w:r>
        <w:r w:rsidR="00B76BAC">
          <w:rPr>
            <w:noProof/>
          </w:rPr>
          <w:fldChar w:fldCharType="end"/>
        </w:r>
      </w:hyperlink>
    </w:p>
    <w:p w14:paraId="02968F69" w14:textId="65814120" w:rsidR="00B76BAC" w:rsidRDefault="00B76BAC">
      <w:pPr>
        <w:pStyle w:val="Obsah1"/>
        <w:tabs>
          <w:tab w:val="left" w:pos="440"/>
          <w:tab w:val="right" w:leader="dot" w:pos="9628"/>
        </w:tabs>
        <w:rPr>
          <w:rFonts w:asciiTheme="minorHAnsi" w:eastAsiaTheme="minorEastAsia" w:hAnsiTheme="minorHAnsi" w:cstheme="minorBidi"/>
          <w:noProof/>
          <w:color w:val="auto"/>
          <w:lang w:eastAsia="cs-CZ"/>
        </w:rPr>
      </w:pPr>
      <w:hyperlink w:anchor="_Toc194654516" w:history="1">
        <w:r w:rsidRPr="00736150">
          <w:rPr>
            <w:rStyle w:val="Hypertextovodkaz"/>
            <w:noProof/>
            <w:lang w:eastAsia="cs-CZ"/>
          </w:rPr>
          <w:t>2.</w:t>
        </w:r>
        <w:r>
          <w:rPr>
            <w:rFonts w:asciiTheme="minorHAnsi" w:eastAsiaTheme="minorEastAsia" w:hAnsiTheme="minorHAnsi" w:cstheme="minorBidi"/>
            <w:noProof/>
            <w:color w:val="auto"/>
            <w:lang w:eastAsia="cs-CZ"/>
          </w:rPr>
          <w:tab/>
        </w:r>
        <w:r w:rsidRPr="00736150">
          <w:rPr>
            <w:rStyle w:val="Hypertextovodkaz"/>
            <w:noProof/>
            <w:lang w:eastAsia="cs-CZ"/>
          </w:rPr>
          <w:t>Akt o umělé inteligenci (AI Akt)</w:t>
        </w:r>
        <w:r>
          <w:rPr>
            <w:noProof/>
          </w:rPr>
          <w:tab/>
        </w:r>
        <w:r>
          <w:rPr>
            <w:noProof/>
          </w:rPr>
          <w:fldChar w:fldCharType="begin"/>
        </w:r>
        <w:r>
          <w:rPr>
            <w:noProof/>
          </w:rPr>
          <w:instrText xml:space="preserve"> PAGEREF _Toc194654516 \h </w:instrText>
        </w:r>
        <w:r>
          <w:rPr>
            <w:noProof/>
          </w:rPr>
        </w:r>
        <w:r>
          <w:rPr>
            <w:noProof/>
          </w:rPr>
          <w:fldChar w:fldCharType="separate"/>
        </w:r>
        <w:r>
          <w:rPr>
            <w:noProof/>
          </w:rPr>
          <w:t>3</w:t>
        </w:r>
        <w:r>
          <w:rPr>
            <w:noProof/>
          </w:rPr>
          <w:fldChar w:fldCharType="end"/>
        </w:r>
      </w:hyperlink>
    </w:p>
    <w:p w14:paraId="65086DEF" w14:textId="01A6E504" w:rsidR="00B76BAC" w:rsidRDefault="00B76BAC">
      <w:pPr>
        <w:pStyle w:val="Obsah2"/>
        <w:tabs>
          <w:tab w:val="left" w:pos="880"/>
          <w:tab w:val="right" w:leader="dot" w:pos="9628"/>
        </w:tabs>
        <w:rPr>
          <w:rFonts w:asciiTheme="minorHAnsi" w:eastAsiaTheme="minorEastAsia" w:hAnsiTheme="minorHAnsi" w:cstheme="minorBidi"/>
          <w:noProof/>
          <w:color w:val="auto"/>
          <w:lang w:eastAsia="cs-CZ"/>
        </w:rPr>
      </w:pPr>
      <w:hyperlink w:anchor="_Toc194654517" w:history="1">
        <w:r w:rsidRPr="00736150">
          <w:rPr>
            <w:rStyle w:val="Hypertextovodkaz"/>
            <w:noProof/>
          </w:rPr>
          <w:t>2.1</w:t>
        </w:r>
        <w:r>
          <w:rPr>
            <w:rFonts w:asciiTheme="minorHAnsi" w:eastAsiaTheme="minorEastAsia" w:hAnsiTheme="minorHAnsi" w:cstheme="minorBidi"/>
            <w:noProof/>
            <w:color w:val="auto"/>
            <w:lang w:eastAsia="cs-CZ"/>
          </w:rPr>
          <w:tab/>
        </w:r>
        <w:r w:rsidRPr="00736150">
          <w:rPr>
            <w:rStyle w:val="Hypertextovodkaz"/>
            <w:noProof/>
          </w:rPr>
          <w:t>Účinnost Aktu o umělé inteligenci</w:t>
        </w:r>
        <w:r>
          <w:rPr>
            <w:noProof/>
          </w:rPr>
          <w:tab/>
        </w:r>
        <w:r>
          <w:rPr>
            <w:noProof/>
          </w:rPr>
          <w:fldChar w:fldCharType="begin"/>
        </w:r>
        <w:r>
          <w:rPr>
            <w:noProof/>
          </w:rPr>
          <w:instrText xml:space="preserve"> PAGEREF _Toc194654517 \h </w:instrText>
        </w:r>
        <w:r>
          <w:rPr>
            <w:noProof/>
          </w:rPr>
        </w:r>
        <w:r>
          <w:rPr>
            <w:noProof/>
          </w:rPr>
          <w:fldChar w:fldCharType="separate"/>
        </w:r>
        <w:r>
          <w:rPr>
            <w:noProof/>
          </w:rPr>
          <w:t>4</w:t>
        </w:r>
        <w:r>
          <w:rPr>
            <w:noProof/>
          </w:rPr>
          <w:fldChar w:fldCharType="end"/>
        </w:r>
      </w:hyperlink>
    </w:p>
    <w:p w14:paraId="0F6E4BE9" w14:textId="7DD4D46C" w:rsidR="00B76BAC" w:rsidRDefault="00B76BAC">
      <w:pPr>
        <w:pStyle w:val="Obsah2"/>
        <w:tabs>
          <w:tab w:val="left" w:pos="880"/>
          <w:tab w:val="right" w:leader="dot" w:pos="9628"/>
        </w:tabs>
        <w:rPr>
          <w:rFonts w:asciiTheme="minorHAnsi" w:eastAsiaTheme="minorEastAsia" w:hAnsiTheme="minorHAnsi" w:cstheme="minorBidi"/>
          <w:noProof/>
          <w:color w:val="auto"/>
          <w:lang w:eastAsia="cs-CZ"/>
        </w:rPr>
      </w:pPr>
      <w:hyperlink w:anchor="_Toc194654518" w:history="1">
        <w:r w:rsidRPr="00736150">
          <w:rPr>
            <w:rStyle w:val="Hypertextovodkaz"/>
            <w:noProof/>
            <w:lang w:eastAsia="cs-CZ"/>
          </w:rPr>
          <w:t>2.2</w:t>
        </w:r>
        <w:r>
          <w:rPr>
            <w:rFonts w:asciiTheme="minorHAnsi" w:eastAsiaTheme="minorEastAsia" w:hAnsiTheme="minorHAnsi" w:cstheme="minorBidi"/>
            <w:noProof/>
            <w:color w:val="auto"/>
            <w:lang w:eastAsia="cs-CZ"/>
          </w:rPr>
          <w:tab/>
        </w:r>
        <w:r w:rsidRPr="00736150">
          <w:rPr>
            <w:rStyle w:val="Hypertextovodkaz"/>
            <w:noProof/>
            <w:lang w:eastAsia="cs-CZ"/>
          </w:rPr>
          <w:t>Povinnosti pro Českou republiku</w:t>
        </w:r>
        <w:r>
          <w:rPr>
            <w:noProof/>
          </w:rPr>
          <w:tab/>
        </w:r>
        <w:r>
          <w:rPr>
            <w:noProof/>
          </w:rPr>
          <w:fldChar w:fldCharType="begin"/>
        </w:r>
        <w:r>
          <w:rPr>
            <w:noProof/>
          </w:rPr>
          <w:instrText xml:space="preserve"> PAGEREF _Toc194654518 \h </w:instrText>
        </w:r>
        <w:r>
          <w:rPr>
            <w:noProof/>
          </w:rPr>
        </w:r>
        <w:r>
          <w:rPr>
            <w:noProof/>
          </w:rPr>
          <w:fldChar w:fldCharType="separate"/>
        </w:r>
        <w:r>
          <w:rPr>
            <w:noProof/>
          </w:rPr>
          <w:t>4</w:t>
        </w:r>
        <w:r>
          <w:rPr>
            <w:noProof/>
          </w:rPr>
          <w:fldChar w:fldCharType="end"/>
        </w:r>
      </w:hyperlink>
    </w:p>
    <w:p w14:paraId="1562EB36" w14:textId="791DC903" w:rsidR="00B76BAC" w:rsidRDefault="00B76BAC">
      <w:pPr>
        <w:pStyle w:val="Obsah1"/>
        <w:tabs>
          <w:tab w:val="left" w:pos="440"/>
          <w:tab w:val="right" w:leader="dot" w:pos="9628"/>
        </w:tabs>
        <w:rPr>
          <w:rFonts w:asciiTheme="minorHAnsi" w:eastAsiaTheme="minorEastAsia" w:hAnsiTheme="minorHAnsi" w:cstheme="minorBidi"/>
          <w:noProof/>
          <w:color w:val="auto"/>
          <w:lang w:eastAsia="cs-CZ"/>
        </w:rPr>
      </w:pPr>
      <w:hyperlink w:anchor="_Toc194654519" w:history="1">
        <w:r w:rsidRPr="00736150">
          <w:rPr>
            <w:rStyle w:val="Hypertextovodkaz"/>
            <w:noProof/>
          </w:rPr>
          <w:t>3.</w:t>
        </w:r>
        <w:r>
          <w:rPr>
            <w:rFonts w:asciiTheme="minorHAnsi" w:eastAsiaTheme="minorEastAsia" w:hAnsiTheme="minorHAnsi" w:cstheme="minorBidi"/>
            <w:noProof/>
            <w:color w:val="auto"/>
            <w:lang w:eastAsia="cs-CZ"/>
          </w:rPr>
          <w:tab/>
        </w:r>
        <w:r w:rsidRPr="00736150">
          <w:rPr>
            <w:rStyle w:val="Hypertextovodkaz"/>
            <w:noProof/>
            <w:lang w:eastAsia="cs-CZ"/>
          </w:rPr>
          <w:t>Cíle materiálu</w:t>
        </w:r>
        <w:r>
          <w:rPr>
            <w:noProof/>
          </w:rPr>
          <w:tab/>
        </w:r>
        <w:r>
          <w:rPr>
            <w:noProof/>
          </w:rPr>
          <w:fldChar w:fldCharType="begin"/>
        </w:r>
        <w:r>
          <w:rPr>
            <w:noProof/>
          </w:rPr>
          <w:instrText xml:space="preserve"> PAGEREF _Toc194654519 \h </w:instrText>
        </w:r>
        <w:r>
          <w:rPr>
            <w:noProof/>
          </w:rPr>
        </w:r>
        <w:r>
          <w:rPr>
            <w:noProof/>
          </w:rPr>
          <w:fldChar w:fldCharType="separate"/>
        </w:r>
        <w:r>
          <w:rPr>
            <w:noProof/>
          </w:rPr>
          <w:t>5</w:t>
        </w:r>
        <w:r>
          <w:rPr>
            <w:noProof/>
          </w:rPr>
          <w:fldChar w:fldCharType="end"/>
        </w:r>
      </w:hyperlink>
    </w:p>
    <w:p w14:paraId="0EE627A0" w14:textId="76465AEC" w:rsidR="00B76BAC" w:rsidRDefault="00B76BAC">
      <w:pPr>
        <w:pStyle w:val="Obsah2"/>
        <w:tabs>
          <w:tab w:val="left" w:pos="880"/>
          <w:tab w:val="right" w:leader="dot" w:pos="9628"/>
        </w:tabs>
        <w:rPr>
          <w:rFonts w:asciiTheme="minorHAnsi" w:eastAsiaTheme="minorEastAsia" w:hAnsiTheme="minorHAnsi" w:cstheme="minorBidi"/>
          <w:noProof/>
          <w:color w:val="auto"/>
          <w:lang w:eastAsia="cs-CZ"/>
        </w:rPr>
      </w:pPr>
      <w:hyperlink w:anchor="_Toc194654520" w:history="1">
        <w:r w:rsidRPr="00736150">
          <w:rPr>
            <w:rStyle w:val="Hypertextovodkaz"/>
            <w:noProof/>
            <w:lang w:eastAsia="cs-CZ"/>
          </w:rPr>
          <w:t>3.1</w:t>
        </w:r>
        <w:r>
          <w:rPr>
            <w:rFonts w:asciiTheme="minorHAnsi" w:eastAsiaTheme="minorEastAsia" w:hAnsiTheme="minorHAnsi" w:cstheme="minorBidi"/>
            <w:noProof/>
            <w:color w:val="auto"/>
            <w:lang w:eastAsia="cs-CZ"/>
          </w:rPr>
          <w:tab/>
        </w:r>
        <w:r w:rsidRPr="00736150">
          <w:rPr>
            <w:rStyle w:val="Hypertextovodkaz"/>
            <w:noProof/>
            <w:lang w:eastAsia="cs-CZ"/>
          </w:rPr>
          <w:t>Určení gestora AI Aktu</w:t>
        </w:r>
        <w:r>
          <w:rPr>
            <w:noProof/>
          </w:rPr>
          <w:tab/>
        </w:r>
        <w:r>
          <w:rPr>
            <w:noProof/>
          </w:rPr>
          <w:fldChar w:fldCharType="begin"/>
        </w:r>
        <w:r>
          <w:rPr>
            <w:noProof/>
          </w:rPr>
          <w:instrText xml:space="preserve"> PAGEREF _Toc194654520 \h </w:instrText>
        </w:r>
        <w:r>
          <w:rPr>
            <w:noProof/>
          </w:rPr>
        </w:r>
        <w:r>
          <w:rPr>
            <w:noProof/>
          </w:rPr>
          <w:fldChar w:fldCharType="separate"/>
        </w:r>
        <w:r>
          <w:rPr>
            <w:noProof/>
          </w:rPr>
          <w:t>5</w:t>
        </w:r>
        <w:r>
          <w:rPr>
            <w:noProof/>
          </w:rPr>
          <w:fldChar w:fldCharType="end"/>
        </w:r>
      </w:hyperlink>
    </w:p>
    <w:p w14:paraId="2E8AD0A9" w14:textId="7974D3DE" w:rsidR="00B76BAC" w:rsidRDefault="00B76BAC">
      <w:pPr>
        <w:pStyle w:val="Obsah2"/>
        <w:tabs>
          <w:tab w:val="left" w:pos="880"/>
          <w:tab w:val="right" w:leader="dot" w:pos="9628"/>
        </w:tabs>
        <w:rPr>
          <w:rFonts w:asciiTheme="minorHAnsi" w:eastAsiaTheme="minorEastAsia" w:hAnsiTheme="minorHAnsi" w:cstheme="minorBidi"/>
          <w:noProof/>
          <w:color w:val="auto"/>
          <w:lang w:eastAsia="cs-CZ"/>
        </w:rPr>
      </w:pPr>
      <w:hyperlink w:anchor="_Toc194654521" w:history="1">
        <w:r w:rsidRPr="00736150">
          <w:rPr>
            <w:rStyle w:val="Hypertextovodkaz"/>
            <w:noProof/>
          </w:rPr>
          <w:t>3.2</w:t>
        </w:r>
        <w:r>
          <w:rPr>
            <w:rFonts w:asciiTheme="minorHAnsi" w:eastAsiaTheme="minorEastAsia" w:hAnsiTheme="minorHAnsi" w:cstheme="minorBidi"/>
            <w:noProof/>
            <w:color w:val="auto"/>
            <w:lang w:eastAsia="cs-CZ"/>
          </w:rPr>
          <w:tab/>
        </w:r>
        <w:r w:rsidRPr="00736150">
          <w:rPr>
            <w:rStyle w:val="Hypertextovodkaz"/>
            <w:noProof/>
          </w:rPr>
          <w:t>Určení orgánu dozoru nad trhem a centrálního dozorového orgánu pro vymáhání AI Aktu</w:t>
        </w:r>
        <w:r>
          <w:rPr>
            <w:noProof/>
          </w:rPr>
          <w:tab/>
        </w:r>
        <w:r>
          <w:rPr>
            <w:noProof/>
          </w:rPr>
          <w:fldChar w:fldCharType="begin"/>
        </w:r>
        <w:r>
          <w:rPr>
            <w:noProof/>
          </w:rPr>
          <w:instrText xml:space="preserve"> PAGEREF _Toc194654521 \h </w:instrText>
        </w:r>
        <w:r>
          <w:rPr>
            <w:noProof/>
          </w:rPr>
        </w:r>
        <w:r>
          <w:rPr>
            <w:noProof/>
          </w:rPr>
          <w:fldChar w:fldCharType="separate"/>
        </w:r>
        <w:r>
          <w:rPr>
            <w:noProof/>
          </w:rPr>
          <w:t>6</w:t>
        </w:r>
        <w:r>
          <w:rPr>
            <w:noProof/>
          </w:rPr>
          <w:fldChar w:fldCharType="end"/>
        </w:r>
      </w:hyperlink>
    </w:p>
    <w:p w14:paraId="1E73AB54" w14:textId="3A26FD10" w:rsidR="00B76BAC" w:rsidRDefault="00B76BAC">
      <w:pPr>
        <w:pStyle w:val="Obsah2"/>
        <w:tabs>
          <w:tab w:val="left" w:pos="880"/>
          <w:tab w:val="right" w:leader="dot" w:pos="9628"/>
        </w:tabs>
        <w:rPr>
          <w:rFonts w:asciiTheme="minorHAnsi" w:eastAsiaTheme="minorEastAsia" w:hAnsiTheme="minorHAnsi" w:cstheme="minorBidi"/>
          <w:noProof/>
          <w:color w:val="auto"/>
          <w:lang w:eastAsia="cs-CZ"/>
        </w:rPr>
      </w:pPr>
      <w:hyperlink w:anchor="_Toc194654522" w:history="1">
        <w:r w:rsidRPr="00736150">
          <w:rPr>
            <w:rStyle w:val="Hypertextovodkaz"/>
            <w:noProof/>
          </w:rPr>
          <w:t>3.3</w:t>
        </w:r>
        <w:r>
          <w:rPr>
            <w:rFonts w:asciiTheme="minorHAnsi" w:eastAsiaTheme="minorEastAsia" w:hAnsiTheme="minorHAnsi" w:cstheme="minorBidi"/>
            <w:noProof/>
            <w:color w:val="auto"/>
            <w:lang w:eastAsia="cs-CZ"/>
          </w:rPr>
          <w:tab/>
        </w:r>
        <w:r w:rsidRPr="00736150">
          <w:rPr>
            <w:rStyle w:val="Hypertextovodkaz"/>
            <w:noProof/>
          </w:rPr>
          <w:t>Určení oznamujícího orgánu</w:t>
        </w:r>
        <w:r>
          <w:rPr>
            <w:noProof/>
          </w:rPr>
          <w:tab/>
        </w:r>
        <w:r>
          <w:rPr>
            <w:noProof/>
          </w:rPr>
          <w:fldChar w:fldCharType="begin"/>
        </w:r>
        <w:r>
          <w:rPr>
            <w:noProof/>
          </w:rPr>
          <w:instrText xml:space="preserve"> PAGEREF _Toc194654522 \h </w:instrText>
        </w:r>
        <w:r>
          <w:rPr>
            <w:noProof/>
          </w:rPr>
        </w:r>
        <w:r>
          <w:rPr>
            <w:noProof/>
          </w:rPr>
          <w:fldChar w:fldCharType="separate"/>
        </w:r>
        <w:r>
          <w:rPr>
            <w:noProof/>
          </w:rPr>
          <w:t>8</w:t>
        </w:r>
        <w:r>
          <w:rPr>
            <w:noProof/>
          </w:rPr>
          <w:fldChar w:fldCharType="end"/>
        </w:r>
      </w:hyperlink>
    </w:p>
    <w:p w14:paraId="56807760" w14:textId="0A8EA2D7" w:rsidR="00B76BAC" w:rsidRDefault="00B76BAC">
      <w:pPr>
        <w:pStyle w:val="Obsah2"/>
        <w:tabs>
          <w:tab w:val="left" w:pos="880"/>
          <w:tab w:val="right" w:leader="dot" w:pos="9628"/>
        </w:tabs>
        <w:rPr>
          <w:rFonts w:asciiTheme="minorHAnsi" w:eastAsiaTheme="minorEastAsia" w:hAnsiTheme="minorHAnsi" w:cstheme="minorBidi"/>
          <w:noProof/>
          <w:color w:val="auto"/>
          <w:lang w:eastAsia="cs-CZ"/>
        </w:rPr>
      </w:pPr>
      <w:hyperlink w:anchor="_Toc194654523" w:history="1">
        <w:r w:rsidRPr="00736150">
          <w:rPr>
            <w:rStyle w:val="Hypertextovodkaz"/>
            <w:noProof/>
          </w:rPr>
          <w:t>3.4</w:t>
        </w:r>
        <w:r>
          <w:rPr>
            <w:rFonts w:asciiTheme="minorHAnsi" w:eastAsiaTheme="minorEastAsia" w:hAnsiTheme="minorHAnsi" w:cstheme="minorBidi"/>
            <w:noProof/>
            <w:color w:val="auto"/>
            <w:lang w:eastAsia="cs-CZ"/>
          </w:rPr>
          <w:tab/>
        </w:r>
        <w:r w:rsidRPr="00736150">
          <w:rPr>
            <w:rStyle w:val="Hypertextovodkaz"/>
            <w:noProof/>
          </w:rPr>
          <w:t>Určení orgánu pro realizaci regulačního sandboxu</w:t>
        </w:r>
        <w:r>
          <w:rPr>
            <w:noProof/>
          </w:rPr>
          <w:tab/>
        </w:r>
        <w:r>
          <w:rPr>
            <w:noProof/>
          </w:rPr>
          <w:fldChar w:fldCharType="begin"/>
        </w:r>
        <w:r>
          <w:rPr>
            <w:noProof/>
          </w:rPr>
          <w:instrText xml:space="preserve"> PAGEREF _Toc194654523 \h </w:instrText>
        </w:r>
        <w:r>
          <w:rPr>
            <w:noProof/>
          </w:rPr>
        </w:r>
        <w:r>
          <w:rPr>
            <w:noProof/>
          </w:rPr>
          <w:fldChar w:fldCharType="separate"/>
        </w:r>
        <w:r>
          <w:rPr>
            <w:noProof/>
          </w:rPr>
          <w:t>9</w:t>
        </w:r>
        <w:r>
          <w:rPr>
            <w:noProof/>
          </w:rPr>
          <w:fldChar w:fldCharType="end"/>
        </w:r>
      </w:hyperlink>
    </w:p>
    <w:p w14:paraId="1970911E" w14:textId="0B694391" w:rsidR="00B76BAC" w:rsidRDefault="00B76BAC">
      <w:pPr>
        <w:pStyle w:val="Obsah2"/>
        <w:tabs>
          <w:tab w:val="left" w:pos="880"/>
          <w:tab w:val="right" w:leader="dot" w:pos="9628"/>
        </w:tabs>
        <w:rPr>
          <w:rFonts w:asciiTheme="minorHAnsi" w:eastAsiaTheme="minorEastAsia" w:hAnsiTheme="minorHAnsi" w:cstheme="minorBidi"/>
          <w:noProof/>
          <w:color w:val="auto"/>
          <w:lang w:eastAsia="cs-CZ"/>
        </w:rPr>
      </w:pPr>
      <w:hyperlink w:anchor="_Toc194654524" w:history="1">
        <w:r w:rsidRPr="00736150">
          <w:rPr>
            <w:rStyle w:val="Hypertextovodkaz"/>
            <w:noProof/>
          </w:rPr>
          <w:t>3.5</w:t>
        </w:r>
        <w:r>
          <w:rPr>
            <w:rFonts w:asciiTheme="minorHAnsi" w:eastAsiaTheme="minorEastAsia" w:hAnsiTheme="minorHAnsi" w:cstheme="minorBidi"/>
            <w:noProof/>
            <w:color w:val="auto"/>
            <w:lang w:eastAsia="cs-CZ"/>
          </w:rPr>
          <w:tab/>
        </w:r>
        <w:r w:rsidRPr="00736150">
          <w:rPr>
            <w:rStyle w:val="Hypertextovodkaz"/>
            <w:noProof/>
          </w:rPr>
          <w:t>Rozhodnutí o adaptaci právního řádu České republiky na AI Akt a návrh konkrétního řešení</w:t>
        </w:r>
        <w:r>
          <w:rPr>
            <w:noProof/>
          </w:rPr>
          <w:tab/>
        </w:r>
        <w:r>
          <w:rPr>
            <w:noProof/>
          </w:rPr>
          <w:fldChar w:fldCharType="begin"/>
        </w:r>
        <w:r>
          <w:rPr>
            <w:noProof/>
          </w:rPr>
          <w:instrText xml:space="preserve"> PAGEREF _Toc194654524 \h </w:instrText>
        </w:r>
        <w:r>
          <w:rPr>
            <w:noProof/>
          </w:rPr>
        </w:r>
        <w:r>
          <w:rPr>
            <w:noProof/>
          </w:rPr>
          <w:fldChar w:fldCharType="separate"/>
        </w:r>
        <w:r>
          <w:rPr>
            <w:noProof/>
          </w:rPr>
          <w:t>10</w:t>
        </w:r>
        <w:r>
          <w:rPr>
            <w:noProof/>
          </w:rPr>
          <w:fldChar w:fldCharType="end"/>
        </w:r>
      </w:hyperlink>
    </w:p>
    <w:p w14:paraId="0E7BED50" w14:textId="47F15640" w:rsidR="00B76BAC" w:rsidRDefault="00B76BAC">
      <w:pPr>
        <w:pStyle w:val="Obsah2"/>
        <w:tabs>
          <w:tab w:val="left" w:pos="880"/>
          <w:tab w:val="right" w:leader="dot" w:pos="9628"/>
        </w:tabs>
        <w:rPr>
          <w:rFonts w:asciiTheme="minorHAnsi" w:eastAsiaTheme="minorEastAsia" w:hAnsiTheme="minorHAnsi" w:cstheme="minorBidi"/>
          <w:noProof/>
          <w:color w:val="auto"/>
          <w:lang w:eastAsia="cs-CZ"/>
        </w:rPr>
      </w:pPr>
      <w:hyperlink w:anchor="_Toc194654525" w:history="1">
        <w:r w:rsidRPr="00736150">
          <w:rPr>
            <w:rStyle w:val="Hypertextovodkaz"/>
            <w:noProof/>
          </w:rPr>
          <w:t>3.6.</w:t>
        </w:r>
        <w:r>
          <w:rPr>
            <w:rFonts w:asciiTheme="minorHAnsi" w:eastAsiaTheme="minorEastAsia" w:hAnsiTheme="minorHAnsi" w:cstheme="minorBidi"/>
            <w:noProof/>
            <w:color w:val="auto"/>
            <w:lang w:eastAsia="cs-CZ"/>
          </w:rPr>
          <w:tab/>
        </w:r>
        <w:r w:rsidRPr="00736150">
          <w:rPr>
            <w:rStyle w:val="Hypertextovodkaz"/>
            <w:noProof/>
          </w:rPr>
          <w:t>Zřízení Kompetenčního centra AI pro eGovernment na MPO</w:t>
        </w:r>
        <w:r>
          <w:rPr>
            <w:noProof/>
          </w:rPr>
          <w:tab/>
        </w:r>
        <w:r>
          <w:rPr>
            <w:noProof/>
          </w:rPr>
          <w:fldChar w:fldCharType="begin"/>
        </w:r>
        <w:r>
          <w:rPr>
            <w:noProof/>
          </w:rPr>
          <w:instrText xml:space="preserve"> PAGEREF _Toc194654525 \h </w:instrText>
        </w:r>
        <w:r>
          <w:rPr>
            <w:noProof/>
          </w:rPr>
        </w:r>
        <w:r>
          <w:rPr>
            <w:noProof/>
          </w:rPr>
          <w:fldChar w:fldCharType="separate"/>
        </w:r>
        <w:r>
          <w:rPr>
            <w:noProof/>
          </w:rPr>
          <w:t>11</w:t>
        </w:r>
        <w:r>
          <w:rPr>
            <w:noProof/>
          </w:rPr>
          <w:fldChar w:fldCharType="end"/>
        </w:r>
      </w:hyperlink>
    </w:p>
    <w:p w14:paraId="434BDF7E" w14:textId="013E178B" w:rsidR="00B76BAC" w:rsidRDefault="00B76BAC">
      <w:pPr>
        <w:pStyle w:val="Obsah1"/>
        <w:tabs>
          <w:tab w:val="left" w:pos="440"/>
          <w:tab w:val="right" w:leader="dot" w:pos="9628"/>
        </w:tabs>
        <w:rPr>
          <w:rFonts w:asciiTheme="minorHAnsi" w:eastAsiaTheme="minorEastAsia" w:hAnsiTheme="minorHAnsi" w:cstheme="minorBidi"/>
          <w:noProof/>
          <w:color w:val="auto"/>
          <w:lang w:eastAsia="cs-CZ"/>
        </w:rPr>
      </w:pPr>
      <w:hyperlink w:anchor="_Toc194654526" w:history="1">
        <w:r w:rsidRPr="00736150">
          <w:rPr>
            <w:rStyle w:val="Hypertextovodkaz"/>
            <w:noProof/>
          </w:rPr>
          <w:t>4.</w:t>
        </w:r>
        <w:r>
          <w:rPr>
            <w:rFonts w:asciiTheme="minorHAnsi" w:eastAsiaTheme="minorEastAsia" w:hAnsiTheme="minorHAnsi" w:cstheme="minorBidi"/>
            <w:noProof/>
            <w:color w:val="auto"/>
            <w:lang w:eastAsia="cs-CZ"/>
          </w:rPr>
          <w:tab/>
        </w:r>
        <w:r w:rsidRPr="00736150">
          <w:rPr>
            <w:rStyle w:val="Hypertextovodkaz"/>
            <w:noProof/>
          </w:rPr>
          <w:t>Zajištění finančních zdrojů ze státního rozpočtu (MF) a personálních kapacit na implementaci a vymáhání AI Aktu</w:t>
        </w:r>
        <w:r>
          <w:rPr>
            <w:noProof/>
          </w:rPr>
          <w:tab/>
        </w:r>
        <w:r>
          <w:rPr>
            <w:noProof/>
          </w:rPr>
          <w:fldChar w:fldCharType="begin"/>
        </w:r>
        <w:r>
          <w:rPr>
            <w:noProof/>
          </w:rPr>
          <w:instrText xml:space="preserve"> PAGEREF _Toc194654526 \h </w:instrText>
        </w:r>
        <w:r>
          <w:rPr>
            <w:noProof/>
          </w:rPr>
        </w:r>
        <w:r>
          <w:rPr>
            <w:noProof/>
          </w:rPr>
          <w:fldChar w:fldCharType="separate"/>
        </w:r>
        <w:r>
          <w:rPr>
            <w:noProof/>
          </w:rPr>
          <w:t>12</w:t>
        </w:r>
        <w:r>
          <w:rPr>
            <w:noProof/>
          </w:rPr>
          <w:fldChar w:fldCharType="end"/>
        </w:r>
      </w:hyperlink>
    </w:p>
    <w:p w14:paraId="50C9BEE9" w14:textId="5C7C7579" w:rsidR="00B76BAC" w:rsidRDefault="00B76BAC">
      <w:pPr>
        <w:pStyle w:val="Obsah1"/>
        <w:tabs>
          <w:tab w:val="left" w:pos="440"/>
          <w:tab w:val="right" w:leader="dot" w:pos="9628"/>
        </w:tabs>
        <w:rPr>
          <w:rFonts w:asciiTheme="minorHAnsi" w:eastAsiaTheme="minorEastAsia" w:hAnsiTheme="minorHAnsi" w:cstheme="minorBidi"/>
          <w:noProof/>
          <w:color w:val="auto"/>
          <w:lang w:eastAsia="cs-CZ"/>
        </w:rPr>
      </w:pPr>
      <w:hyperlink w:anchor="_Toc194654527" w:history="1">
        <w:r w:rsidRPr="00736150">
          <w:rPr>
            <w:rStyle w:val="Hypertextovodkaz"/>
            <w:noProof/>
          </w:rPr>
          <w:t>5.</w:t>
        </w:r>
        <w:r>
          <w:rPr>
            <w:rFonts w:asciiTheme="minorHAnsi" w:eastAsiaTheme="minorEastAsia" w:hAnsiTheme="minorHAnsi" w:cstheme="minorBidi"/>
            <w:noProof/>
            <w:color w:val="auto"/>
            <w:lang w:eastAsia="cs-CZ"/>
          </w:rPr>
          <w:tab/>
        </w:r>
        <w:r w:rsidRPr="00736150">
          <w:rPr>
            <w:rStyle w:val="Hypertextovodkaz"/>
            <w:noProof/>
          </w:rPr>
          <w:t>Implementace AI Aktu v jiných členských státech EU</w:t>
        </w:r>
        <w:r>
          <w:rPr>
            <w:noProof/>
          </w:rPr>
          <w:tab/>
        </w:r>
        <w:r>
          <w:rPr>
            <w:noProof/>
          </w:rPr>
          <w:fldChar w:fldCharType="begin"/>
        </w:r>
        <w:r>
          <w:rPr>
            <w:noProof/>
          </w:rPr>
          <w:instrText xml:space="preserve"> PAGEREF _Toc194654527 \h </w:instrText>
        </w:r>
        <w:r>
          <w:rPr>
            <w:noProof/>
          </w:rPr>
        </w:r>
        <w:r>
          <w:rPr>
            <w:noProof/>
          </w:rPr>
          <w:fldChar w:fldCharType="separate"/>
        </w:r>
        <w:r>
          <w:rPr>
            <w:noProof/>
          </w:rPr>
          <w:t>17</w:t>
        </w:r>
        <w:r>
          <w:rPr>
            <w:noProof/>
          </w:rPr>
          <w:fldChar w:fldCharType="end"/>
        </w:r>
      </w:hyperlink>
    </w:p>
    <w:p w14:paraId="66ADDE30" w14:textId="235F0C6A" w:rsidR="00B76BAC" w:rsidRDefault="00B76BAC">
      <w:pPr>
        <w:pStyle w:val="Obsah1"/>
        <w:tabs>
          <w:tab w:val="left" w:pos="440"/>
          <w:tab w:val="right" w:leader="dot" w:pos="9628"/>
        </w:tabs>
        <w:rPr>
          <w:rFonts w:asciiTheme="minorHAnsi" w:eastAsiaTheme="minorEastAsia" w:hAnsiTheme="minorHAnsi" w:cstheme="minorBidi"/>
          <w:noProof/>
          <w:color w:val="auto"/>
          <w:lang w:eastAsia="cs-CZ"/>
        </w:rPr>
      </w:pPr>
      <w:hyperlink w:anchor="_Toc194654528" w:history="1">
        <w:r w:rsidRPr="00736150">
          <w:rPr>
            <w:rStyle w:val="Hypertextovodkaz"/>
            <w:noProof/>
          </w:rPr>
          <w:t>6.</w:t>
        </w:r>
        <w:r>
          <w:rPr>
            <w:rFonts w:asciiTheme="minorHAnsi" w:eastAsiaTheme="minorEastAsia" w:hAnsiTheme="minorHAnsi" w:cstheme="minorBidi"/>
            <w:noProof/>
            <w:color w:val="auto"/>
            <w:lang w:eastAsia="cs-CZ"/>
          </w:rPr>
          <w:tab/>
        </w:r>
        <w:r w:rsidRPr="00736150">
          <w:rPr>
            <w:rStyle w:val="Hypertextovodkaz"/>
            <w:noProof/>
          </w:rPr>
          <w:t>Závěry</w:t>
        </w:r>
        <w:r>
          <w:rPr>
            <w:noProof/>
          </w:rPr>
          <w:tab/>
        </w:r>
        <w:r>
          <w:rPr>
            <w:noProof/>
          </w:rPr>
          <w:fldChar w:fldCharType="begin"/>
        </w:r>
        <w:r>
          <w:rPr>
            <w:noProof/>
          </w:rPr>
          <w:instrText xml:space="preserve"> PAGEREF _Toc194654528 \h </w:instrText>
        </w:r>
        <w:r>
          <w:rPr>
            <w:noProof/>
          </w:rPr>
        </w:r>
        <w:r>
          <w:rPr>
            <w:noProof/>
          </w:rPr>
          <w:fldChar w:fldCharType="separate"/>
        </w:r>
        <w:r>
          <w:rPr>
            <w:noProof/>
          </w:rPr>
          <w:t>18</w:t>
        </w:r>
        <w:r>
          <w:rPr>
            <w:noProof/>
          </w:rPr>
          <w:fldChar w:fldCharType="end"/>
        </w:r>
      </w:hyperlink>
    </w:p>
    <w:p w14:paraId="3731C6B5" w14:textId="68A492F0" w:rsidR="00B76BAC" w:rsidRDefault="00B76BAC">
      <w:pPr>
        <w:pStyle w:val="Obsah1"/>
        <w:tabs>
          <w:tab w:val="left" w:pos="440"/>
          <w:tab w:val="right" w:leader="dot" w:pos="9628"/>
        </w:tabs>
        <w:rPr>
          <w:rFonts w:asciiTheme="minorHAnsi" w:eastAsiaTheme="minorEastAsia" w:hAnsiTheme="minorHAnsi" w:cstheme="minorBidi"/>
          <w:noProof/>
          <w:color w:val="auto"/>
          <w:lang w:eastAsia="cs-CZ"/>
        </w:rPr>
      </w:pPr>
      <w:hyperlink w:anchor="_Toc194654529" w:history="1">
        <w:r w:rsidRPr="00736150">
          <w:rPr>
            <w:rStyle w:val="Hypertextovodkaz"/>
            <w:noProof/>
          </w:rPr>
          <w:t>7.</w:t>
        </w:r>
        <w:r>
          <w:rPr>
            <w:rFonts w:asciiTheme="minorHAnsi" w:eastAsiaTheme="minorEastAsia" w:hAnsiTheme="minorHAnsi" w:cstheme="minorBidi"/>
            <w:noProof/>
            <w:color w:val="auto"/>
            <w:lang w:eastAsia="cs-CZ"/>
          </w:rPr>
          <w:tab/>
        </w:r>
        <w:r w:rsidRPr="00736150">
          <w:rPr>
            <w:rStyle w:val="Hypertextovodkaz"/>
            <w:noProof/>
          </w:rPr>
          <w:t>Přílohy</w:t>
        </w:r>
        <w:r>
          <w:rPr>
            <w:noProof/>
          </w:rPr>
          <w:tab/>
        </w:r>
        <w:r>
          <w:rPr>
            <w:noProof/>
          </w:rPr>
          <w:fldChar w:fldCharType="begin"/>
        </w:r>
        <w:r>
          <w:rPr>
            <w:noProof/>
          </w:rPr>
          <w:instrText xml:space="preserve"> PAGEREF _Toc194654529 \h </w:instrText>
        </w:r>
        <w:r>
          <w:rPr>
            <w:noProof/>
          </w:rPr>
        </w:r>
        <w:r>
          <w:rPr>
            <w:noProof/>
          </w:rPr>
          <w:fldChar w:fldCharType="separate"/>
        </w:r>
        <w:r>
          <w:rPr>
            <w:noProof/>
          </w:rPr>
          <w:t>20</w:t>
        </w:r>
        <w:r>
          <w:rPr>
            <w:noProof/>
          </w:rPr>
          <w:fldChar w:fldCharType="end"/>
        </w:r>
      </w:hyperlink>
    </w:p>
    <w:p w14:paraId="0BA0DD7B" w14:textId="54B4D5B9" w:rsidR="00B76BAC" w:rsidRDefault="00B76BAC">
      <w:pPr>
        <w:pStyle w:val="Obsah1"/>
        <w:tabs>
          <w:tab w:val="right" w:leader="dot" w:pos="9628"/>
        </w:tabs>
        <w:rPr>
          <w:rFonts w:asciiTheme="minorHAnsi" w:eastAsiaTheme="minorEastAsia" w:hAnsiTheme="minorHAnsi" w:cstheme="minorBidi"/>
          <w:noProof/>
          <w:color w:val="auto"/>
          <w:lang w:eastAsia="cs-CZ"/>
        </w:rPr>
      </w:pPr>
      <w:hyperlink w:anchor="_Toc194654530" w:history="1">
        <w:r w:rsidRPr="00736150">
          <w:rPr>
            <w:rStyle w:val="Hypertextovodkaz"/>
            <w:noProof/>
          </w:rPr>
          <w:t>Příloha I. Dosavadní podpora rozvoje AI v ČR ze strany MPO</w:t>
        </w:r>
        <w:r>
          <w:rPr>
            <w:noProof/>
          </w:rPr>
          <w:tab/>
        </w:r>
        <w:r>
          <w:rPr>
            <w:noProof/>
          </w:rPr>
          <w:fldChar w:fldCharType="begin"/>
        </w:r>
        <w:r>
          <w:rPr>
            <w:noProof/>
          </w:rPr>
          <w:instrText xml:space="preserve"> PAGEREF _Toc194654530 \h </w:instrText>
        </w:r>
        <w:r>
          <w:rPr>
            <w:noProof/>
          </w:rPr>
        </w:r>
        <w:r>
          <w:rPr>
            <w:noProof/>
          </w:rPr>
          <w:fldChar w:fldCharType="separate"/>
        </w:r>
        <w:r>
          <w:rPr>
            <w:noProof/>
          </w:rPr>
          <w:t>20</w:t>
        </w:r>
        <w:r>
          <w:rPr>
            <w:noProof/>
          </w:rPr>
          <w:fldChar w:fldCharType="end"/>
        </w:r>
      </w:hyperlink>
    </w:p>
    <w:p w14:paraId="355D755A" w14:textId="53594414" w:rsidR="00B76BAC" w:rsidRDefault="00B76BAC">
      <w:pPr>
        <w:pStyle w:val="Obsah1"/>
        <w:tabs>
          <w:tab w:val="right" w:leader="dot" w:pos="9628"/>
        </w:tabs>
        <w:rPr>
          <w:rFonts w:asciiTheme="minorHAnsi" w:eastAsiaTheme="minorEastAsia" w:hAnsiTheme="minorHAnsi" w:cstheme="minorBidi"/>
          <w:noProof/>
          <w:color w:val="auto"/>
          <w:lang w:eastAsia="cs-CZ"/>
        </w:rPr>
      </w:pPr>
      <w:hyperlink w:anchor="_Toc194654531" w:history="1">
        <w:r w:rsidRPr="00736150">
          <w:rPr>
            <w:rStyle w:val="Hypertextovodkaz"/>
            <w:noProof/>
          </w:rPr>
          <w:t>Příloha II. Mapování potřeb</w:t>
        </w:r>
        <w:r>
          <w:rPr>
            <w:noProof/>
          </w:rPr>
          <w:tab/>
        </w:r>
        <w:r>
          <w:rPr>
            <w:noProof/>
          </w:rPr>
          <w:fldChar w:fldCharType="begin"/>
        </w:r>
        <w:r>
          <w:rPr>
            <w:noProof/>
          </w:rPr>
          <w:instrText xml:space="preserve"> PAGEREF _Toc194654531 \h </w:instrText>
        </w:r>
        <w:r>
          <w:rPr>
            <w:noProof/>
          </w:rPr>
        </w:r>
        <w:r>
          <w:rPr>
            <w:noProof/>
          </w:rPr>
          <w:fldChar w:fldCharType="separate"/>
        </w:r>
        <w:r>
          <w:rPr>
            <w:noProof/>
          </w:rPr>
          <w:t>26</w:t>
        </w:r>
        <w:r>
          <w:rPr>
            <w:noProof/>
          </w:rPr>
          <w:fldChar w:fldCharType="end"/>
        </w:r>
      </w:hyperlink>
    </w:p>
    <w:p w14:paraId="5D6BC3FA" w14:textId="335FE49A" w:rsidR="00B76BAC" w:rsidRDefault="00B76BAC">
      <w:pPr>
        <w:pStyle w:val="Obsah1"/>
        <w:tabs>
          <w:tab w:val="left" w:pos="440"/>
          <w:tab w:val="right" w:leader="dot" w:pos="9628"/>
        </w:tabs>
        <w:rPr>
          <w:rFonts w:asciiTheme="minorHAnsi" w:eastAsiaTheme="minorEastAsia" w:hAnsiTheme="minorHAnsi" w:cstheme="minorBidi"/>
          <w:noProof/>
          <w:color w:val="auto"/>
          <w:lang w:eastAsia="cs-CZ"/>
        </w:rPr>
      </w:pPr>
      <w:hyperlink w:anchor="_Toc194654532" w:history="1">
        <w:r w:rsidRPr="00736150">
          <w:rPr>
            <w:rStyle w:val="Hypertextovodkaz"/>
            <w:noProof/>
          </w:rPr>
          <w:t>8.</w:t>
        </w:r>
        <w:r>
          <w:rPr>
            <w:rFonts w:asciiTheme="minorHAnsi" w:eastAsiaTheme="minorEastAsia" w:hAnsiTheme="minorHAnsi" w:cstheme="minorBidi"/>
            <w:noProof/>
            <w:color w:val="auto"/>
            <w:lang w:eastAsia="cs-CZ"/>
          </w:rPr>
          <w:tab/>
        </w:r>
        <w:r w:rsidRPr="00736150">
          <w:rPr>
            <w:rStyle w:val="Hypertextovodkaz"/>
            <w:noProof/>
          </w:rPr>
          <w:t>Použité zdroje</w:t>
        </w:r>
        <w:r>
          <w:rPr>
            <w:noProof/>
          </w:rPr>
          <w:tab/>
        </w:r>
        <w:r>
          <w:rPr>
            <w:noProof/>
          </w:rPr>
          <w:fldChar w:fldCharType="begin"/>
        </w:r>
        <w:r>
          <w:rPr>
            <w:noProof/>
          </w:rPr>
          <w:instrText xml:space="preserve"> PAGEREF _Toc194654532 \h </w:instrText>
        </w:r>
        <w:r>
          <w:rPr>
            <w:noProof/>
          </w:rPr>
        </w:r>
        <w:r>
          <w:rPr>
            <w:noProof/>
          </w:rPr>
          <w:fldChar w:fldCharType="separate"/>
        </w:r>
        <w:r>
          <w:rPr>
            <w:noProof/>
          </w:rPr>
          <w:t>36</w:t>
        </w:r>
        <w:r>
          <w:rPr>
            <w:noProof/>
          </w:rPr>
          <w:fldChar w:fldCharType="end"/>
        </w:r>
      </w:hyperlink>
    </w:p>
    <w:p w14:paraId="23E3D88B" w14:textId="0A4A3633" w:rsidR="00BC29B7" w:rsidRDefault="00B842A1">
      <w:r w:rsidRPr="004D3B29">
        <w:rPr>
          <w:sz w:val="24"/>
          <w:szCs w:val="24"/>
        </w:rPr>
        <w:fldChar w:fldCharType="end"/>
      </w:r>
    </w:p>
    <w:p w14:paraId="76F710C1" w14:textId="7480FC4A" w:rsidR="00BC29B7" w:rsidRDefault="00BC29B7">
      <w:pPr>
        <w:rPr>
          <w:b/>
          <w:bCs/>
          <w:sz w:val="28"/>
          <w:szCs w:val="28"/>
        </w:rPr>
      </w:pPr>
    </w:p>
    <w:p w14:paraId="135B8CFC" w14:textId="77777777" w:rsidR="008C5B15" w:rsidRDefault="008C5B15">
      <w:pPr>
        <w:rPr>
          <w:b/>
          <w:bCs/>
          <w:sz w:val="28"/>
          <w:szCs w:val="28"/>
        </w:rPr>
      </w:pPr>
    </w:p>
    <w:p w14:paraId="7F4AA828" w14:textId="77777777" w:rsidR="00BC29B7" w:rsidRDefault="00BC29B7">
      <w:pPr>
        <w:rPr>
          <w:b/>
          <w:bCs/>
          <w:sz w:val="28"/>
          <w:szCs w:val="28"/>
        </w:rPr>
      </w:pPr>
    </w:p>
    <w:p w14:paraId="2A01B0B3" w14:textId="65C5C977" w:rsidR="00BC29B7" w:rsidRDefault="00BC29B7">
      <w:pPr>
        <w:rPr>
          <w:b/>
          <w:bCs/>
          <w:sz w:val="28"/>
          <w:szCs w:val="28"/>
        </w:rPr>
      </w:pPr>
    </w:p>
    <w:p w14:paraId="6FCED76F" w14:textId="77777777" w:rsidR="0015735C" w:rsidRDefault="0015735C">
      <w:pPr>
        <w:rPr>
          <w:b/>
          <w:bCs/>
          <w:sz w:val="28"/>
          <w:szCs w:val="28"/>
        </w:rPr>
      </w:pPr>
    </w:p>
    <w:p w14:paraId="634D8932" w14:textId="77777777" w:rsidR="00D70C52" w:rsidRDefault="00D70C52">
      <w:pPr>
        <w:rPr>
          <w:b/>
          <w:bCs/>
          <w:sz w:val="28"/>
          <w:szCs w:val="28"/>
        </w:rPr>
      </w:pPr>
    </w:p>
    <w:p w14:paraId="1DE49E5E" w14:textId="77777777" w:rsidR="00BC29B7" w:rsidRDefault="00BC29B7">
      <w:pPr>
        <w:rPr>
          <w:b/>
          <w:bCs/>
          <w:sz w:val="28"/>
          <w:szCs w:val="28"/>
        </w:rPr>
      </w:pPr>
    </w:p>
    <w:p w14:paraId="669C3FBB" w14:textId="77777777" w:rsidR="00BC29B7" w:rsidRDefault="00BC29B7">
      <w:pPr>
        <w:rPr>
          <w:b/>
          <w:bCs/>
          <w:sz w:val="28"/>
          <w:szCs w:val="28"/>
        </w:rPr>
      </w:pPr>
    </w:p>
    <w:p w14:paraId="5B929CE2" w14:textId="77777777" w:rsidR="00BC29B7" w:rsidRDefault="00B842A1">
      <w:pPr>
        <w:pStyle w:val="Nadpis1"/>
        <w:rPr>
          <w:lang w:eastAsia="cs-CZ"/>
        </w:rPr>
      </w:pPr>
      <w:bookmarkStart w:id="0" w:name="_Toc193380580"/>
      <w:bookmarkStart w:id="1" w:name="_Toc194654515"/>
      <w:r>
        <w:rPr>
          <w:lang w:eastAsia="cs-CZ"/>
        </w:rPr>
        <w:lastRenderedPageBreak/>
        <w:t>Úvod</w:t>
      </w:r>
      <w:bookmarkEnd w:id="0"/>
      <w:bookmarkEnd w:id="1"/>
    </w:p>
    <w:p w14:paraId="4577F353" w14:textId="0F23AEB1" w:rsidR="00517153" w:rsidRDefault="00B842A1" w:rsidP="00517153">
      <w:pPr>
        <w:spacing w:line="293" w:lineRule="auto"/>
        <w:jc w:val="both"/>
        <w:rPr>
          <w:rFonts w:eastAsia="Times New Roman" w:cs="Calibri"/>
          <w:color w:val="auto"/>
          <w:sz w:val="24"/>
          <w:szCs w:val="24"/>
          <w:lang w:eastAsia="cs-CZ"/>
        </w:rPr>
      </w:pPr>
      <w:r>
        <w:rPr>
          <w:rFonts w:eastAsia="Times New Roman" w:cs="Calibri"/>
          <w:color w:val="auto"/>
          <w:sz w:val="24"/>
          <w:szCs w:val="24"/>
          <w:lang w:eastAsia="cs-CZ"/>
        </w:rPr>
        <w:t xml:space="preserve">Rozvoj technologie umělé inteligence (dále také jen </w:t>
      </w:r>
      <w:r>
        <w:rPr>
          <w:rFonts w:eastAsia="Times New Roman" w:cs="Calibri"/>
          <w:i/>
          <w:iCs/>
          <w:color w:val="auto"/>
          <w:sz w:val="24"/>
          <w:szCs w:val="24"/>
          <w:lang w:eastAsia="cs-CZ"/>
        </w:rPr>
        <w:t>„AI</w:t>
      </w:r>
      <w:r>
        <w:rPr>
          <w:rFonts w:eastAsia="Times New Roman" w:cs="Calibri"/>
          <w:color w:val="auto"/>
          <w:sz w:val="24"/>
          <w:szCs w:val="24"/>
          <w:lang w:eastAsia="cs-CZ"/>
        </w:rPr>
        <w:t>“) je zásadní pro podporu inovací a konkurenceschopnost České republiky. Pro zajištění bezpečného a etického využívání této přelomové technologie je klíčové co nejdříve implementovat do českého právního řádu nařízení Evropského parlamentu a Rady (EU) 2024/1689 ze dne 13. června 2024, kterým se stanoví harmonizovaná pravidla pro umělou inteligenci a mění nařízení (ES) č. 300/2008, (EU) č. 167/2013, (EU) č. 168/2013, (EU) 2018/858, (EU) 2018/1139 a (EU) 2019/2144 a směrnice 2014/90/EU, (EU) 2016/797 a (EU) 2020/1828 (akt o umělé inteligenci, dále také jen „</w:t>
      </w:r>
      <w:r>
        <w:rPr>
          <w:rFonts w:eastAsia="Times New Roman" w:cs="Calibri"/>
          <w:i/>
          <w:iCs/>
          <w:color w:val="auto"/>
          <w:sz w:val="24"/>
          <w:szCs w:val="24"/>
          <w:lang w:eastAsia="cs-CZ"/>
        </w:rPr>
        <w:t>AI Akt</w:t>
      </w:r>
      <w:r>
        <w:rPr>
          <w:rFonts w:eastAsia="Times New Roman" w:cs="Calibri"/>
          <w:color w:val="auto"/>
          <w:sz w:val="24"/>
          <w:szCs w:val="24"/>
          <w:lang w:eastAsia="cs-CZ"/>
        </w:rPr>
        <w:t>“)</w:t>
      </w:r>
      <w:r>
        <w:rPr>
          <w:rStyle w:val="Znakapoznpodarou"/>
          <w:rFonts w:eastAsia="Times New Roman" w:cs="Calibri"/>
          <w:color w:val="auto"/>
          <w:sz w:val="24"/>
          <w:szCs w:val="24"/>
          <w:lang w:eastAsia="cs-CZ"/>
        </w:rPr>
        <w:footnoteReference w:id="1"/>
      </w:r>
      <w:r>
        <w:rPr>
          <w:rFonts w:eastAsia="Times New Roman" w:cs="Calibri"/>
          <w:color w:val="auto"/>
          <w:sz w:val="24"/>
          <w:szCs w:val="24"/>
          <w:lang w:eastAsia="cs-CZ"/>
        </w:rPr>
        <w:t>.</w:t>
      </w:r>
    </w:p>
    <w:p w14:paraId="4E8792FF" w14:textId="2257C366" w:rsidR="00BC29B7" w:rsidRPr="00517153" w:rsidRDefault="00B842A1" w:rsidP="00517153">
      <w:pPr>
        <w:spacing w:line="293" w:lineRule="auto"/>
        <w:jc w:val="both"/>
        <w:rPr>
          <w:rFonts w:cs="Calibri"/>
          <w:sz w:val="24"/>
          <w:szCs w:val="24"/>
        </w:rPr>
      </w:pPr>
      <w:r>
        <w:rPr>
          <w:rFonts w:cs="Calibri"/>
          <w:sz w:val="24"/>
          <w:szCs w:val="24"/>
        </w:rPr>
        <w:t xml:space="preserve">Aby mohl být AI Akt vymáhán na národní úrovni, musí být stanoven mechanismus dozoru, který zajistí dodržování požadavků na vysoce rizikové systémy AI. Vytvoření jasného právního rámce a institucionální zakotvení orgánu, včetně jeho pravomocí, zodpovědného za uplatňování a plnění povinností uložených </w:t>
      </w:r>
      <w:r w:rsidRPr="00517153">
        <w:rPr>
          <w:rFonts w:eastAsia="Times New Roman" w:cs="Calibri"/>
          <w:color w:val="auto"/>
          <w:sz w:val="24"/>
          <w:szCs w:val="24"/>
          <w:lang w:eastAsia="cs-CZ"/>
        </w:rPr>
        <w:t>právními</w:t>
      </w:r>
      <w:r>
        <w:rPr>
          <w:rFonts w:cs="Calibri"/>
          <w:sz w:val="24"/>
          <w:szCs w:val="24"/>
        </w:rPr>
        <w:t xml:space="preserve"> předpisy v oblasti umělé inteligence</w:t>
      </w:r>
      <w:r w:rsidR="00677C36">
        <w:rPr>
          <w:rFonts w:cs="Calibri"/>
          <w:sz w:val="24"/>
          <w:szCs w:val="24"/>
        </w:rPr>
        <w:t>,</w:t>
      </w:r>
      <w:r>
        <w:rPr>
          <w:rFonts w:cs="Calibri"/>
          <w:sz w:val="24"/>
          <w:szCs w:val="24"/>
        </w:rPr>
        <w:t xml:space="preserve"> bude mít přímý pozitivní vliv na rozvoj AI ekosystému v České republice.</w:t>
      </w:r>
    </w:p>
    <w:p w14:paraId="3D47B781" w14:textId="3631EE72" w:rsidR="00BC29B7" w:rsidRPr="00517153" w:rsidRDefault="00B842A1" w:rsidP="00517153">
      <w:pPr>
        <w:spacing w:line="293" w:lineRule="auto"/>
        <w:jc w:val="both"/>
      </w:pPr>
      <w:r>
        <w:rPr>
          <w:rFonts w:eastAsia="Times New Roman" w:cs="Calibri"/>
          <w:color w:val="auto"/>
          <w:sz w:val="24"/>
          <w:szCs w:val="24"/>
          <w:lang w:eastAsia="cs-CZ"/>
        </w:rPr>
        <w:t>Problematika AI Aktu patří mezi prioritní témata Národní strategie umělé inteligence České republiky 2030</w:t>
      </w:r>
      <w:r>
        <w:rPr>
          <w:rStyle w:val="Znakapoznpodarou"/>
          <w:rFonts w:eastAsia="Times New Roman" w:cs="Calibri"/>
          <w:color w:val="auto"/>
          <w:sz w:val="24"/>
          <w:szCs w:val="24"/>
          <w:lang w:eastAsia="cs-CZ"/>
        </w:rPr>
        <w:footnoteReference w:id="2"/>
      </w:r>
      <w:r>
        <w:rPr>
          <w:rFonts w:eastAsia="Times New Roman" w:cs="Calibri"/>
          <w:color w:val="auto"/>
          <w:sz w:val="24"/>
          <w:szCs w:val="24"/>
          <w:lang w:eastAsia="cs-CZ"/>
        </w:rPr>
        <w:t xml:space="preserve"> schválené </w:t>
      </w:r>
      <w:r w:rsidR="00677C36">
        <w:rPr>
          <w:rFonts w:eastAsia="Times New Roman" w:cs="Calibri"/>
          <w:color w:val="auto"/>
          <w:sz w:val="24"/>
          <w:szCs w:val="24"/>
          <w:lang w:eastAsia="cs-CZ"/>
        </w:rPr>
        <w:t xml:space="preserve">vládou </w:t>
      </w:r>
      <w:r w:rsidR="00C01798">
        <w:rPr>
          <w:rFonts w:eastAsia="Times New Roman" w:cs="Calibri"/>
          <w:color w:val="auto"/>
          <w:sz w:val="24"/>
          <w:szCs w:val="24"/>
          <w:lang w:eastAsia="cs-CZ"/>
        </w:rPr>
        <w:t xml:space="preserve">dne </w:t>
      </w:r>
      <w:r>
        <w:rPr>
          <w:rFonts w:eastAsia="Times New Roman" w:cs="Calibri"/>
          <w:color w:val="auto"/>
          <w:sz w:val="24"/>
          <w:szCs w:val="24"/>
          <w:lang w:eastAsia="cs-CZ"/>
        </w:rPr>
        <w:t xml:space="preserve">24. </w:t>
      </w:r>
      <w:r w:rsidR="00C01798">
        <w:rPr>
          <w:rFonts w:eastAsia="Times New Roman" w:cs="Calibri"/>
          <w:color w:val="auto"/>
          <w:sz w:val="24"/>
          <w:szCs w:val="24"/>
          <w:lang w:eastAsia="cs-CZ"/>
        </w:rPr>
        <w:t xml:space="preserve"> července</w:t>
      </w:r>
      <w:r>
        <w:rPr>
          <w:rFonts w:eastAsia="Times New Roman" w:cs="Calibri"/>
          <w:color w:val="auto"/>
          <w:sz w:val="24"/>
          <w:szCs w:val="24"/>
          <w:lang w:eastAsia="cs-CZ"/>
        </w:rPr>
        <w:t xml:space="preserve"> 2024, a to v klíčové oblasti „</w:t>
      </w:r>
      <w:r>
        <w:rPr>
          <w:rFonts w:eastAsia="Times New Roman" w:cs="Calibri"/>
          <w:i/>
          <w:iCs/>
          <w:color w:val="auto"/>
          <w:sz w:val="24"/>
          <w:szCs w:val="24"/>
          <w:lang w:eastAsia="cs-CZ"/>
        </w:rPr>
        <w:t>Etické a právní aspekty AI</w:t>
      </w:r>
      <w:r>
        <w:rPr>
          <w:rFonts w:eastAsia="Times New Roman" w:cs="Calibri"/>
          <w:color w:val="auto"/>
          <w:sz w:val="24"/>
          <w:szCs w:val="24"/>
          <w:lang w:eastAsia="cs-CZ"/>
        </w:rPr>
        <w:t>“, v cíli 1: „</w:t>
      </w:r>
      <w:r>
        <w:rPr>
          <w:rFonts w:cs="Calibri"/>
          <w:i/>
          <w:iCs/>
          <w:sz w:val="24"/>
          <w:szCs w:val="24"/>
        </w:rPr>
        <w:t xml:space="preserve">Předvídatelný právní rámec pro rozvoj umělé inteligence zajišťující adekvátní ochranu jednotlivců a jejich práv a svobod“ </w:t>
      </w:r>
      <w:r>
        <w:rPr>
          <w:rFonts w:cs="Calibri"/>
          <w:sz w:val="24"/>
          <w:szCs w:val="24"/>
        </w:rPr>
        <w:t>a v cíli 2: „</w:t>
      </w:r>
      <w:r>
        <w:rPr>
          <w:rFonts w:cs="Calibri"/>
          <w:i/>
          <w:iCs/>
          <w:sz w:val="24"/>
          <w:szCs w:val="24"/>
        </w:rPr>
        <w:t>Expertní kapacity pro efektivní dozor a vymáhání požadavků vyplývajících z platné legislativy v oblasti umělé inteligence“</w:t>
      </w:r>
      <w:r>
        <w:rPr>
          <w:rFonts w:cs="Calibri"/>
          <w:sz w:val="24"/>
          <w:szCs w:val="24"/>
        </w:rPr>
        <w:t xml:space="preserve">.  </w:t>
      </w:r>
    </w:p>
    <w:p w14:paraId="03579866" w14:textId="77777777" w:rsidR="00BC29B7" w:rsidRDefault="00B842A1" w:rsidP="00517153">
      <w:pPr>
        <w:pStyle w:val="Nadpis1"/>
        <w:rPr>
          <w:lang w:eastAsia="cs-CZ"/>
        </w:rPr>
      </w:pPr>
      <w:bookmarkStart w:id="2" w:name="_Toc193380581"/>
      <w:bookmarkStart w:id="3" w:name="_Toc194654516"/>
      <w:r>
        <w:rPr>
          <w:lang w:eastAsia="cs-CZ"/>
        </w:rPr>
        <w:t>Akt o umělé inteligenci (AI Akt)</w:t>
      </w:r>
      <w:bookmarkEnd w:id="2"/>
      <w:bookmarkEnd w:id="3"/>
      <w:r>
        <w:rPr>
          <w:lang w:eastAsia="cs-CZ"/>
        </w:rPr>
        <w:t xml:space="preserve">  </w:t>
      </w:r>
    </w:p>
    <w:p w14:paraId="38F7CD47" w14:textId="6FD202DF" w:rsidR="00BC29B7" w:rsidRDefault="00B842A1" w:rsidP="00517153">
      <w:pPr>
        <w:spacing w:line="293" w:lineRule="auto"/>
        <w:jc w:val="both"/>
        <w:rPr>
          <w:rFonts w:cs="Calibri"/>
          <w:sz w:val="24"/>
          <w:szCs w:val="24"/>
        </w:rPr>
      </w:pPr>
      <w:r>
        <w:rPr>
          <w:rFonts w:cs="Calibri"/>
          <w:sz w:val="24"/>
          <w:szCs w:val="24"/>
        </w:rPr>
        <w:t xml:space="preserve">Akt o umělé inteligenci přijatý dne 13. června 2024 má za cíl zlepšit fungování vnitřního trhu, podporovat zavádění důvěryhodné umělé inteligence zaměřené na člověka, zajistit vysokou úroveň </w:t>
      </w:r>
      <w:r w:rsidR="00677C36">
        <w:rPr>
          <w:rFonts w:cs="Calibri"/>
          <w:sz w:val="24"/>
          <w:szCs w:val="24"/>
        </w:rPr>
        <w:t xml:space="preserve">ochrany </w:t>
      </w:r>
      <w:r>
        <w:rPr>
          <w:rFonts w:cs="Calibri"/>
          <w:sz w:val="24"/>
          <w:szCs w:val="24"/>
        </w:rPr>
        <w:t xml:space="preserve">základních práv zakotvených v Listině základních práv Evropské unie, včetně demokracie a právního státu, před škodlivými účinky systémů AI v Evropské unii, jakož i podporovat inovace. Akt o umělé inteligenci obsahuje 113 článků rozdělených do třinácti kapitol, doplněných třinácti přílohami. </w:t>
      </w:r>
    </w:p>
    <w:p w14:paraId="59CE8849" w14:textId="77777777" w:rsidR="00517153" w:rsidRDefault="00B842A1" w:rsidP="005B0B2C">
      <w:pPr>
        <w:autoSpaceDE w:val="0"/>
        <w:spacing w:after="0" w:line="293" w:lineRule="auto"/>
        <w:jc w:val="both"/>
        <w:rPr>
          <w:rFonts w:cs="Calibri"/>
          <w:sz w:val="24"/>
          <w:szCs w:val="24"/>
        </w:rPr>
      </w:pPr>
      <w:r>
        <w:rPr>
          <w:rFonts w:cs="Calibri"/>
          <w:sz w:val="24"/>
          <w:szCs w:val="24"/>
        </w:rPr>
        <w:t xml:space="preserve">Akt o umělé inteligenci je prvním právním rámcem v oblasti umělé inteligence, který nastavuje požadavky a povinnosti pro vývojáře a provozovatele systémů AI na základě míry rizika daných systémů pro bezpečnost, zdraví a základní práva na vnitřním trhu. Obsahuje harmonizovaná pravidla pro uvádění systémů AI, včetně obecných AI modelů, na trh a do provozu a pro jejich používání v Evropské unii, harmonizovaná pravidla transparentnosti pro některé systémy AI a pravidla monitorování trhu, dozoru nad trhem a jeho správy a vymáhání nařízení. </w:t>
      </w:r>
    </w:p>
    <w:p w14:paraId="205A9BF0" w14:textId="5EEEAAAB" w:rsidR="00BC29B7" w:rsidRDefault="00B842A1" w:rsidP="00517153">
      <w:pPr>
        <w:spacing w:line="293" w:lineRule="auto"/>
        <w:jc w:val="both"/>
        <w:rPr>
          <w:rFonts w:cs="Calibri"/>
          <w:sz w:val="24"/>
          <w:szCs w:val="24"/>
        </w:rPr>
      </w:pPr>
      <w:r>
        <w:rPr>
          <w:rFonts w:cs="Calibri"/>
          <w:sz w:val="24"/>
          <w:szCs w:val="24"/>
        </w:rPr>
        <w:lastRenderedPageBreak/>
        <w:t>Dále obsahuje zákazy určitých postupů v oblasti AI, stanovuje zvláštní požadavky na vysoce rizikové systémy AI a povinnosti provozovatelů těchto systémů a stanovuje opatření na podporu inovací se zvláštním zaměřením na malé a střední podniky, včetně začínajících podniků.</w:t>
      </w:r>
    </w:p>
    <w:p w14:paraId="27158FC0" w14:textId="0CD93E04" w:rsidR="00BC29B7" w:rsidRPr="00517153" w:rsidRDefault="00B842A1" w:rsidP="00517153">
      <w:pPr>
        <w:spacing w:line="293" w:lineRule="auto"/>
        <w:jc w:val="both"/>
        <w:rPr>
          <w:rFonts w:cs="Calibri"/>
          <w:sz w:val="24"/>
          <w:szCs w:val="24"/>
        </w:rPr>
      </w:pPr>
      <w:r>
        <w:rPr>
          <w:rFonts w:cs="Calibri"/>
          <w:sz w:val="24"/>
          <w:szCs w:val="24"/>
        </w:rPr>
        <w:t>Nařízení má horizontální/nadresortní povahu pokrývající řadu sektorů v gesci různých úřadů (včetně např. vnitřní bezpečnosti, školství, dopravy a zdravotnictví).</w:t>
      </w:r>
    </w:p>
    <w:p w14:paraId="6D5D5613" w14:textId="5A5B80A6" w:rsidR="00BC29B7" w:rsidRPr="00517153" w:rsidRDefault="00B842A1" w:rsidP="003665CC">
      <w:pPr>
        <w:pStyle w:val="Nadpis2"/>
      </w:pPr>
      <w:bookmarkStart w:id="4" w:name="_Toc193380582"/>
      <w:bookmarkStart w:id="5" w:name="_Toc194654517"/>
      <w:r>
        <w:t xml:space="preserve">Účinnost Aktu o umělé </w:t>
      </w:r>
      <w:bookmarkEnd w:id="4"/>
      <w:r w:rsidR="00677C36">
        <w:t>inteligenci</w:t>
      </w:r>
      <w:bookmarkEnd w:id="5"/>
    </w:p>
    <w:p w14:paraId="399BB1DC" w14:textId="6B0D6D7D" w:rsidR="00BC29B7" w:rsidRDefault="00B842A1" w:rsidP="00517153">
      <w:pPr>
        <w:spacing w:line="293" w:lineRule="auto"/>
        <w:jc w:val="both"/>
        <w:rPr>
          <w:rFonts w:cs="Calibri"/>
          <w:sz w:val="24"/>
          <w:szCs w:val="24"/>
        </w:rPr>
      </w:pPr>
      <w:r w:rsidRPr="005B0B2C">
        <w:rPr>
          <w:rFonts w:cs="Calibri"/>
          <w:sz w:val="24"/>
          <w:szCs w:val="24"/>
        </w:rPr>
        <w:t>AI Akt vstoupil v platnost dne 1. srpna 2024, účinný bude od 2. srpna 2026, a to s několika výjimkami. Zakázané praktiky jsou účinné po šesti měsících po vstupu v platnost (kapitoly I a II se použijí ode dne 2. února 2025</w:t>
      </w:r>
      <w:r w:rsidR="00276258">
        <w:rPr>
          <w:rFonts w:cs="Calibri"/>
          <w:sz w:val="24"/>
          <w:szCs w:val="24"/>
        </w:rPr>
        <w:t>)</w:t>
      </w:r>
      <w:r w:rsidRPr="005B0B2C">
        <w:rPr>
          <w:rFonts w:cs="Calibri"/>
          <w:sz w:val="24"/>
          <w:szCs w:val="24"/>
        </w:rPr>
        <w:t>; a příslušné vnitrostátní orgány a sankční mechanismus musí být nastaveny do dvanácti měsíců po vstupu nařízení v platnost, tedy do 2. srpna 2025 (kapitola III oddíl 4, kapitola V, kapitola VII a kapitola XII a článek 78 se použijí ode dne 2. srpna 2025, s výjimkou článku 101).</w:t>
      </w:r>
      <w:r w:rsidR="00C01798">
        <w:rPr>
          <w:rStyle w:val="Znakapoznpodarou"/>
          <w:rFonts w:cs="Calibri"/>
          <w:sz w:val="24"/>
          <w:szCs w:val="24"/>
        </w:rPr>
        <w:footnoteReference w:id="3"/>
      </w:r>
      <w:r w:rsidR="00C01798">
        <w:rPr>
          <w:rFonts w:cs="Calibri"/>
          <w:sz w:val="24"/>
          <w:szCs w:val="24"/>
        </w:rPr>
        <w:t xml:space="preserve"> </w:t>
      </w:r>
      <w:r w:rsidRPr="005B0B2C">
        <w:rPr>
          <w:rFonts w:cs="Calibri"/>
          <w:sz w:val="24"/>
          <w:szCs w:val="24"/>
        </w:rPr>
        <w:t>Povinnost zřízení regulačního sandboxu je také stanovena ke dni 2. srpna 2026. Čl. 6 odst. 1 a odpovídající povinnosti stanovené v nařízení se použijí ode dne 2. srpna 2027.</w:t>
      </w:r>
    </w:p>
    <w:p w14:paraId="250309DC" w14:textId="77777777" w:rsidR="00BC29B7" w:rsidRDefault="00B842A1" w:rsidP="003665CC">
      <w:pPr>
        <w:pStyle w:val="Nadpis2"/>
        <w:rPr>
          <w:lang w:eastAsia="cs-CZ"/>
        </w:rPr>
      </w:pPr>
      <w:bookmarkStart w:id="6" w:name="_Toc193380583"/>
      <w:bookmarkStart w:id="7" w:name="_Toc194654518"/>
      <w:r>
        <w:rPr>
          <w:lang w:eastAsia="cs-CZ"/>
        </w:rPr>
        <w:t>Povinnosti pro Českou republiku</w:t>
      </w:r>
      <w:bookmarkEnd w:id="6"/>
      <w:bookmarkEnd w:id="7"/>
      <w:r>
        <w:rPr>
          <w:lang w:eastAsia="cs-CZ"/>
        </w:rPr>
        <w:t xml:space="preserve"> </w:t>
      </w:r>
    </w:p>
    <w:p w14:paraId="46BD437C" w14:textId="0EC98C06" w:rsidR="00BC29B7" w:rsidRDefault="00B842A1" w:rsidP="005B0B2C">
      <w:pPr>
        <w:spacing w:after="0" w:line="293" w:lineRule="auto"/>
        <w:jc w:val="both"/>
        <w:rPr>
          <w:rFonts w:eastAsia="Times New Roman" w:cs="Calibri"/>
          <w:color w:val="auto"/>
          <w:sz w:val="24"/>
          <w:szCs w:val="24"/>
          <w:lang w:eastAsia="cs-CZ"/>
        </w:rPr>
      </w:pPr>
      <w:r>
        <w:rPr>
          <w:rFonts w:eastAsia="Times New Roman" w:cs="Calibri"/>
          <w:color w:val="auto"/>
          <w:sz w:val="24"/>
          <w:szCs w:val="24"/>
          <w:lang w:eastAsia="cs-CZ"/>
        </w:rPr>
        <w:t>Z AI Aktu vyplývá pro členské státy, a tedy i pro Českou republiku, řada povinností, zejména povinnost určit příslušné vnitrostátní orgány s cílem zajistit uplatňování a provádění tohoto nařízení. Konkrétně se jedná o orgán dozoru nad trhem</w:t>
      </w:r>
      <w:r w:rsidR="00E47C87">
        <w:rPr>
          <w:rStyle w:val="Znakapoznpodarou"/>
          <w:rFonts w:eastAsia="Times New Roman" w:cs="Calibri"/>
          <w:color w:val="auto"/>
          <w:sz w:val="24"/>
          <w:szCs w:val="24"/>
          <w:lang w:eastAsia="cs-CZ"/>
        </w:rPr>
        <w:footnoteReference w:id="4"/>
      </w:r>
      <w:r w:rsidR="00C80EA2">
        <w:rPr>
          <w:rFonts w:eastAsia="Times New Roman" w:cs="Calibri"/>
          <w:color w:val="auto"/>
          <w:sz w:val="24"/>
          <w:szCs w:val="24"/>
          <w:lang w:eastAsia="cs-CZ"/>
        </w:rPr>
        <w:t xml:space="preserve"> a</w:t>
      </w:r>
      <w:r>
        <w:rPr>
          <w:rFonts w:eastAsia="Times New Roman" w:cs="Calibri"/>
          <w:color w:val="auto"/>
          <w:sz w:val="24"/>
          <w:szCs w:val="24"/>
          <w:lang w:eastAsia="cs-CZ"/>
        </w:rPr>
        <w:t xml:space="preserve"> oznamující orgán</w:t>
      </w:r>
      <w:r w:rsidR="00C80EA2">
        <w:rPr>
          <w:rStyle w:val="Znakapoznpodarou"/>
          <w:rFonts w:eastAsia="Times New Roman" w:cs="Calibri"/>
          <w:color w:val="auto"/>
          <w:sz w:val="24"/>
          <w:szCs w:val="24"/>
          <w:lang w:eastAsia="cs-CZ"/>
        </w:rPr>
        <w:footnoteReference w:id="5"/>
      </w:r>
      <w:r w:rsidR="00C80EA2">
        <w:rPr>
          <w:rFonts w:eastAsia="Times New Roman" w:cs="Calibri"/>
          <w:color w:val="auto"/>
          <w:sz w:val="24"/>
          <w:szCs w:val="24"/>
          <w:lang w:eastAsia="cs-CZ"/>
        </w:rPr>
        <w:t xml:space="preserve">. </w:t>
      </w:r>
      <w:r>
        <w:rPr>
          <w:rFonts w:eastAsia="Times New Roman" w:cs="Calibri"/>
          <w:color w:val="auto"/>
          <w:sz w:val="24"/>
          <w:szCs w:val="24"/>
          <w:lang w:eastAsia="cs-CZ"/>
        </w:rPr>
        <w:t xml:space="preserve"> Je také nezbytné nastavit sankční mechanismus</w:t>
      </w:r>
      <w:r w:rsidR="00C80EA2">
        <w:rPr>
          <w:rFonts w:eastAsia="Times New Roman" w:cs="Calibri"/>
          <w:color w:val="auto"/>
          <w:sz w:val="24"/>
          <w:szCs w:val="24"/>
          <w:lang w:eastAsia="cs-CZ"/>
        </w:rPr>
        <w:t xml:space="preserve">. Aby Česká republika patřila do budoucna mezi lídry v oblasti AI je pak potřeba zřídit </w:t>
      </w:r>
      <w:r>
        <w:rPr>
          <w:rFonts w:eastAsia="Times New Roman" w:cs="Calibri"/>
          <w:color w:val="auto"/>
          <w:sz w:val="24"/>
          <w:szCs w:val="24"/>
          <w:lang w:eastAsia="cs-CZ"/>
        </w:rPr>
        <w:t>regula</w:t>
      </w:r>
      <w:r w:rsidR="00C01798">
        <w:rPr>
          <w:rFonts w:eastAsia="Times New Roman" w:cs="Calibri"/>
          <w:color w:val="auto"/>
          <w:sz w:val="24"/>
          <w:szCs w:val="24"/>
          <w:lang w:eastAsia="cs-CZ"/>
        </w:rPr>
        <w:t>ční</w:t>
      </w:r>
      <w:r>
        <w:rPr>
          <w:rFonts w:eastAsia="Times New Roman" w:cs="Calibri"/>
          <w:color w:val="auto"/>
          <w:sz w:val="24"/>
          <w:szCs w:val="24"/>
          <w:lang w:eastAsia="cs-CZ"/>
        </w:rPr>
        <w:t xml:space="preserve"> sandbox pro AI</w:t>
      </w:r>
      <w:r w:rsidR="00C01798">
        <w:rPr>
          <w:rStyle w:val="Znakapoznpodarou"/>
          <w:rFonts w:eastAsia="Times New Roman" w:cs="Calibri"/>
          <w:color w:val="auto"/>
          <w:sz w:val="24"/>
          <w:szCs w:val="24"/>
          <w:lang w:eastAsia="cs-CZ"/>
        </w:rPr>
        <w:footnoteReference w:id="6"/>
      </w:r>
      <w:r w:rsidR="00C80EA2">
        <w:rPr>
          <w:rFonts w:eastAsia="Times New Roman" w:cs="Calibri"/>
          <w:color w:val="auto"/>
          <w:sz w:val="24"/>
          <w:szCs w:val="24"/>
          <w:lang w:eastAsia="cs-CZ"/>
        </w:rPr>
        <w:t xml:space="preserve"> a oznámený subjekt</w:t>
      </w:r>
      <w:r w:rsidR="00C80EA2">
        <w:rPr>
          <w:rStyle w:val="Znakapoznpodarou"/>
          <w:rFonts w:eastAsia="Times New Roman" w:cs="Calibri"/>
          <w:color w:val="auto"/>
          <w:sz w:val="24"/>
          <w:szCs w:val="24"/>
          <w:lang w:eastAsia="cs-CZ"/>
        </w:rPr>
        <w:footnoteReference w:id="7"/>
      </w:r>
      <w:r>
        <w:rPr>
          <w:rFonts w:eastAsia="Times New Roman" w:cs="Calibri"/>
          <w:color w:val="auto"/>
          <w:sz w:val="24"/>
          <w:szCs w:val="24"/>
          <w:lang w:eastAsia="cs-CZ"/>
        </w:rPr>
        <w:t xml:space="preserve">. </w:t>
      </w:r>
    </w:p>
    <w:p w14:paraId="65D2C4D6" w14:textId="77777777" w:rsidR="00BC29B7" w:rsidRDefault="00BC29B7" w:rsidP="005B0B2C">
      <w:pPr>
        <w:spacing w:after="0" w:line="293" w:lineRule="auto"/>
        <w:jc w:val="both"/>
        <w:rPr>
          <w:rFonts w:eastAsia="Times New Roman" w:cs="Calibri"/>
          <w:color w:val="auto"/>
          <w:sz w:val="24"/>
          <w:szCs w:val="24"/>
          <w:lang w:eastAsia="cs-CZ"/>
        </w:rPr>
      </w:pPr>
    </w:p>
    <w:p w14:paraId="71A584D8" w14:textId="55558B73" w:rsidR="00BC29B7" w:rsidRDefault="00B842A1" w:rsidP="00517153">
      <w:pPr>
        <w:spacing w:line="293" w:lineRule="auto"/>
        <w:jc w:val="both"/>
        <w:rPr>
          <w:rFonts w:eastAsia="Times New Roman" w:cs="Calibri"/>
          <w:color w:val="auto"/>
          <w:sz w:val="24"/>
          <w:szCs w:val="24"/>
          <w:lang w:eastAsia="cs-CZ"/>
        </w:rPr>
      </w:pPr>
      <w:r>
        <w:rPr>
          <w:rFonts w:eastAsia="Times New Roman" w:cs="Calibri"/>
          <w:color w:val="auto"/>
          <w:sz w:val="24"/>
          <w:szCs w:val="24"/>
          <w:lang w:eastAsia="cs-CZ"/>
        </w:rPr>
        <w:lastRenderedPageBreak/>
        <w:t>V AI Aktu je zdůrazněna potřeba zajistit příslušným vnitrostátním orgánům odpovídající technické a finanční zdroje a infrastrukturu pro účinné plnění jejich úkolů, přičemž musí mít trvale k dispozici dostatečný počet kvalifikovaných pracovníků (právníků a IT specialistů).</w:t>
      </w:r>
    </w:p>
    <w:p w14:paraId="20B659F5" w14:textId="73BBF070" w:rsidR="00BC29B7" w:rsidRDefault="00B842A1" w:rsidP="00517153">
      <w:pPr>
        <w:spacing w:line="293" w:lineRule="auto"/>
        <w:jc w:val="both"/>
        <w:rPr>
          <w:rFonts w:eastAsia="Times New Roman" w:cs="Calibri"/>
          <w:color w:val="auto"/>
          <w:sz w:val="24"/>
          <w:szCs w:val="24"/>
          <w:lang w:eastAsia="cs-CZ"/>
        </w:rPr>
      </w:pPr>
      <w:r>
        <w:rPr>
          <w:rFonts w:eastAsia="Times New Roman" w:cs="Calibri"/>
          <w:color w:val="auto"/>
          <w:sz w:val="24"/>
          <w:szCs w:val="24"/>
          <w:lang w:eastAsia="cs-CZ"/>
        </w:rPr>
        <w:t xml:space="preserve">Konkrétně dle čl. 70 odst. 6 </w:t>
      </w:r>
      <w:r w:rsidR="00D84324">
        <w:rPr>
          <w:rFonts w:eastAsia="Times New Roman" w:cs="Calibri"/>
          <w:color w:val="auto"/>
          <w:sz w:val="24"/>
          <w:szCs w:val="24"/>
          <w:lang w:eastAsia="cs-CZ"/>
        </w:rPr>
        <w:t xml:space="preserve">AI Aktu </w:t>
      </w:r>
      <w:r>
        <w:rPr>
          <w:rFonts w:eastAsia="Times New Roman" w:cs="Calibri"/>
          <w:color w:val="auto"/>
          <w:sz w:val="24"/>
          <w:szCs w:val="24"/>
          <w:lang w:eastAsia="cs-CZ"/>
        </w:rPr>
        <w:t xml:space="preserve">do 2. srpna 2025, a poté jednou za dva roky, musí členské státy předložit Komisi zprávu o stavu finančních a lidských zdrojů příslušných vnitrostátních orgánů a posoudit jejich přiměřenost. </w:t>
      </w:r>
      <w:r w:rsidR="00276258">
        <w:rPr>
          <w:rFonts w:eastAsia="Times New Roman" w:cs="Calibri"/>
          <w:color w:val="auto"/>
          <w:sz w:val="24"/>
          <w:szCs w:val="24"/>
          <w:lang w:eastAsia="cs-CZ"/>
        </w:rPr>
        <w:t>Evropská k</w:t>
      </w:r>
      <w:r>
        <w:rPr>
          <w:rFonts w:eastAsia="Times New Roman" w:cs="Calibri"/>
          <w:color w:val="auto"/>
          <w:sz w:val="24"/>
          <w:szCs w:val="24"/>
          <w:lang w:eastAsia="cs-CZ"/>
        </w:rPr>
        <w:t xml:space="preserve">omise předá tyto informace Evropské radě pro umělou inteligenci k projednání a případným doporučením. Příslušné vnitrostátní orgány sdílejí zkušenosti se zahraničními příslušnými vnitrostátními orgány, </w:t>
      </w:r>
      <w:r w:rsidR="00276258">
        <w:rPr>
          <w:rFonts w:eastAsia="Times New Roman" w:cs="Calibri"/>
          <w:color w:val="auto"/>
          <w:sz w:val="24"/>
          <w:szCs w:val="24"/>
          <w:lang w:eastAsia="cs-CZ"/>
        </w:rPr>
        <w:t xml:space="preserve">Evropská komise </w:t>
      </w:r>
      <w:r>
        <w:rPr>
          <w:rFonts w:eastAsia="Times New Roman" w:cs="Calibri"/>
          <w:color w:val="auto"/>
          <w:sz w:val="24"/>
          <w:szCs w:val="24"/>
          <w:lang w:eastAsia="cs-CZ"/>
        </w:rPr>
        <w:t>tuto spolupráci usnadňuje.</w:t>
      </w:r>
    </w:p>
    <w:p w14:paraId="09648FB4" w14:textId="245C1946" w:rsidR="00BC29B7" w:rsidRPr="00517153" w:rsidRDefault="00B842A1" w:rsidP="003665CC">
      <w:pPr>
        <w:pStyle w:val="Nadpis1"/>
      </w:pPr>
      <w:bookmarkStart w:id="8" w:name="_Toc193380584"/>
      <w:bookmarkStart w:id="9" w:name="_Toc194654519"/>
      <w:r>
        <w:rPr>
          <w:lang w:eastAsia="cs-CZ"/>
        </w:rPr>
        <w:t>Cíle materiálu</w:t>
      </w:r>
      <w:bookmarkEnd w:id="8"/>
      <w:bookmarkEnd w:id="9"/>
      <w:r>
        <w:rPr>
          <w:lang w:eastAsia="cs-CZ"/>
        </w:rPr>
        <w:t xml:space="preserve"> </w:t>
      </w:r>
    </w:p>
    <w:p w14:paraId="71E992D3" w14:textId="77777777" w:rsidR="00BC29B7" w:rsidRDefault="00B842A1" w:rsidP="00517153">
      <w:pPr>
        <w:spacing w:line="293" w:lineRule="auto"/>
        <w:jc w:val="both"/>
        <w:rPr>
          <w:rFonts w:eastAsia="Times New Roman" w:cs="Calibri"/>
          <w:color w:val="auto"/>
          <w:sz w:val="24"/>
          <w:szCs w:val="24"/>
          <w:lang w:eastAsia="cs-CZ"/>
        </w:rPr>
      </w:pPr>
      <w:r>
        <w:rPr>
          <w:rFonts w:eastAsia="Times New Roman" w:cs="Calibri"/>
          <w:color w:val="auto"/>
          <w:sz w:val="24"/>
          <w:szCs w:val="24"/>
          <w:lang w:eastAsia="cs-CZ"/>
        </w:rPr>
        <w:t xml:space="preserve">Cílem tohoto materiálu je předložit návrh institucionálního rámce pro implementaci AI Aktu společně s finančními a personálními nároky, které zajistí efektivní vymáhání pravidel nařízení a podporu inovací v oblasti AI v České republice. </w:t>
      </w:r>
    </w:p>
    <w:p w14:paraId="28B2AFD3" w14:textId="0C9035B0" w:rsidR="00BC29B7" w:rsidRPr="00F36206" w:rsidRDefault="00B842A1" w:rsidP="00517153">
      <w:pPr>
        <w:spacing w:line="293" w:lineRule="auto"/>
        <w:jc w:val="both"/>
        <w:rPr>
          <w:rFonts w:cs="Calibri"/>
          <w:sz w:val="24"/>
          <w:szCs w:val="24"/>
        </w:rPr>
      </w:pPr>
      <w:r>
        <w:rPr>
          <w:rFonts w:eastAsia="Times New Roman" w:cs="Calibri"/>
          <w:color w:val="auto"/>
          <w:sz w:val="24"/>
          <w:szCs w:val="24"/>
          <w:lang w:eastAsia="cs-CZ"/>
        </w:rPr>
        <w:t>Materiál se zabývá: ur</w:t>
      </w:r>
      <w:r>
        <w:rPr>
          <w:rFonts w:cs="Calibri"/>
          <w:sz w:val="24"/>
          <w:szCs w:val="24"/>
        </w:rPr>
        <w:t>čením gestora AI Aktu, určením orgánů dozoru nad trhem a centrálního dozorového orgánu pro vymáhání AI Aktu, určením oznamujícího orgánu, určením orgánu pro realizaci regula</w:t>
      </w:r>
      <w:r w:rsidR="00C01798">
        <w:rPr>
          <w:rFonts w:cs="Calibri"/>
          <w:sz w:val="24"/>
          <w:szCs w:val="24"/>
        </w:rPr>
        <w:t>čního</w:t>
      </w:r>
      <w:r>
        <w:rPr>
          <w:rFonts w:cs="Calibri"/>
          <w:sz w:val="24"/>
          <w:szCs w:val="24"/>
        </w:rPr>
        <w:t xml:space="preserve"> sandboxu, rozhodnutím o adaptaci právního řádu České republiky na AI Akt, zří</w:t>
      </w:r>
      <w:r w:rsidR="00276258">
        <w:rPr>
          <w:rFonts w:cs="Calibri"/>
          <w:sz w:val="24"/>
          <w:szCs w:val="24"/>
        </w:rPr>
        <w:t>zením</w:t>
      </w:r>
      <w:r>
        <w:rPr>
          <w:rFonts w:cs="Calibri"/>
          <w:sz w:val="24"/>
          <w:szCs w:val="24"/>
        </w:rPr>
        <w:t xml:space="preserve"> kompetenční</w:t>
      </w:r>
      <w:r w:rsidR="00276258">
        <w:rPr>
          <w:rFonts w:cs="Calibri"/>
          <w:sz w:val="24"/>
          <w:szCs w:val="24"/>
        </w:rPr>
        <w:t>ho</w:t>
      </w:r>
      <w:r>
        <w:rPr>
          <w:rFonts w:cs="Calibri"/>
          <w:sz w:val="24"/>
          <w:szCs w:val="24"/>
        </w:rPr>
        <w:t xml:space="preserve"> </w:t>
      </w:r>
      <w:r w:rsidR="0013693E">
        <w:rPr>
          <w:rFonts w:cs="Calibri"/>
          <w:sz w:val="24"/>
          <w:szCs w:val="24"/>
        </w:rPr>
        <w:t>centr</w:t>
      </w:r>
      <w:r w:rsidR="00276258">
        <w:rPr>
          <w:rFonts w:cs="Calibri"/>
          <w:sz w:val="24"/>
          <w:szCs w:val="24"/>
        </w:rPr>
        <w:t>a</w:t>
      </w:r>
      <w:r w:rsidR="0013693E">
        <w:rPr>
          <w:rFonts w:cs="Calibri"/>
          <w:sz w:val="24"/>
          <w:szCs w:val="24"/>
        </w:rPr>
        <w:t xml:space="preserve"> AI</w:t>
      </w:r>
      <w:r>
        <w:rPr>
          <w:rFonts w:cs="Calibri"/>
          <w:sz w:val="24"/>
          <w:szCs w:val="24"/>
        </w:rPr>
        <w:t xml:space="preserve"> pro eGovernment na </w:t>
      </w:r>
      <w:r w:rsidR="00FE7193">
        <w:rPr>
          <w:rFonts w:cs="Calibri"/>
          <w:sz w:val="24"/>
          <w:szCs w:val="24"/>
        </w:rPr>
        <w:t>Ministerstvu průmyslu a obchodu (dále také jen „</w:t>
      </w:r>
      <w:r>
        <w:rPr>
          <w:rFonts w:cs="Calibri"/>
          <w:sz w:val="24"/>
          <w:szCs w:val="24"/>
        </w:rPr>
        <w:t>MPO</w:t>
      </w:r>
      <w:r w:rsidR="00FE7193">
        <w:rPr>
          <w:rFonts w:cs="Calibri"/>
          <w:sz w:val="24"/>
          <w:szCs w:val="24"/>
        </w:rPr>
        <w:t>“)</w:t>
      </w:r>
      <w:r>
        <w:rPr>
          <w:rFonts w:cs="Calibri"/>
          <w:sz w:val="24"/>
          <w:szCs w:val="24"/>
        </w:rPr>
        <w:t xml:space="preserve"> a návrhem konkrétního řešení a </w:t>
      </w:r>
      <w:r w:rsidRPr="00657840">
        <w:rPr>
          <w:rFonts w:cs="Calibri"/>
          <w:sz w:val="24"/>
          <w:szCs w:val="24"/>
        </w:rPr>
        <w:t xml:space="preserve">finančními a personálními požadavky na </w:t>
      </w:r>
      <w:r w:rsidRPr="00517153">
        <w:rPr>
          <w:rFonts w:eastAsia="Times New Roman" w:cs="Calibri"/>
          <w:color w:val="auto"/>
          <w:sz w:val="24"/>
          <w:szCs w:val="24"/>
          <w:lang w:eastAsia="cs-CZ"/>
        </w:rPr>
        <w:t>implementaci</w:t>
      </w:r>
      <w:r w:rsidRPr="00657840">
        <w:rPr>
          <w:rFonts w:cs="Calibri"/>
          <w:sz w:val="24"/>
          <w:szCs w:val="24"/>
        </w:rPr>
        <w:t xml:space="preserve"> AI Aktu. </w:t>
      </w:r>
    </w:p>
    <w:p w14:paraId="6A0FFF33" w14:textId="2FD2F31A" w:rsidR="00BC29B7" w:rsidRPr="00657840" w:rsidRDefault="00B842A1" w:rsidP="00517153">
      <w:pPr>
        <w:spacing w:line="293" w:lineRule="auto"/>
        <w:jc w:val="both"/>
        <w:rPr>
          <w:rFonts w:cs="Calibri"/>
          <w:sz w:val="24"/>
          <w:szCs w:val="24"/>
        </w:rPr>
      </w:pPr>
      <w:r w:rsidRPr="00657840">
        <w:rPr>
          <w:rFonts w:cs="Calibri"/>
          <w:sz w:val="24"/>
          <w:szCs w:val="24"/>
        </w:rPr>
        <w:t xml:space="preserve">V závěrečné části se tento materiál také věnuje zkušenostem se zřizováním orgánů dozoru </w:t>
      </w:r>
      <w:r w:rsidR="00340AEF">
        <w:rPr>
          <w:rFonts w:cs="Calibri"/>
          <w:sz w:val="24"/>
          <w:szCs w:val="24"/>
        </w:rPr>
        <w:t>z</w:t>
      </w:r>
      <w:r w:rsidRPr="00657840">
        <w:rPr>
          <w:rFonts w:cs="Calibri"/>
          <w:sz w:val="24"/>
          <w:szCs w:val="24"/>
        </w:rPr>
        <w:t xml:space="preserve"> jiných </w:t>
      </w:r>
      <w:r w:rsidRPr="00517153">
        <w:rPr>
          <w:rFonts w:eastAsia="Times New Roman" w:cs="Calibri"/>
          <w:color w:val="auto"/>
          <w:sz w:val="24"/>
          <w:szCs w:val="24"/>
          <w:lang w:eastAsia="cs-CZ"/>
        </w:rPr>
        <w:t>členských</w:t>
      </w:r>
      <w:r w:rsidRPr="00657840">
        <w:rPr>
          <w:rFonts w:cs="Calibri"/>
          <w:sz w:val="24"/>
          <w:szCs w:val="24"/>
        </w:rPr>
        <w:t xml:space="preserve"> stát</w:t>
      </w:r>
      <w:r w:rsidR="00340AEF">
        <w:rPr>
          <w:rFonts w:cs="Calibri"/>
          <w:sz w:val="24"/>
          <w:szCs w:val="24"/>
        </w:rPr>
        <w:t>ů</w:t>
      </w:r>
      <w:r w:rsidRPr="00657840">
        <w:rPr>
          <w:rFonts w:cs="Calibri"/>
          <w:sz w:val="24"/>
          <w:szCs w:val="24"/>
        </w:rPr>
        <w:t xml:space="preserve"> EU.</w:t>
      </w:r>
      <w:r>
        <w:rPr>
          <w:rFonts w:cs="Calibri"/>
          <w:sz w:val="24"/>
          <w:szCs w:val="24"/>
        </w:rPr>
        <w:t xml:space="preserve"> </w:t>
      </w:r>
      <w:r w:rsidR="00261410">
        <w:rPr>
          <w:rFonts w:cs="Calibri"/>
          <w:sz w:val="24"/>
          <w:szCs w:val="24"/>
        </w:rPr>
        <w:t>V případě souhlasu vlády s navrhovaným řešeními přijme MPO gesci k AI Aktu</w:t>
      </w:r>
      <w:r w:rsidR="0015735C">
        <w:rPr>
          <w:rFonts w:cs="Calibri"/>
          <w:sz w:val="24"/>
          <w:szCs w:val="24"/>
        </w:rPr>
        <w:t>.</w:t>
      </w:r>
    </w:p>
    <w:p w14:paraId="463ABC4B" w14:textId="7D7265D9" w:rsidR="00BC29B7" w:rsidRDefault="00B842A1">
      <w:pPr>
        <w:pStyle w:val="Nadpis2"/>
        <w:rPr>
          <w:lang w:eastAsia="cs-CZ"/>
        </w:rPr>
      </w:pPr>
      <w:r>
        <w:rPr>
          <w:rFonts w:cs="Calibri"/>
          <w:sz w:val="24"/>
          <w:szCs w:val="24"/>
        </w:rPr>
        <w:t xml:space="preserve"> </w:t>
      </w:r>
      <w:bookmarkStart w:id="10" w:name="_Toc193380585"/>
      <w:bookmarkStart w:id="11" w:name="_Toc194654520"/>
      <w:r>
        <w:rPr>
          <w:lang w:eastAsia="cs-CZ"/>
        </w:rPr>
        <w:t>Určení gestora AI Aktu</w:t>
      </w:r>
      <w:bookmarkEnd w:id="10"/>
      <w:bookmarkEnd w:id="11"/>
      <w:r>
        <w:rPr>
          <w:lang w:eastAsia="cs-CZ"/>
        </w:rPr>
        <w:t xml:space="preserve"> </w:t>
      </w:r>
    </w:p>
    <w:p w14:paraId="4C494779" w14:textId="77777777" w:rsidR="00BC29B7" w:rsidRDefault="00B842A1" w:rsidP="00517153">
      <w:pPr>
        <w:spacing w:line="293" w:lineRule="auto"/>
        <w:jc w:val="both"/>
      </w:pPr>
      <w:r>
        <w:rPr>
          <w:rFonts w:eastAsia="Times New Roman" w:cs="Calibri"/>
          <w:color w:val="auto"/>
          <w:sz w:val="24"/>
          <w:szCs w:val="24"/>
          <w:lang w:eastAsia="cs-CZ"/>
        </w:rPr>
        <w:t xml:space="preserve">Dne 11. prosince 2024 vláda České republiky rozhodla o gesci AI Aktu, která byla udělena členu vlády pověřenému koordinací činnosti ústředních správních úřadů v oblasti digitalizace a ministru práce a sociálních věcí M. Jurečkovi (Usnesení vlády ze dne 11. prosince 2024 č. 921). </w:t>
      </w:r>
    </w:p>
    <w:p w14:paraId="3247C7FF" w14:textId="7EF6AD37" w:rsidR="00BC29B7" w:rsidRDefault="00B842A1" w:rsidP="00517153">
      <w:pPr>
        <w:spacing w:line="293" w:lineRule="auto"/>
        <w:jc w:val="both"/>
        <w:rPr>
          <w:rFonts w:eastAsia="Times New Roman" w:cs="Calibri"/>
          <w:color w:val="auto"/>
          <w:sz w:val="24"/>
          <w:szCs w:val="24"/>
          <w:lang w:eastAsia="cs-CZ"/>
        </w:rPr>
      </w:pPr>
      <w:r>
        <w:rPr>
          <w:rFonts w:eastAsia="Times New Roman" w:cs="Calibri"/>
          <w:color w:val="auto"/>
          <w:sz w:val="24"/>
          <w:szCs w:val="24"/>
          <w:lang w:eastAsia="cs-CZ"/>
        </w:rPr>
        <w:t>Ministerstvo průmyslu a obchodu ČR si uvědomuje, že pro úspěšnou implementaci a vymáhání AI Aktu je rozhodující získání odborníků a adekvátní finanční prostředky, dlouhodobě proto vyzývá k</w:t>
      </w:r>
      <w:r w:rsidR="00C16369">
        <w:rPr>
          <w:rFonts w:eastAsia="Times New Roman" w:cs="Calibri"/>
          <w:color w:val="auto"/>
          <w:sz w:val="24"/>
          <w:szCs w:val="24"/>
          <w:lang w:eastAsia="cs-CZ"/>
        </w:rPr>
        <w:t xml:space="preserve"> </w:t>
      </w:r>
      <w:r>
        <w:rPr>
          <w:rFonts w:eastAsia="Times New Roman" w:cs="Calibri"/>
          <w:color w:val="auto"/>
          <w:sz w:val="24"/>
          <w:szCs w:val="24"/>
          <w:lang w:eastAsia="cs-CZ"/>
        </w:rPr>
        <w:t xml:space="preserve">zajištění dostatečných finančních, personálních a technických zdrojů pro instituce, které budou realizovat </w:t>
      </w:r>
      <w:r w:rsidR="00C16369">
        <w:rPr>
          <w:rFonts w:eastAsia="Times New Roman" w:cs="Calibri"/>
          <w:color w:val="auto"/>
          <w:sz w:val="24"/>
          <w:szCs w:val="24"/>
          <w:lang w:eastAsia="cs-CZ"/>
        </w:rPr>
        <w:t>implementaci</w:t>
      </w:r>
      <w:r>
        <w:rPr>
          <w:rFonts w:eastAsia="Times New Roman" w:cs="Calibri"/>
          <w:color w:val="auto"/>
          <w:sz w:val="24"/>
          <w:szCs w:val="24"/>
          <w:lang w:eastAsia="cs-CZ"/>
        </w:rPr>
        <w:t xml:space="preserve"> a vymáhání AI Aktu. </w:t>
      </w:r>
    </w:p>
    <w:p w14:paraId="06D04FB7" w14:textId="046673F6" w:rsidR="00BC29B7" w:rsidRPr="008C5B15" w:rsidRDefault="00B842A1" w:rsidP="007B7C57">
      <w:pPr>
        <w:pStyle w:val="hlava"/>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line="293" w:lineRule="auto"/>
        <w:jc w:val="both"/>
        <w:rPr>
          <w:rFonts w:ascii="Calibri" w:hAnsi="Calibri" w:cs="Calibri"/>
          <w:b/>
          <w:bCs/>
          <w:color w:val="002060"/>
        </w:rPr>
      </w:pPr>
      <w:r w:rsidRPr="008C5B15">
        <w:rPr>
          <w:rFonts w:ascii="Calibri" w:hAnsi="Calibri" w:cs="Calibri"/>
          <w:b/>
          <w:bCs/>
          <w:color w:val="002060"/>
        </w:rPr>
        <w:t>S ohledem na výše uvedené je Ministerstvo průmyslu a obchodu (MPO) připraveno převzít gesci za implementaci AI Aktu, nicméně za podmínky garance dostatečných finančních prostředků ze státního rozpočtu na implementaci a vymáhání AI Aktu</w:t>
      </w:r>
      <w:r w:rsidR="00B356B9" w:rsidRPr="008C5B15">
        <w:rPr>
          <w:rFonts w:ascii="Calibri" w:hAnsi="Calibri" w:cs="Calibri"/>
          <w:b/>
          <w:bCs/>
          <w:color w:val="002060"/>
        </w:rPr>
        <w:t xml:space="preserve"> dle usnesení vlády </w:t>
      </w:r>
      <w:r w:rsidR="00C16369" w:rsidRPr="008C5B15">
        <w:rPr>
          <w:rFonts w:ascii="Calibri" w:hAnsi="Calibri" w:cs="Calibri"/>
          <w:b/>
          <w:bCs/>
          <w:color w:val="002060"/>
        </w:rPr>
        <w:t xml:space="preserve">k tomuto </w:t>
      </w:r>
      <w:r w:rsidR="00B356B9" w:rsidRPr="008C5B15">
        <w:rPr>
          <w:rFonts w:ascii="Calibri" w:hAnsi="Calibri" w:cs="Calibri"/>
          <w:b/>
          <w:bCs/>
          <w:color w:val="002060"/>
        </w:rPr>
        <w:t>materiálu</w:t>
      </w:r>
      <w:r w:rsidRPr="008C5B15">
        <w:rPr>
          <w:rFonts w:ascii="Calibri" w:hAnsi="Calibri" w:cs="Calibri"/>
          <w:b/>
          <w:bCs/>
          <w:color w:val="002060"/>
        </w:rPr>
        <w:t xml:space="preserve"> a </w:t>
      </w:r>
      <w:r w:rsidR="00B26D67" w:rsidRPr="008C5B15">
        <w:rPr>
          <w:rFonts w:ascii="Calibri" w:hAnsi="Calibri" w:cs="Calibri"/>
          <w:b/>
          <w:bCs/>
          <w:color w:val="002060"/>
        </w:rPr>
        <w:t>při zajištění personálních kapacit. Pro účely implementace AI Aktu se jedná</w:t>
      </w:r>
      <w:r w:rsidR="00C16369" w:rsidRPr="008C5B15">
        <w:rPr>
          <w:rFonts w:ascii="Calibri" w:hAnsi="Calibri" w:cs="Calibri"/>
          <w:b/>
          <w:bCs/>
          <w:color w:val="002060"/>
        </w:rPr>
        <w:t xml:space="preserve"> </w:t>
      </w:r>
      <w:r w:rsidR="005860F6">
        <w:rPr>
          <w:rFonts w:ascii="Calibri" w:hAnsi="Calibri" w:cs="Calibri"/>
          <w:b/>
          <w:bCs/>
          <w:color w:val="002060"/>
        </w:rPr>
        <w:t xml:space="preserve">o </w:t>
      </w:r>
      <w:r w:rsidR="009F064D">
        <w:rPr>
          <w:rFonts w:ascii="Calibri" w:hAnsi="Calibri" w:cs="Calibri"/>
          <w:b/>
          <w:bCs/>
          <w:color w:val="002060"/>
        </w:rPr>
        <w:t xml:space="preserve">trvalý </w:t>
      </w:r>
      <w:r w:rsidR="005860F6">
        <w:rPr>
          <w:rFonts w:ascii="Calibri" w:hAnsi="Calibri" w:cs="Calibri"/>
          <w:b/>
          <w:bCs/>
          <w:color w:val="002060"/>
        </w:rPr>
        <w:t xml:space="preserve">přesun </w:t>
      </w:r>
      <w:r w:rsidR="00C16369" w:rsidRPr="008C5B15">
        <w:rPr>
          <w:rFonts w:ascii="Calibri" w:hAnsi="Calibri" w:cs="Calibri"/>
          <w:b/>
          <w:bCs/>
          <w:color w:val="002060"/>
        </w:rPr>
        <w:t xml:space="preserve">celkem </w:t>
      </w:r>
      <w:r w:rsidR="007B7C57" w:rsidRPr="008C5B15">
        <w:rPr>
          <w:rFonts w:ascii="Calibri" w:hAnsi="Calibri" w:cs="Calibri"/>
          <w:b/>
          <w:bCs/>
          <w:color w:val="002060"/>
        </w:rPr>
        <w:t>tř</w:t>
      </w:r>
      <w:r w:rsidR="005860F6">
        <w:rPr>
          <w:rFonts w:ascii="Calibri" w:hAnsi="Calibri" w:cs="Calibri"/>
          <w:b/>
          <w:bCs/>
          <w:color w:val="002060"/>
        </w:rPr>
        <w:t>í</w:t>
      </w:r>
      <w:r w:rsidR="009F064D">
        <w:rPr>
          <w:rFonts w:ascii="Calibri" w:hAnsi="Calibri" w:cs="Calibri"/>
          <w:b/>
          <w:bCs/>
          <w:color w:val="002060"/>
        </w:rPr>
        <w:t xml:space="preserve"> systemizovaných</w:t>
      </w:r>
      <w:r w:rsidR="00C16369" w:rsidRPr="008C5B15">
        <w:rPr>
          <w:rFonts w:ascii="Calibri" w:hAnsi="Calibri" w:cs="Calibri"/>
          <w:b/>
          <w:bCs/>
          <w:color w:val="002060"/>
        </w:rPr>
        <w:t xml:space="preserve"> míst</w:t>
      </w:r>
      <w:r w:rsidR="005860F6">
        <w:rPr>
          <w:rFonts w:ascii="Calibri" w:hAnsi="Calibri" w:cs="Calibri"/>
          <w:b/>
          <w:bCs/>
          <w:color w:val="002060"/>
        </w:rPr>
        <w:t xml:space="preserve"> z Úřadu vlády na </w:t>
      </w:r>
      <w:r w:rsidR="005860F6" w:rsidRPr="00F36206">
        <w:rPr>
          <w:rFonts w:ascii="Calibri" w:hAnsi="Calibri" w:cs="Calibri"/>
          <w:b/>
          <w:bCs/>
          <w:color w:val="002060"/>
        </w:rPr>
        <w:t>MPO</w:t>
      </w:r>
      <w:r w:rsidR="00FD3A34" w:rsidRPr="00F36206">
        <w:rPr>
          <w:rFonts w:ascii="Calibri" w:hAnsi="Calibri" w:cs="Calibri"/>
          <w:b/>
          <w:bCs/>
          <w:color w:val="002060"/>
        </w:rPr>
        <w:t xml:space="preserve"> včetně odpovídajících finančních prostředků na platy</w:t>
      </w:r>
      <w:r w:rsidR="009F064D" w:rsidRPr="00F36206">
        <w:rPr>
          <w:rFonts w:ascii="Calibri" w:hAnsi="Calibri" w:cs="Calibri"/>
          <w:b/>
          <w:bCs/>
          <w:color w:val="002060"/>
        </w:rPr>
        <w:t xml:space="preserve"> a </w:t>
      </w:r>
      <w:r w:rsidR="00FD3A34" w:rsidRPr="00F36206">
        <w:rPr>
          <w:rFonts w:ascii="Calibri" w:hAnsi="Calibri" w:cs="Calibri"/>
          <w:b/>
          <w:bCs/>
          <w:color w:val="002060"/>
        </w:rPr>
        <w:t xml:space="preserve">přeložení </w:t>
      </w:r>
      <w:r w:rsidR="009F064D" w:rsidRPr="00F36206">
        <w:rPr>
          <w:rFonts w:ascii="Calibri" w:hAnsi="Calibri" w:cs="Calibri"/>
          <w:b/>
          <w:bCs/>
          <w:color w:val="002060"/>
        </w:rPr>
        <w:t>3</w:t>
      </w:r>
      <w:r w:rsidR="00FD3A34" w:rsidRPr="00F36206">
        <w:rPr>
          <w:rFonts w:ascii="Calibri" w:hAnsi="Calibri" w:cs="Calibri"/>
          <w:b/>
          <w:bCs/>
          <w:color w:val="002060"/>
        </w:rPr>
        <w:t xml:space="preserve"> zaměstnanců</w:t>
      </w:r>
      <w:r w:rsidR="009F064D" w:rsidRPr="00F36206">
        <w:rPr>
          <w:rFonts w:ascii="Calibri" w:hAnsi="Calibri" w:cs="Calibri"/>
          <w:b/>
          <w:bCs/>
          <w:color w:val="002060"/>
        </w:rPr>
        <w:t xml:space="preserve"> Úřadu vlády na MPO</w:t>
      </w:r>
      <w:r w:rsidR="005860F6" w:rsidRPr="00F36206">
        <w:rPr>
          <w:rFonts w:ascii="Calibri" w:hAnsi="Calibri" w:cs="Calibri"/>
          <w:b/>
          <w:bCs/>
          <w:color w:val="002060"/>
        </w:rPr>
        <w:t>.</w:t>
      </w:r>
      <w:r w:rsidR="005860F6">
        <w:rPr>
          <w:rFonts w:ascii="Calibri" w:hAnsi="Calibri" w:cs="Calibri"/>
          <w:b/>
          <w:bCs/>
          <w:color w:val="002060"/>
        </w:rPr>
        <w:t xml:space="preserve"> </w:t>
      </w:r>
      <w:r w:rsidR="00B356B9" w:rsidRPr="008C5B15">
        <w:rPr>
          <w:rFonts w:ascii="Calibri" w:hAnsi="Calibri" w:cs="Calibri"/>
          <w:b/>
          <w:bCs/>
          <w:color w:val="002060"/>
        </w:rPr>
        <w:t xml:space="preserve"> </w:t>
      </w:r>
    </w:p>
    <w:p w14:paraId="03CC80D5" w14:textId="697B5212" w:rsidR="00BC29B7" w:rsidRDefault="00503A5D">
      <w:pPr>
        <w:pStyle w:val="Nadpis2"/>
      </w:pPr>
      <w:r w:rsidRPr="007B7C57">
        <w:rPr>
          <w:rFonts w:eastAsia="Times New Roman" w:cs="Calibri"/>
          <w:color w:val="auto"/>
          <w:sz w:val="24"/>
          <w:szCs w:val="24"/>
          <w:lang w:eastAsia="cs-CZ"/>
        </w:rPr>
        <w:br w:type="page"/>
      </w:r>
      <w:bookmarkStart w:id="12" w:name="_Toc193380586"/>
      <w:bookmarkStart w:id="13" w:name="_Toc194654521"/>
      <w:r w:rsidR="00B842A1">
        <w:lastRenderedPageBreak/>
        <w:t>Určení orgánu dozoru nad trhem a centrálního dozorového orgánu pro vymáhání AI Aktu</w:t>
      </w:r>
      <w:bookmarkEnd w:id="12"/>
      <w:bookmarkEnd w:id="13"/>
      <w:r w:rsidR="00B842A1">
        <w:t xml:space="preserve"> </w:t>
      </w:r>
    </w:p>
    <w:p w14:paraId="77D1D638" w14:textId="6CCE099F" w:rsidR="00157BBC" w:rsidRDefault="00B842A1" w:rsidP="00517153">
      <w:pPr>
        <w:spacing w:line="293" w:lineRule="auto"/>
        <w:jc w:val="both"/>
      </w:pPr>
      <w:r w:rsidRPr="0013693E">
        <w:rPr>
          <w:sz w:val="24"/>
          <w:szCs w:val="24"/>
        </w:rPr>
        <w:t xml:space="preserve">Jako orgán dozoru nad trhem navrhuje MPO určit </w:t>
      </w:r>
      <w:r w:rsidRPr="00CC0524">
        <w:rPr>
          <w:b/>
          <w:bCs/>
          <w:sz w:val="24"/>
          <w:szCs w:val="24"/>
        </w:rPr>
        <w:t>Český telekomunikační úřad</w:t>
      </w:r>
      <w:r w:rsidR="00157BBC" w:rsidRPr="00CC0524">
        <w:rPr>
          <w:b/>
          <w:bCs/>
          <w:sz w:val="24"/>
          <w:szCs w:val="24"/>
        </w:rPr>
        <w:t xml:space="preserve"> (dále ČTÚ)</w:t>
      </w:r>
      <w:r w:rsidRPr="0013693E">
        <w:rPr>
          <w:sz w:val="24"/>
          <w:szCs w:val="24"/>
        </w:rPr>
        <w:t>, který je ochoten s ohledem na urgentnost situace gesci přijmout, přestože do jeho agendy nespadá oblast dozoru nad trhem dle nařízení (EU) 2019/1020 o dozoru nad trhem a souladu výrobků s předpisy a ani se nezabývá výrobkovou legislativou.</w:t>
      </w:r>
      <w:r w:rsidR="00157BBC" w:rsidRPr="00157BBC">
        <w:t xml:space="preserve"> </w:t>
      </w:r>
    </w:p>
    <w:p w14:paraId="10D909DE" w14:textId="10104226" w:rsidR="00BC29B7" w:rsidRPr="0013693E" w:rsidRDefault="00157BBC" w:rsidP="00157BBC">
      <w:pPr>
        <w:spacing w:line="293" w:lineRule="auto"/>
        <w:jc w:val="both"/>
        <w:rPr>
          <w:sz w:val="24"/>
          <w:szCs w:val="24"/>
        </w:rPr>
      </w:pPr>
      <w:r>
        <w:rPr>
          <w:sz w:val="24"/>
          <w:szCs w:val="24"/>
        </w:rPr>
        <w:t>ČTÚ</w:t>
      </w:r>
      <w:r w:rsidRPr="00157BBC">
        <w:rPr>
          <w:sz w:val="24"/>
          <w:szCs w:val="24"/>
        </w:rPr>
        <w:t xml:space="preserve"> byl zřízen zákonem č. 127/2005 Sb., o elektronických komunikacích a o změně některých souvisejících zákonů (zákon o elektronických komunikacích) (dále jen „zákon“) ke dni 1. května 2005 jako ústřední správní úřad pro výkon státní správy ve věcech stanovených zákonem, včetně regulace trhu a stanovování podmínek pro podnikání v oblasti elektronických komunikací a poštovních služeb.</w:t>
      </w:r>
      <w:r>
        <w:rPr>
          <w:sz w:val="24"/>
          <w:szCs w:val="24"/>
        </w:rPr>
        <w:t xml:space="preserve"> ČTÚ </w:t>
      </w:r>
      <w:r w:rsidRPr="00157BBC">
        <w:rPr>
          <w:sz w:val="24"/>
          <w:szCs w:val="24"/>
        </w:rPr>
        <w:t>je ústředním správním úřadem se samostatnou kapitolou státního rozpočtu.</w:t>
      </w:r>
    </w:p>
    <w:p w14:paraId="715C42D1" w14:textId="37540063" w:rsidR="00BC29B7" w:rsidRPr="0013693E" w:rsidRDefault="00B842A1" w:rsidP="005B0B2C">
      <w:pPr>
        <w:spacing w:line="293" w:lineRule="auto"/>
        <w:jc w:val="both"/>
        <w:rPr>
          <w:sz w:val="24"/>
          <w:szCs w:val="24"/>
        </w:rPr>
      </w:pPr>
      <w:r w:rsidRPr="0013693E">
        <w:rPr>
          <w:sz w:val="24"/>
          <w:szCs w:val="24"/>
        </w:rPr>
        <w:t xml:space="preserve">Dle AI Aktu tak bude ČTÚ vykonávat řadu náročných činností dozoru nad dodržováním AI Aktu. Bude mít pravomoc provádět kontroly poskytovatelů AI systémů, ověřovat soulad těchto systémů s AI Aktem a ukládat poskytovatelům opatření. ČTÚ bude fungovat jako místo pro přijetí stížností na </w:t>
      </w:r>
      <w:r w:rsidR="00E40B05">
        <w:rPr>
          <w:sz w:val="24"/>
          <w:szCs w:val="24"/>
        </w:rPr>
        <w:t>7</w:t>
      </w:r>
      <w:r w:rsidRPr="0013693E">
        <w:rPr>
          <w:sz w:val="24"/>
          <w:szCs w:val="24"/>
        </w:rPr>
        <w:t xml:space="preserve">konkrétní systémy AI.  Bude vymáhat povinnosti dle AI Aktu a </w:t>
      </w:r>
      <w:r w:rsidR="002E1928">
        <w:rPr>
          <w:sz w:val="24"/>
          <w:szCs w:val="24"/>
        </w:rPr>
        <w:t>bude moci</w:t>
      </w:r>
      <w:r w:rsidRPr="0013693E">
        <w:rPr>
          <w:sz w:val="24"/>
          <w:szCs w:val="24"/>
        </w:rPr>
        <w:t xml:space="preserve"> udílet sankce za jejich neplnění a bude zajišťovat komunikaci napříč Evropskou unií a s Evropskou komisí v zájmu harmonizovaného dozoru nad stejnými systémy AI.</w:t>
      </w:r>
    </w:p>
    <w:p w14:paraId="7B7C3C77" w14:textId="065EB58B" w:rsidR="00BC29B7" w:rsidRPr="0013693E" w:rsidRDefault="00B842A1" w:rsidP="005B0B2C">
      <w:pPr>
        <w:spacing w:line="293" w:lineRule="auto"/>
        <w:jc w:val="both"/>
        <w:rPr>
          <w:sz w:val="24"/>
          <w:szCs w:val="24"/>
        </w:rPr>
      </w:pPr>
      <w:r w:rsidRPr="0013693E">
        <w:rPr>
          <w:sz w:val="24"/>
          <w:szCs w:val="24"/>
        </w:rPr>
        <w:t>Dále bude ČTÚ vykonávat dozor nad řádným vedením dokumentace systémů AI obsahující mj. popis architektury systému, interakce sytému s hardwarem nebo jiným softwarem či metriky výkonnosti, informace o metodách a krocích provedených při vývoji systému, obecné logice a algoritmech, použitých validačních testovacích postupech, opatřeních v oblasti kybernetické bezpečnosti apod. a na základě posouzení této dokumentace, případně zdrojového kódu daného systému, dostupných dat a dalších informací</w:t>
      </w:r>
      <w:r w:rsidR="00744C07">
        <w:rPr>
          <w:sz w:val="24"/>
          <w:szCs w:val="24"/>
        </w:rPr>
        <w:t>,</w:t>
      </w:r>
      <w:r w:rsidRPr="0013693E">
        <w:rPr>
          <w:sz w:val="24"/>
          <w:szCs w:val="24"/>
        </w:rPr>
        <w:t xml:space="preserve"> též dozor nad specifickými povinnostmi, např. zákazem používání systémů AI k určitým účelům (čl. 5), povinnostmi souvisejícími s transparentností (čl. 13 a čl. 50), povinnostmi zajistit účinný lidský dohled (čl. 14), přesnost a spolehlivost systému (čl. 15), automatické generování protokolů (čl. 19) či nezbytná opatření při zjištění nesouladu systému s nařízením o umělé inteligenci (čl. 20), povinnostmi při testování vysoce rizikových systémů AI v reálných podmínkách (čl. 60 a 76), povinností monitorování systému po uvedení na trh (čl. 72) či povinností oznamovat závažné incidenty (čl. 73), jakož i povinnostmi dovozců (čl. 23), distributorů (čl. 24) a uživatelů systémů AI (čl. 26). Dále bude povolovat uvedení vysoce rizikového systému AI na trh bez posouzení shody (čl. 46), schvalovat testování v reálných podmínkách a plán tohoto testování (čl. 60), přijímat oznámení o závažných incidentech a vhodná opatření v reakci na tato oznámení (čl. 73), spolupracovat s Evropskou komisí na provádění hodnocení souladu obecných systémů AI s AI </w:t>
      </w:r>
      <w:r w:rsidR="00744C07">
        <w:rPr>
          <w:sz w:val="24"/>
          <w:szCs w:val="24"/>
        </w:rPr>
        <w:t xml:space="preserve">Aktem </w:t>
      </w:r>
      <w:r w:rsidRPr="0013693E">
        <w:rPr>
          <w:sz w:val="24"/>
          <w:szCs w:val="24"/>
        </w:rPr>
        <w:t xml:space="preserve">(čl. 75 a 88 odst. 2), testovat vysoce rizikové systémy AI technickými prostředky na žádost orgánu chránícího základní práva (čl. 77 odst. 3), hodnotit systémy AI v případě podezření, že představují riziko nebo byly chybně klasifikovány jako nikoliv vysoce rizikové, vyzývat provozovatele k přijetí vhodných nápravných opatření, </w:t>
      </w:r>
      <w:r w:rsidR="00744C07">
        <w:rPr>
          <w:sz w:val="24"/>
          <w:szCs w:val="24"/>
        </w:rPr>
        <w:t xml:space="preserve">ke </w:t>
      </w:r>
      <w:r w:rsidRPr="0013693E">
        <w:rPr>
          <w:sz w:val="24"/>
          <w:szCs w:val="24"/>
        </w:rPr>
        <w:t xml:space="preserve">stažení systému z trhu nebo z oběhu, případně přijímat vlastní opatření (čl. 79, 80 a 82) a poskytovat pokyny a poradenství ohledně provádění AI </w:t>
      </w:r>
      <w:r w:rsidR="00744C07">
        <w:rPr>
          <w:sz w:val="24"/>
          <w:szCs w:val="24"/>
        </w:rPr>
        <w:t xml:space="preserve">Aktu </w:t>
      </w:r>
      <w:r w:rsidRPr="0013693E">
        <w:rPr>
          <w:sz w:val="24"/>
          <w:szCs w:val="24"/>
        </w:rPr>
        <w:t>(čl. 70 odst. 8).</w:t>
      </w:r>
    </w:p>
    <w:p w14:paraId="68289AD6" w14:textId="5C2FB01C" w:rsidR="00BC29B7" w:rsidRPr="0013693E" w:rsidRDefault="00B842A1" w:rsidP="005B0B2C">
      <w:pPr>
        <w:spacing w:line="293" w:lineRule="auto"/>
        <w:jc w:val="both"/>
        <w:rPr>
          <w:sz w:val="24"/>
          <w:szCs w:val="24"/>
        </w:rPr>
      </w:pPr>
      <w:r w:rsidRPr="0013693E">
        <w:rPr>
          <w:sz w:val="24"/>
          <w:szCs w:val="24"/>
        </w:rPr>
        <w:lastRenderedPageBreak/>
        <w:t>ČTÚ bude rovněž vykonávat dozor nad dalšími povinnostmi vyžadující</w:t>
      </w:r>
      <w:r w:rsidR="007540CD">
        <w:rPr>
          <w:sz w:val="24"/>
          <w:szCs w:val="24"/>
        </w:rPr>
        <w:t>mi</w:t>
      </w:r>
      <w:r w:rsidRPr="0013693E">
        <w:rPr>
          <w:sz w:val="24"/>
          <w:szCs w:val="24"/>
        </w:rPr>
        <w:t xml:space="preserve"> vedle vysoké úrovně znalosti v oblasti programování a softwarového inženýrství, resp. práce se zdrojovým kódem a dokumentací softwarových systémů, též jiné specifické znalosti a dovednosti, tj. dozor nad požadavky na kybernetickou bezpečnost systémů AI a systémy řízení rizik (čl. 9 a 15), nad povinností zajistit kvalitní, tj. vhodná, reprezentativní, úplná a správná trénovací, validační a testovací data, na jejichž základě byl systém AI vyvíjen (čl. 10) nebo povinností zavést systém řízení kvality řádně zdokumentovaný formou písemných politik, postupů  a pokynů (čl. 17). </w:t>
      </w:r>
    </w:p>
    <w:p w14:paraId="78C8FC73" w14:textId="69A07085" w:rsidR="00BC29B7" w:rsidRPr="0013693E" w:rsidRDefault="00B842A1" w:rsidP="005B0B2C">
      <w:pPr>
        <w:spacing w:line="293" w:lineRule="auto"/>
        <w:jc w:val="both"/>
        <w:rPr>
          <w:sz w:val="24"/>
          <w:szCs w:val="24"/>
        </w:rPr>
      </w:pPr>
      <w:r w:rsidRPr="0013693E">
        <w:rPr>
          <w:sz w:val="24"/>
          <w:szCs w:val="24"/>
        </w:rPr>
        <w:t>Opomenout nelze ani účast na činnosti Evropské rady pro umělou inteligenci a jejích podskupin (čl. 65 a 66), zajišťování institutu jednotného kontaktního místa (čl. 70 odst. 2), resp. přeshraniční spolupráce obecně ani dozor nad celou řad</w:t>
      </w:r>
      <w:r w:rsidR="002C013C">
        <w:rPr>
          <w:sz w:val="24"/>
          <w:szCs w:val="24"/>
        </w:rPr>
        <w:t>o</w:t>
      </w:r>
      <w:r w:rsidRPr="0013693E">
        <w:rPr>
          <w:sz w:val="24"/>
          <w:szCs w:val="24"/>
        </w:rPr>
        <w:t xml:space="preserve">u dalších (evidenčních, oznamovacích a podobných) povinností podle AI </w:t>
      </w:r>
      <w:r w:rsidR="002C013C">
        <w:rPr>
          <w:sz w:val="24"/>
          <w:szCs w:val="24"/>
        </w:rPr>
        <w:t xml:space="preserve">Aktu </w:t>
      </w:r>
      <w:r w:rsidRPr="0013693E">
        <w:rPr>
          <w:sz w:val="24"/>
          <w:szCs w:val="24"/>
        </w:rPr>
        <w:t xml:space="preserve">a související administrativní úkony </w:t>
      </w:r>
      <w:r w:rsidR="002C013C">
        <w:rPr>
          <w:sz w:val="24"/>
          <w:szCs w:val="24"/>
        </w:rPr>
        <w:t>spojené</w:t>
      </w:r>
      <w:r w:rsidR="002C013C" w:rsidRPr="0013693E">
        <w:rPr>
          <w:sz w:val="24"/>
          <w:szCs w:val="24"/>
        </w:rPr>
        <w:t xml:space="preserve"> </w:t>
      </w:r>
      <w:r w:rsidRPr="0013693E">
        <w:rPr>
          <w:sz w:val="24"/>
          <w:szCs w:val="24"/>
        </w:rPr>
        <w:t>s dozorem (kupříkladu vypracovávání různých zpráv a oznámení).</w:t>
      </w:r>
    </w:p>
    <w:p w14:paraId="5189B985" w14:textId="59E71F00" w:rsidR="00BC29B7" w:rsidRDefault="00B842A1" w:rsidP="005B0B2C">
      <w:pPr>
        <w:spacing w:line="293" w:lineRule="auto"/>
        <w:jc w:val="both"/>
        <w:rPr>
          <w:sz w:val="24"/>
          <w:szCs w:val="24"/>
        </w:rPr>
      </w:pPr>
      <w:r w:rsidRPr="0013693E">
        <w:rPr>
          <w:sz w:val="24"/>
          <w:szCs w:val="24"/>
        </w:rPr>
        <w:t>Předmětem AI Aktu bude zejména kontrola sofistikovaných systémů AI, což je činnost, kterou se ČTÚ nikdy nezabýval a pro kterou nemá dostatečné expertní a finanční kapacity ani technické zázemí. Dále podle čl. 70 AI</w:t>
      </w:r>
      <w:r w:rsidR="00F1278D">
        <w:rPr>
          <w:sz w:val="24"/>
          <w:szCs w:val="24"/>
        </w:rPr>
        <w:t xml:space="preserve"> </w:t>
      </w:r>
      <w:r w:rsidRPr="0013693E">
        <w:rPr>
          <w:sz w:val="24"/>
          <w:szCs w:val="24"/>
        </w:rPr>
        <w:t>A</w:t>
      </w:r>
      <w:r w:rsidR="00F1278D">
        <w:rPr>
          <w:sz w:val="24"/>
          <w:szCs w:val="24"/>
        </w:rPr>
        <w:t>ktu</w:t>
      </w:r>
      <w:r w:rsidRPr="0013693E">
        <w:rPr>
          <w:sz w:val="24"/>
          <w:szCs w:val="24"/>
        </w:rPr>
        <w:t xml:space="preserve"> se od dozorového orgánu očekává expertní připravenost s „důkladným porozuměním“ AI technologiím, kybernetické bezpečnosti, bezpečnostním rizikům apod. Takovou expertízou ČTÚ nikdy nedisponoval a nedisponuje, vyjma nezbytného rozsahu pro zajištění bezpečnosti vlastních interních IT systémů. Proto je potřeba, aby pro ČTÚ byl zajištěn dostatečný počet zaměstnanců s právním vzděláním, jazykově vybavených zaměstnanců a IT expertů, kteří výše uvedené agendy budou řešit. </w:t>
      </w:r>
      <w:r w:rsidR="0013693E" w:rsidRPr="0013693E">
        <w:rPr>
          <w:sz w:val="24"/>
          <w:szCs w:val="24"/>
        </w:rPr>
        <w:t xml:space="preserve"> </w:t>
      </w:r>
    </w:p>
    <w:p w14:paraId="6B5D9AC0" w14:textId="5053F463" w:rsidR="00AE7A7B" w:rsidRDefault="00AE7A7B" w:rsidP="00517153">
      <w:pPr>
        <w:spacing w:line="293" w:lineRule="auto"/>
        <w:jc w:val="both"/>
        <w:rPr>
          <w:sz w:val="24"/>
          <w:szCs w:val="24"/>
        </w:rPr>
      </w:pPr>
      <w:r w:rsidRPr="00AE7A7B">
        <w:rPr>
          <w:sz w:val="24"/>
          <w:szCs w:val="24"/>
        </w:rPr>
        <w:t xml:space="preserve">ČTÚ bude jako orgán dozoru nad trhem vykonávat dozor nad dodržováním přímo použitelných pravidel EU týkajících se vývoje, uvádění na trh a používání systémů umělé inteligence. Ty se v současnosti stávají či v blízké budoucnosti stanou nepominutelnou součástí téměř všech lidských činností a lze očekávat jejich zásadní vliv na stav ekonomiky, resp. HDP, daného státu. Zároveň však nelze přehlížet jejich potenciální dopad na ochranu soukromí, zdraví, bezpečnosti nebo majetkových práv dotčených osob, právo na spravedlivý proces, přístup k výdělečné činnosti a vzdělání, resp. dodržování základních principů právního státu obecně, zejména v případě zakázaných a tzv. vysoce rizikových systémů AI. Výkon dozoru tedy nesmí vytvářet nedůvodné překážky vývoje, </w:t>
      </w:r>
      <w:r w:rsidR="00760759" w:rsidRPr="00AE7A7B">
        <w:rPr>
          <w:sz w:val="24"/>
          <w:szCs w:val="24"/>
        </w:rPr>
        <w:t>distribuc</w:t>
      </w:r>
      <w:r w:rsidR="00760759">
        <w:rPr>
          <w:sz w:val="24"/>
          <w:szCs w:val="24"/>
        </w:rPr>
        <w:t>i</w:t>
      </w:r>
      <w:r w:rsidR="00760759" w:rsidRPr="00AE7A7B">
        <w:rPr>
          <w:sz w:val="24"/>
          <w:szCs w:val="24"/>
        </w:rPr>
        <w:t xml:space="preserve"> </w:t>
      </w:r>
      <w:r w:rsidRPr="00AE7A7B">
        <w:rPr>
          <w:sz w:val="24"/>
          <w:szCs w:val="24"/>
        </w:rPr>
        <w:t>a požívání systémů AI, a bránit tak rozvoji ekonomiky či možnosti využití výhod takových systémů, avšak na druhou stranu při něm nelze rezignovat na ochranu jednotlivců i společnosti jako celku před možnými škodlivými účinky systémů AI. Nalezení rovnováhy mezi těmito protichůdnými tendencemi přirozeně vyžaduje kvalitní expertizu stran předmětu dozoru.</w:t>
      </w:r>
      <w:r>
        <w:rPr>
          <w:sz w:val="24"/>
          <w:szCs w:val="24"/>
        </w:rPr>
        <w:t xml:space="preserve"> Pakliže by dostatečná expertíza nebyla zajištěna, nepochybně by to vedlo k vychýlení rovnováhy, což by mohlo mít závažné dopady buď na vývoj ekonomiky, nebo zdraví, majetek či jiné chráněné zájmy dotčených osob. </w:t>
      </w:r>
    </w:p>
    <w:p w14:paraId="0BDBCACB" w14:textId="6A237D80" w:rsidR="00BC29B7" w:rsidRPr="003A6C3C" w:rsidRDefault="00B842A1" w:rsidP="00517153">
      <w:pPr>
        <w:pBdr>
          <w:top w:val="single" w:sz="4" w:space="1" w:color="auto"/>
          <w:left w:val="single" w:sz="4" w:space="4" w:color="auto"/>
          <w:bottom w:val="single" w:sz="4" w:space="1" w:color="auto"/>
          <w:right w:val="single" w:sz="4" w:space="4" w:color="auto"/>
        </w:pBdr>
        <w:spacing w:before="100" w:line="240" w:lineRule="auto"/>
        <w:jc w:val="both"/>
        <w:rPr>
          <w:b/>
          <w:bCs/>
          <w:color w:val="44546A" w:themeColor="text2"/>
          <w:sz w:val="24"/>
          <w:szCs w:val="24"/>
        </w:rPr>
      </w:pPr>
      <w:r w:rsidRPr="003A6C3C">
        <w:rPr>
          <w:rFonts w:cs="Calibri"/>
          <w:b/>
          <w:bCs/>
          <w:color w:val="44546A" w:themeColor="text2"/>
          <w:sz w:val="24"/>
          <w:szCs w:val="24"/>
        </w:rPr>
        <w:t xml:space="preserve">S ohledem na výše uvedené MPO navrhuje jako orgán dozoru nad trhem a centrální </w:t>
      </w:r>
      <w:r w:rsidRPr="003A6C3C">
        <w:rPr>
          <w:b/>
          <w:bCs/>
          <w:color w:val="44546A" w:themeColor="text2"/>
          <w:sz w:val="24"/>
          <w:szCs w:val="24"/>
        </w:rPr>
        <w:t>dozorov</w:t>
      </w:r>
      <w:r w:rsidR="00B872DE">
        <w:rPr>
          <w:b/>
          <w:bCs/>
          <w:color w:val="44546A" w:themeColor="text2"/>
          <w:sz w:val="24"/>
          <w:szCs w:val="24"/>
        </w:rPr>
        <w:t>ý</w:t>
      </w:r>
      <w:r w:rsidRPr="003A6C3C">
        <w:rPr>
          <w:b/>
          <w:bCs/>
          <w:color w:val="44546A" w:themeColor="text2"/>
          <w:sz w:val="24"/>
          <w:szCs w:val="24"/>
        </w:rPr>
        <w:t xml:space="preserve"> orgán pro vymáhání AI Aktu </w:t>
      </w:r>
      <w:r w:rsidR="00B872DE">
        <w:rPr>
          <w:b/>
          <w:bCs/>
          <w:color w:val="44546A" w:themeColor="text2"/>
          <w:sz w:val="24"/>
          <w:szCs w:val="24"/>
        </w:rPr>
        <w:t xml:space="preserve">jmenovat </w:t>
      </w:r>
      <w:r w:rsidRPr="003A6C3C">
        <w:rPr>
          <w:b/>
          <w:bCs/>
          <w:color w:val="44546A" w:themeColor="text2"/>
          <w:sz w:val="24"/>
          <w:szCs w:val="24"/>
        </w:rPr>
        <w:t xml:space="preserve">Český telekomunikační úřad.  </w:t>
      </w:r>
    </w:p>
    <w:p w14:paraId="7947F6A7" w14:textId="075A1702" w:rsidR="00CF1BA3" w:rsidRPr="00C16369" w:rsidRDefault="00CF1BA3" w:rsidP="00C16369">
      <w:pPr>
        <w:jc w:val="both"/>
        <w:rPr>
          <w:sz w:val="24"/>
          <w:szCs w:val="24"/>
        </w:rPr>
      </w:pPr>
      <w:bookmarkStart w:id="14" w:name="_Toc193450641"/>
      <w:r w:rsidRPr="00C16369">
        <w:rPr>
          <w:sz w:val="24"/>
          <w:szCs w:val="24"/>
        </w:rPr>
        <w:lastRenderedPageBreak/>
        <w:t xml:space="preserve">V rozsahu stanoveném v nařízení </w:t>
      </w:r>
      <w:r w:rsidR="00B51676" w:rsidRPr="00C16369">
        <w:rPr>
          <w:sz w:val="24"/>
          <w:szCs w:val="24"/>
        </w:rPr>
        <w:t xml:space="preserve">AI Aktu </w:t>
      </w:r>
      <w:r w:rsidRPr="00C16369">
        <w:rPr>
          <w:sz w:val="24"/>
          <w:szCs w:val="24"/>
        </w:rPr>
        <w:t xml:space="preserve">budou s orgánem dozoru nad trhem/centrálním dozorovým orgánem spolupracovat ústřední správní úřady a </w:t>
      </w:r>
      <w:r w:rsidR="00D84324">
        <w:rPr>
          <w:sz w:val="24"/>
          <w:szCs w:val="24"/>
        </w:rPr>
        <w:t xml:space="preserve">další </w:t>
      </w:r>
      <w:r w:rsidRPr="00C16369">
        <w:rPr>
          <w:sz w:val="24"/>
          <w:szCs w:val="24"/>
        </w:rPr>
        <w:t xml:space="preserve">instituce. Tuto spolupráci bude upravovat zákon </w:t>
      </w:r>
      <w:r w:rsidR="00E40B05">
        <w:rPr>
          <w:sz w:val="24"/>
          <w:szCs w:val="24"/>
        </w:rPr>
        <w:t>adaptující</w:t>
      </w:r>
      <w:r w:rsidR="0023527B" w:rsidRPr="00C16369">
        <w:rPr>
          <w:sz w:val="24"/>
          <w:szCs w:val="24"/>
        </w:rPr>
        <w:t xml:space="preserve"> </w:t>
      </w:r>
      <w:r w:rsidRPr="00C16369">
        <w:rPr>
          <w:sz w:val="24"/>
          <w:szCs w:val="24"/>
        </w:rPr>
        <w:t>AI Akt.</w:t>
      </w:r>
      <w:bookmarkEnd w:id="14"/>
      <w:r w:rsidRPr="00C16369">
        <w:rPr>
          <w:sz w:val="24"/>
          <w:szCs w:val="24"/>
        </w:rPr>
        <w:t xml:space="preserve"> </w:t>
      </w:r>
    </w:p>
    <w:p w14:paraId="2D7CD1CE" w14:textId="69FEAF53" w:rsidR="00BC29B7" w:rsidRDefault="00B842A1" w:rsidP="005B0B2C">
      <w:pPr>
        <w:pStyle w:val="Nadpis2"/>
      </w:pPr>
      <w:bookmarkStart w:id="15" w:name="_Toc193380587"/>
      <w:bookmarkStart w:id="16" w:name="_Toc194654522"/>
      <w:r w:rsidRPr="0013693E">
        <w:t>Určení oznamujícího orgánu</w:t>
      </w:r>
      <w:bookmarkEnd w:id="15"/>
      <w:bookmarkEnd w:id="16"/>
      <w:r w:rsidRPr="0013693E">
        <w:t xml:space="preserve"> </w:t>
      </w:r>
    </w:p>
    <w:p w14:paraId="2A4B644E" w14:textId="7A0B9A3A" w:rsidR="00157BBC" w:rsidRPr="0013693E" w:rsidRDefault="00B842A1" w:rsidP="00517153">
      <w:pPr>
        <w:spacing w:line="293" w:lineRule="auto"/>
        <w:jc w:val="both"/>
        <w:rPr>
          <w:sz w:val="24"/>
          <w:szCs w:val="24"/>
        </w:rPr>
      </w:pPr>
      <w:r w:rsidRPr="0013693E">
        <w:rPr>
          <w:sz w:val="24"/>
          <w:szCs w:val="24"/>
        </w:rPr>
        <w:t xml:space="preserve">Členský stát má povinnost určit nebo zřídit alespoň jeden oznamující orgán odpovědný za vytvoření a provádění nezbytných postupů pro posuzování, jmenování a oznamování subjektů posuzování shody a za jejich kontrolu. Tyto postupy se vypracují ve spolupráci mezi oznamujícími orgány všech členských států. Činnosti tohoto orgánu vyplývají z článku 28 Nařízení EP a Rady (EU) 2024/1689. </w:t>
      </w:r>
    </w:p>
    <w:p w14:paraId="3B32767B" w14:textId="75931C95" w:rsidR="00157BBC" w:rsidRDefault="00B842A1" w:rsidP="00517153">
      <w:pPr>
        <w:spacing w:line="293" w:lineRule="auto"/>
        <w:jc w:val="both"/>
        <w:rPr>
          <w:sz w:val="24"/>
          <w:szCs w:val="24"/>
        </w:rPr>
      </w:pPr>
      <w:r w:rsidRPr="0013693E">
        <w:rPr>
          <w:sz w:val="24"/>
          <w:szCs w:val="24"/>
        </w:rPr>
        <w:t xml:space="preserve">MPO navrhuje, aby se tímto orgánem v České republice stal Úřad pro technickou normalizaci, metrologii a státní zkušebnictví (dále </w:t>
      </w:r>
      <w:r w:rsidR="00782285">
        <w:rPr>
          <w:sz w:val="24"/>
          <w:szCs w:val="24"/>
        </w:rPr>
        <w:t xml:space="preserve">také </w:t>
      </w:r>
      <w:r w:rsidR="00E051A8">
        <w:rPr>
          <w:sz w:val="24"/>
          <w:szCs w:val="24"/>
        </w:rPr>
        <w:t>jen „</w:t>
      </w:r>
      <w:r w:rsidRPr="00F36206">
        <w:rPr>
          <w:i/>
          <w:iCs/>
          <w:sz w:val="24"/>
          <w:szCs w:val="24"/>
        </w:rPr>
        <w:t>ÚNMZ</w:t>
      </w:r>
      <w:r w:rsidR="00E051A8">
        <w:rPr>
          <w:sz w:val="24"/>
          <w:szCs w:val="24"/>
        </w:rPr>
        <w:t>“</w:t>
      </w:r>
      <w:r w:rsidRPr="0013693E">
        <w:rPr>
          <w:sz w:val="24"/>
          <w:szCs w:val="24"/>
        </w:rPr>
        <w:t>)</w:t>
      </w:r>
      <w:r w:rsidR="00157BBC">
        <w:rPr>
          <w:sz w:val="24"/>
          <w:szCs w:val="24"/>
        </w:rPr>
        <w:t xml:space="preserve">, který </w:t>
      </w:r>
      <w:r w:rsidR="00157BBC" w:rsidRPr="00157BBC">
        <w:rPr>
          <w:sz w:val="24"/>
          <w:szCs w:val="24"/>
        </w:rPr>
        <w:t>byl zřízen zákonem České národní rady č. 20/1993 Sb.  o zabezpečení výkonu státní správy v oblasti technické normalizace, metrologie a státního zkušebnictví. ÚNMZ je organizační složkou státu v resortu Ministerstva průmyslu a obchodu ČR.</w:t>
      </w:r>
    </w:p>
    <w:p w14:paraId="7EA93EED" w14:textId="4C916115" w:rsidR="00D84324" w:rsidRPr="0013693E" w:rsidRDefault="00B842A1" w:rsidP="00517153">
      <w:pPr>
        <w:spacing w:line="293" w:lineRule="auto"/>
        <w:jc w:val="both"/>
        <w:rPr>
          <w:sz w:val="24"/>
          <w:szCs w:val="24"/>
        </w:rPr>
      </w:pPr>
      <w:r w:rsidRPr="0013693E">
        <w:rPr>
          <w:sz w:val="24"/>
          <w:szCs w:val="24"/>
        </w:rPr>
        <w:t>ÚNMZ bude provádět postupy pro posuzování shody vysoce rizikových systémů AI, jmenovat a oznamovat subjekty posuzování shody a monitorovat jejich činnost. ÚNMZ jako oznamující orgán musí mít k dispozici přiměřený počet odborně způsobilých pracovníků, aby mohl řádně plnit své úkoly. Odborně způsobilí pracovníci mají podle potřeby nezbytné odborné znalosti pro svou činnost v oblastech, jako jsou informační technologie, AI a právo, včetně dohledu nad základními právy. Oznamující orgány nesmí nabízet ani poskytovat žádné činnosti, které provádějí subjekty posuzování shody, a nesmí poskytovat poradenské služby na komerčním nebo konkurenčním základě. Oznamující orgány musí být zřízeny, organizovány a fungovat tak, aby nedošlo ke střetu zájmu se subjekty posuzování shody, a aby zabezpečily objektivitu a nestrannost svých činností. Oznamující orgány musí být organizovány takovým způsobem, aby rozhodnutí týkající se oznámení subjektů posuzování shody přijímaly způsobilé osoby odlišné od těch, které provedly posouzení těchto subjektů.</w:t>
      </w:r>
    </w:p>
    <w:p w14:paraId="6C2FA613" w14:textId="5F5F1503" w:rsidR="00BC29B7" w:rsidRPr="0013693E" w:rsidRDefault="00D84324" w:rsidP="00517153">
      <w:pPr>
        <w:spacing w:line="293" w:lineRule="auto"/>
        <w:jc w:val="both"/>
        <w:rPr>
          <w:sz w:val="24"/>
          <w:szCs w:val="24"/>
        </w:rPr>
      </w:pPr>
      <w:r w:rsidRPr="0013693E">
        <w:rPr>
          <w:sz w:val="24"/>
          <w:szCs w:val="24"/>
        </w:rPr>
        <w:t xml:space="preserve">ÚNMZ v současnosti nesplňuje požadavky na oznamující orgán podle AI Aktu. S ohledem na stávající harmonizační právní předpisy Evropské unie </w:t>
      </w:r>
      <w:r w:rsidRPr="00F462E3">
        <w:rPr>
          <w:sz w:val="24"/>
          <w:szCs w:val="24"/>
        </w:rPr>
        <w:t>musí ÚNMZ nutně vybudovat organiza</w:t>
      </w:r>
      <w:r w:rsidR="00F462E3" w:rsidRPr="00F462E3">
        <w:rPr>
          <w:sz w:val="24"/>
          <w:szCs w:val="24"/>
        </w:rPr>
        <w:t>ční</w:t>
      </w:r>
      <w:r w:rsidRPr="0013693E">
        <w:rPr>
          <w:sz w:val="24"/>
          <w:szCs w:val="24"/>
        </w:rPr>
        <w:t xml:space="preserve"> a odborné kapacity v oblasti AI a jejího dalšího využití.</w:t>
      </w:r>
      <w:r>
        <w:rPr>
          <w:sz w:val="24"/>
          <w:szCs w:val="24"/>
        </w:rPr>
        <w:t xml:space="preserve"> </w:t>
      </w:r>
      <w:r w:rsidR="00B842A1" w:rsidRPr="0013693E">
        <w:rPr>
          <w:sz w:val="24"/>
          <w:szCs w:val="24"/>
        </w:rPr>
        <w:t xml:space="preserve">ÚNMZ </w:t>
      </w:r>
      <w:r>
        <w:rPr>
          <w:sz w:val="24"/>
          <w:szCs w:val="24"/>
        </w:rPr>
        <w:t xml:space="preserve">také </w:t>
      </w:r>
      <w:r w:rsidR="00B842A1" w:rsidRPr="0013693E">
        <w:rPr>
          <w:sz w:val="24"/>
          <w:szCs w:val="24"/>
        </w:rPr>
        <w:t xml:space="preserve">nemá v současnosti k dispozici dostatečný počet pracovníků, jejichž způsobilost a odborné znalosti zahrnují pokročilé porozumění technologiím AI, údajům a výpočtu údajů, ochraně osobních údajů, kybernetické bezpečnosti a základním právům. </w:t>
      </w:r>
    </w:p>
    <w:p w14:paraId="42470CA2" w14:textId="505BCE55" w:rsidR="00D84324" w:rsidRDefault="00B842A1" w:rsidP="00517153">
      <w:pPr>
        <w:spacing w:line="293" w:lineRule="auto"/>
        <w:jc w:val="both"/>
        <w:rPr>
          <w:sz w:val="24"/>
          <w:szCs w:val="24"/>
        </w:rPr>
      </w:pPr>
      <w:r w:rsidRPr="0013693E">
        <w:rPr>
          <w:sz w:val="24"/>
          <w:szCs w:val="24"/>
        </w:rPr>
        <w:t>Podle AI Aktu je také potřeba, aby byla zajištěna koordinace oznámených subjektů (vyplývající z</w:t>
      </w:r>
      <w:r w:rsidR="00782285">
        <w:rPr>
          <w:sz w:val="24"/>
          <w:szCs w:val="24"/>
        </w:rPr>
        <w:t> </w:t>
      </w:r>
      <w:r w:rsidRPr="0013693E">
        <w:rPr>
          <w:sz w:val="24"/>
          <w:szCs w:val="24"/>
        </w:rPr>
        <w:t>čl</w:t>
      </w:r>
      <w:r w:rsidR="00782285">
        <w:rPr>
          <w:sz w:val="24"/>
          <w:szCs w:val="24"/>
        </w:rPr>
        <w:t>.</w:t>
      </w:r>
      <w:r w:rsidRPr="0013693E">
        <w:rPr>
          <w:sz w:val="24"/>
          <w:szCs w:val="24"/>
        </w:rPr>
        <w:t xml:space="preserve"> 38). Evropská komise má zajistit, aby v souvislosti s vysoce rizikovými systémy AI byla mezi oznámenými subjekty zabývajícími se postupy posuzování shody podle tohoto nařízení zavedena a řádně prováděna vhodná koordinace a spolupráce, která se provádí formou odvětvové skupiny oznámených subjektů. Každý oznamující orgán zajistí, aby se jím oznámené subjekty účastnily práce této skupiny, a to přímo nebo prostřednictvím určených zástupců.</w:t>
      </w:r>
    </w:p>
    <w:p w14:paraId="17CF6E95" w14:textId="6D07600D" w:rsidR="00D84324" w:rsidRPr="0013693E" w:rsidRDefault="00D84324" w:rsidP="00517153">
      <w:pPr>
        <w:spacing w:line="293" w:lineRule="auto"/>
        <w:jc w:val="both"/>
        <w:rPr>
          <w:sz w:val="24"/>
          <w:szCs w:val="24"/>
        </w:rPr>
      </w:pPr>
      <w:r w:rsidRPr="0013693E">
        <w:rPr>
          <w:sz w:val="24"/>
          <w:szCs w:val="24"/>
        </w:rPr>
        <w:lastRenderedPageBreak/>
        <w:t xml:space="preserve">Implementační předpis bude stanovovat, že oznamujícím orgánem bude Úřad pro technickou normalizaci, metrologii a stání zkušebnictví (ÚNMZ). Dle § 1 odst. 1 zákona č. 20/1993 Sb., o zabezpečení výkonu státní správy v oblasti technické normalizace, metrologii a státního zkušebnictví je MPO nadřízeným orgánem ÚNMZ. Dle § 3 písm. c) MPO rozhoduje o opravných prostředcích proti rozhodnutí ÚNMZ. Na základě výše uvedeného tak bude oddělení </w:t>
      </w:r>
      <w:r w:rsidR="00782285">
        <w:rPr>
          <w:sz w:val="24"/>
          <w:szCs w:val="24"/>
        </w:rPr>
        <w:t>technické harmonizace MPO</w:t>
      </w:r>
      <w:r w:rsidR="00782285" w:rsidRPr="0013693E">
        <w:rPr>
          <w:sz w:val="24"/>
          <w:szCs w:val="24"/>
        </w:rPr>
        <w:t xml:space="preserve"> </w:t>
      </w:r>
      <w:r w:rsidRPr="0013693E">
        <w:rPr>
          <w:sz w:val="24"/>
          <w:szCs w:val="24"/>
        </w:rPr>
        <w:t xml:space="preserve">rozhodovat o odvolání v řízeních vedených podle AI Aktu, tedy zejména v řízeních o oznámeních, případně v řízeních o omezení, pozastavení nebo zrušení oznámení, dále pak v přestupkových řízeních. MPO pak bude rozhodovat o odvoláních ve všech dalších správních řízeních, kde v prvním stupni bude rozhodovat (v souvislosti s AI Aktem) ÚNMZ, např. v řízeních podle zákona č. 106/1999 Sb., o svobodném přístupu k informacím, ve znění pozdějších předpisů. </w:t>
      </w:r>
    </w:p>
    <w:p w14:paraId="53C224C1" w14:textId="4EFCD65F" w:rsidR="00D84324" w:rsidRDefault="00D84324" w:rsidP="00517153">
      <w:pPr>
        <w:spacing w:line="293" w:lineRule="auto"/>
        <w:jc w:val="both"/>
        <w:rPr>
          <w:sz w:val="24"/>
          <w:szCs w:val="24"/>
        </w:rPr>
      </w:pPr>
      <w:r w:rsidRPr="0013693E">
        <w:rPr>
          <w:sz w:val="24"/>
          <w:szCs w:val="24"/>
        </w:rPr>
        <w:t>MPO bude zajišťovat činnosti jakožto nadřízený orgán ÚNMZ všude tam, kde je stanovena působnost nadřízeného orgánu, tedy např. v případě stížností, nečinnosti, v přezkumném řízení atd. Dále bude nutné ze strany MPO například zodpovídat dotazy týkající se oznamování a plnit další činnosti související s oznamováním.</w:t>
      </w:r>
    </w:p>
    <w:p w14:paraId="0E37895F" w14:textId="54B8D9E5" w:rsidR="00D84324" w:rsidRPr="003A6C3C" w:rsidRDefault="00D84324" w:rsidP="00D84324">
      <w:pPr>
        <w:pBdr>
          <w:top w:val="single" w:sz="4" w:space="1" w:color="auto"/>
          <w:left w:val="single" w:sz="4" w:space="4" w:color="auto"/>
          <w:bottom w:val="single" w:sz="4" w:space="1" w:color="auto"/>
          <w:right w:val="single" w:sz="4" w:space="4" w:color="auto"/>
        </w:pBdr>
        <w:spacing w:after="0" w:line="240" w:lineRule="auto"/>
        <w:jc w:val="both"/>
        <w:rPr>
          <w:b/>
          <w:bCs/>
          <w:color w:val="44546A" w:themeColor="text2"/>
          <w:sz w:val="24"/>
          <w:szCs w:val="24"/>
        </w:rPr>
      </w:pPr>
      <w:r w:rsidRPr="003A6C3C">
        <w:rPr>
          <w:b/>
          <w:bCs/>
          <w:color w:val="44546A" w:themeColor="text2"/>
          <w:sz w:val="24"/>
          <w:szCs w:val="24"/>
        </w:rPr>
        <w:t>V návaznosti na výše uvedené MPO navrhuje určit jako oznamující orgán Ú</w:t>
      </w:r>
      <w:r w:rsidR="00562C45" w:rsidRPr="0013693E">
        <w:rPr>
          <w:sz w:val="24"/>
          <w:szCs w:val="24"/>
        </w:rPr>
        <w:t>řad pro technickou normalizaci, metrologii a stání zkušebnictví</w:t>
      </w:r>
      <w:r w:rsidRPr="003A6C3C">
        <w:rPr>
          <w:b/>
          <w:bCs/>
          <w:color w:val="44546A" w:themeColor="text2"/>
          <w:sz w:val="24"/>
          <w:szCs w:val="24"/>
        </w:rPr>
        <w:t xml:space="preserve">. </w:t>
      </w:r>
    </w:p>
    <w:p w14:paraId="424B37F5" w14:textId="5AAE7E34" w:rsidR="00D84324" w:rsidRDefault="00D84324" w:rsidP="005B0B2C">
      <w:pPr>
        <w:spacing w:after="0" w:line="293" w:lineRule="auto"/>
        <w:jc w:val="both"/>
        <w:rPr>
          <w:sz w:val="24"/>
          <w:szCs w:val="24"/>
        </w:rPr>
      </w:pPr>
    </w:p>
    <w:p w14:paraId="3C3CE2AB" w14:textId="77777777" w:rsidR="003D2D5A" w:rsidRDefault="00B842A1" w:rsidP="005B0B2C">
      <w:pPr>
        <w:spacing w:after="0" w:line="293" w:lineRule="auto"/>
        <w:jc w:val="both"/>
        <w:rPr>
          <w:sz w:val="24"/>
          <w:szCs w:val="24"/>
        </w:rPr>
      </w:pPr>
      <w:r w:rsidRPr="0013693E">
        <w:rPr>
          <w:sz w:val="24"/>
          <w:szCs w:val="24"/>
        </w:rPr>
        <w:t>Dále bude potřeba, aby v České republice fungoval také oznámený subjekt, který musí informovat oznamující orgán o vydání, odmítnutí, omezení, pozastavení nebo zrušení certifikátů technické dokumentace Evropské unie a schválení systému managementu kvality podle požadavků Přílohy VII</w:t>
      </w:r>
      <w:r w:rsidR="009734E4">
        <w:rPr>
          <w:sz w:val="24"/>
          <w:szCs w:val="24"/>
        </w:rPr>
        <w:t xml:space="preserve"> AI Aktu</w:t>
      </w:r>
      <w:r w:rsidRPr="0013693E">
        <w:rPr>
          <w:sz w:val="24"/>
          <w:szCs w:val="24"/>
        </w:rPr>
        <w:t xml:space="preserve">. </w:t>
      </w:r>
      <w:r w:rsidR="00E47C87">
        <w:rPr>
          <w:sz w:val="24"/>
          <w:szCs w:val="24"/>
        </w:rPr>
        <w:t xml:space="preserve"> Tento subjekt bude hrát zásadní roli pro rozvoj AI ekosystému v České republice. Bude zásadním partnerem poskytovatelů AI systémů nejen z České republiky, ale může posuzovat také zahraniční subjekty. Tento subjekt </w:t>
      </w:r>
      <w:r w:rsidRPr="0013693E">
        <w:rPr>
          <w:sz w:val="24"/>
          <w:szCs w:val="24"/>
        </w:rPr>
        <w:t xml:space="preserve">musí oznamovat okolnosti ovlivňující rozsah nebo podmínky označení a žádosti o informace od orgánů dohledu nad trhem týkající se činností posuzování shody. </w:t>
      </w:r>
    </w:p>
    <w:p w14:paraId="73F63892" w14:textId="20295B1A" w:rsidR="00BC29B7" w:rsidRDefault="00B842A1" w:rsidP="005B0B2C">
      <w:pPr>
        <w:spacing w:after="0" w:line="293" w:lineRule="auto"/>
        <w:jc w:val="both"/>
        <w:rPr>
          <w:sz w:val="24"/>
          <w:szCs w:val="24"/>
        </w:rPr>
      </w:pPr>
      <w:r w:rsidRPr="0013693E">
        <w:rPr>
          <w:sz w:val="24"/>
          <w:szCs w:val="24"/>
        </w:rPr>
        <w:t xml:space="preserve">Tento orgán musí být také v České republice určen, a to do 2. srpna 2025. Vhodným </w:t>
      </w:r>
      <w:r w:rsidR="00C862B1" w:rsidRPr="0013693E">
        <w:rPr>
          <w:sz w:val="24"/>
          <w:szCs w:val="24"/>
        </w:rPr>
        <w:t>subjektem,</w:t>
      </w:r>
      <w:r w:rsidRPr="0013693E">
        <w:rPr>
          <w:sz w:val="24"/>
          <w:szCs w:val="24"/>
        </w:rPr>
        <w:t xml:space="preserve"> který by se mohl ucházet o roli </w:t>
      </w:r>
      <w:r w:rsidR="003D2D5A">
        <w:rPr>
          <w:sz w:val="24"/>
          <w:szCs w:val="24"/>
        </w:rPr>
        <w:t xml:space="preserve">oznámeného subjektu </w:t>
      </w:r>
      <w:r w:rsidRPr="0013693E">
        <w:rPr>
          <w:sz w:val="24"/>
          <w:szCs w:val="24"/>
        </w:rPr>
        <w:t>je například Český metrologický institut (ČMI)</w:t>
      </w:r>
      <w:r w:rsidR="00E47C87">
        <w:rPr>
          <w:sz w:val="24"/>
          <w:szCs w:val="24"/>
        </w:rPr>
        <w:t xml:space="preserve"> a další</w:t>
      </w:r>
      <w:r w:rsidRPr="0013693E">
        <w:rPr>
          <w:sz w:val="24"/>
          <w:szCs w:val="24"/>
        </w:rPr>
        <w:t xml:space="preserve">. </w:t>
      </w:r>
      <w:r w:rsidR="00152055">
        <w:rPr>
          <w:sz w:val="24"/>
          <w:szCs w:val="24"/>
        </w:rPr>
        <w:t>V rámci několika let po zřízení tohoto orgánu se předpokládá</w:t>
      </w:r>
      <w:r w:rsidR="00E47C87">
        <w:rPr>
          <w:sz w:val="24"/>
          <w:szCs w:val="24"/>
        </w:rPr>
        <w:t xml:space="preserve">, že </w:t>
      </w:r>
      <w:r w:rsidR="003D2D5A">
        <w:rPr>
          <w:sz w:val="24"/>
          <w:szCs w:val="24"/>
        </w:rPr>
        <w:t xml:space="preserve">jeho </w:t>
      </w:r>
      <w:r w:rsidR="00E47C87">
        <w:rPr>
          <w:sz w:val="24"/>
          <w:szCs w:val="24"/>
        </w:rPr>
        <w:t xml:space="preserve">provoz </w:t>
      </w:r>
      <w:r w:rsidR="003D2D5A">
        <w:rPr>
          <w:sz w:val="24"/>
          <w:szCs w:val="24"/>
        </w:rPr>
        <w:t xml:space="preserve">bude financován </w:t>
      </w:r>
      <w:r w:rsidR="00755EB9">
        <w:rPr>
          <w:sz w:val="24"/>
          <w:szCs w:val="24"/>
        </w:rPr>
        <w:t>z</w:t>
      </w:r>
      <w:r w:rsidR="00E47C87">
        <w:rPr>
          <w:sz w:val="24"/>
          <w:szCs w:val="24"/>
        </w:rPr>
        <w:t xml:space="preserve"> tržeb vybraných od poskytovatelů AI systémů, kteří budou posouzením shody procházet. </w:t>
      </w:r>
    </w:p>
    <w:p w14:paraId="78EA3793" w14:textId="77777777" w:rsidR="00AE7A7B" w:rsidRPr="0013693E" w:rsidRDefault="00AE7A7B" w:rsidP="005B0B2C">
      <w:pPr>
        <w:spacing w:after="0" w:line="293" w:lineRule="auto"/>
        <w:jc w:val="both"/>
        <w:rPr>
          <w:sz w:val="24"/>
          <w:szCs w:val="24"/>
        </w:rPr>
      </w:pPr>
    </w:p>
    <w:p w14:paraId="03D220D9" w14:textId="7FD68E5C" w:rsidR="00BC29B7" w:rsidRPr="003665CC" w:rsidRDefault="00B842A1" w:rsidP="003665CC">
      <w:pPr>
        <w:pStyle w:val="Nadpis2"/>
      </w:pPr>
      <w:bookmarkStart w:id="17" w:name="_Toc193380588"/>
      <w:bookmarkStart w:id="18" w:name="_Toc194654523"/>
      <w:r w:rsidRPr="0013693E">
        <w:t>Určení orgánu pro realizaci regula</w:t>
      </w:r>
      <w:r w:rsidR="00C01798">
        <w:t>čního</w:t>
      </w:r>
      <w:r w:rsidRPr="0013693E">
        <w:t xml:space="preserve"> sandboxu</w:t>
      </w:r>
      <w:bookmarkEnd w:id="17"/>
      <w:bookmarkEnd w:id="18"/>
      <w:r w:rsidRPr="0013693E">
        <w:t xml:space="preserve"> </w:t>
      </w:r>
    </w:p>
    <w:p w14:paraId="58868F2B" w14:textId="4E4B8C34" w:rsidR="00157BBC" w:rsidRDefault="00B842A1" w:rsidP="00517153">
      <w:pPr>
        <w:spacing w:line="293" w:lineRule="auto"/>
        <w:jc w:val="both"/>
        <w:rPr>
          <w:sz w:val="24"/>
          <w:szCs w:val="24"/>
        </w:rPr>
      </w:pPr>
      <w:r w:rsidRPr="0013693E">
        <w:rPr>
          <w:sz w:val="24"/>
          <w:szCs w:val="24"/>
        </w:rPr>
        <w:t>AI Akt předpokládá zřízení tzv. regula</w:t>
      </w:r>
      <w:r w:rsidR="00C01798">
        <w:rPr>
          <w:sz w:val="24"/>
          <w:szCs w:val="24"/>
        </w:rPr>
        <w:t>čního</w:t>
      </w:r>
      <w:r w:rsidRPr="0013693E">
        <w:rPr>
          <w:sz w:val="24"/>
          <w:szCs w:val="24"/>
        </w:rPr>
        <w:t xml:space="preserve"> </w:t>
      </w:r>
      <w:r w:rsidR="00D84324">
        <w:rPr>
          <w:sz w:val="24"/>
          <w:szCs w:val="24"/>
        </w:rPr>
        <w:t>sandboxu,</w:t>
      </w:r>
      <w:r w:rsidRPr="0013693E">
        <w:rPr>
          <w:sz w:val="24"/>
          <w:szCs w:val="24"/>
        </w:rPr>
        <w:t xml:space="preserve"> tedy kontrolovaného prostředí, ve kterém bude umožněno systém umělé inteligence otestovat v reálných podmínkách před jeho uvedením na trh, a podchytit či odstranit případné nedostatky. </w:t>
      </w:r>
      <w:r w:rsidR="00562C45" w:rsidRPr="0013693E">
        <w:rPr>
          <w:sz w:val="24"/>
          <w:szCs w:val="24"/>
        </w:rPr>
        <w:t>Čl</w:t>
      </w:r>
      <w:r w:rsidR="00562C45">
        <w:rPr>
          <w:sz w:val="24"/>
          <w:szCs w:val="24"/>
        </w:rPr>
        <w:t>.</w:t>
      </w:r>
      <w:r w:rsidR="00562C45" w:rsidRPr="0013693E">
        <w:rPr>
          <w:sz w:val="24"/>
          <w:szCs w:val="24"/>
        </w:rPr>
        <w:t xml:space="preserve"> </w:t>
      </w:r>
      <w:r w:rsidRPr="0013693E">
        <w:rPr>
          <w:sz w:val="24"/>
          <w:szCs w:val="24"/>
        </w:rPr>
        <w:t xml:space="preserve">53 </w:t>
      </w:r>
      <w:r w:rsidR="00D84324">
        <w:rPr>
          <w:sz w:val="24"/>
          <w:szCs w:val="24"/>
        </w:rPr>
        <w:t xml:space="preserve">AI Aktu </w:t>
      </w:r>
      <w:r w:rsidRPr="0013693E">
        <w:rPr>
          <w:sz w:val="24"/>
          <w:szCs w:val="24"/>
        </w:rPr>
        <w:t>se týká povinnost</w:t>
      </w:r>
      <w:r w:rsidR="00562C45">
        <w:rPr>
          <w:sz w:val="24"/>
          <w:szCs w:val="24"/>
        </w:rPr>
        <w:t>í</w:t>
      </w:r>
      <w:r w:rsidRPr="0013693E">
        <w:rPr>
          <w:sz w:val="24"/>
          <w:szCs w:val="24"/>
        </w:rPr>
        <w:t xml:space="preserve"> členských států vytvořit alespoň jeden sandbox na národní úrovni, který může být zřízen společně s jinými členskými státy. Sandboxy musí být provozovány pod dohledem národních orgánů a musí dodržovat stávající pravidla Evropské unie a členských států. Čl</w:t>
      </w:r>
      <w:r w:rsidR="00562C45">
        <w:rPr>
          <w:sz w:val="24"/>
          <w:szCs w:val="24"/>
        </w:rPr>
        <w:t>.</w:t>
      </w:r>
      <w:r w:rsidRPr="0013693E">
        <w:rPr>
          <w:sz w:val="24"/>
          <w:szCs w:val="24"/>
        </w:rPr>
        <w:t xml:space="preserve"> 54 </w:t>
      </w:r>
      <w:r w:rsidR="00D84324">
        <w:rPr>
          <w:sz w:val="24"/>
          <w:szCs w:val="24"/>
        </w:rPr>
        <w:t xml:space="preserve">AI Aktu </w:t>
      </w:r>
      <w:r w:rsidRPr="0013693E">
        <w:rPr>
          <w:sz w:val="24"/>
          <w:szCs w:val="24"/>
        </w:rPr>
        <w:t xml:space="preserve">obsahuje podrobnosti o provozu sandboxů, včetně podmínek pro účastníky a povinností orgánů dohledu. </w:t>
      </w:r>
      <w:r w:rsidR="00157BBC" w:rsidRPr="0013693E">
        <w:rPr>
          <w:sz w:val="24"/>
          <w:szCs w:val="24"/>
        </w:rPr>
        <w:t xml:space="preserve">Účastníci sandboxů zůstávají odpovědní za případné škody způsobené během experimentů. Sandboxy poskytují bezpečné </w:t>
      </w:r>
      <w:r w:rsidR="00157BBC" w:rsidRPr="0013693E">
        <w:rPr>
          <w:sz w:val="24"/>
          <w:szCs w:val="24"/>
        </w:rPr>
        <w:lastRenderedPageBreak/>
        <w:t xml:space="preserve">prostředí pro testování AI systémů, podporují transparentnost a odpovědnost a umožňují regulátorům lépe porozumět novým technologiím. </w:t>
      </w:r>
    </w:p>
    <w:p w14:paraId="2F42DA42" w14:textId="434E93D6" w:rsidR="00BC29B7" w:rsidRPr="0013693E" w:rsidRDefault="00157BBC" w:rsidP="00517153">
      <w:pPr>
        <w:spacing w:line="293" w:lineRule="auto"/>
        <w:jc w:val="both"/>
        <w:rPr>
          <w:sz w:val="24"/>
          <w:szCs w:val="24"/>
        </w:rPr>
      </w:pPr>
      <w:r w:rsidRPr="0013693E">
        <w:rPr>
          <w:sz w:val="24"/>
          <w:szCs w:val="24"/>
        </w:rPr>
        <w:t>Evropská komise přijme prováděcí akty, které stanoví podrobné podmínky pro zřízení, provoz a dohled nad sandboxy. Malé a střední podniky mají přednostní přístup k těmto sandboxům. Členské státy musí sand</w:t>
      </w:r>
      <w:r w:rsidR="00562C45">
        <w:rPr>
          <w:sz w:val="24"/>
          <w:szCs w:val="24"/>
        </w:rPr>
        <w:t>b</w:t>
      </w:r>
      <w:r w:rsidRPr="0013693E">
        <w:rPr>
          <w:sz w:val="24"/>
          <w:szCs w:val="24"/>
        </w:rPr>
        <w:t>oxy zřídit do srpna 2026. Evropská komise může poskytnout technickou podporu pro jejich zřízení a provoz. Zkušenost</w:t>
      </w:r>
      <w:r w:rsidR="00562C45">
        <w:rPr>
          <w:sz w:val="24"/>
          <w:szCs w:val="24"/>
        </w:rPr>
        <w:t>mi</w:t>
      </w:r>
      <w:r w:rsidRPr="0013693E">
        <w:rPr>
          <w:sz w:val="24"/>
          <w:szCs w:val="24"/>
        </w:rPr>
        <w:t xml:space="preserve"> s regulačními sandboxy v ČR v tuto chvíli nedisponuje žádný ze zvažovaných orgánů.</w:t>
      </w:r>
    </w:p>
    <w:p w14:paraId="4F45DC28" w14:textId="29E4A439" w:rsidR="00D84324" w:rsidRPr="0013693E" w:rsidRDefault="00B842A1" w:rsidP="00517153">
      <w:pPr>
        <w:spacing w:line="293" w:lineRule="auto"/>
        <w:jc w:val="both"/>
        <w:rPr>
          <w:sz w:val="24"/>
          <w:szCs w:val="24"/>
        </w:rPr>
      </w:pPr>
      <w:r w:rsidRPr="0013693E">
        <w:rPr>
          <w:sz w:val="24"/>
          <w:szCs w:val="24"/>
        </w:rPr>
        <w:t>Jako vhodnou instituci, která by mohla zabezpečit fungování regula</w:t>
      </w:r>
      <w:r w:rsidR="00C01798">
        <w:rPr>
          <w:sz w:val="24"/>
          <w:szCs w:val="24"/>
        </w:rPr>
        <w:t>čního</w:t>
      </w:r>
      <w:r w:rsidRPr="0013693E">
        <w:rPr>
          <w:sz w:val="24"/>
          <w:szCs w:val="24"/>
        </w:rPr>
        <w:t xml:space="preserve"> sandboxu v České republice MPO navrhuje Českou agenturu pro standardizaci</w:t>
      </w:r>
      <w:r w:rsidR="00562C45">
        <w:rPr>
          <w:sz w:val="24"/>
          <w:szCs w:val="24"/>
        </w:rPr>
        <w:t xml:space="preserve"> (dále také jen „</w:t>
      </w:r>
      <w:r w:rsidR="00562C45" w:rsidRPr="00F36206">
        <w:rPr>
          <w:i/>
          <w:iCs/>
          <w:sz w:val="24"/>
          <w:szCs w:val="24"/>
        </w:rPr>
        <w:t>ČAS</w:t>
      </w:r>
      <w:r w:rsidR="00562C45">
        <w:rPr>
          <w:sz w:val="24"/>
          <w:szCs w:val="24"/>
        </w:rPr>
        <w:t>“)</w:t>
      </w:r>
      <w:r w:rsidRPr="0013693E">
        <w:rPr>
          <w:sz w:val="24"/>
          <w:szCs w:val="24"/>
        </w:rPr>
        <w:t>. Tato instituce bude hrát klíčovou roli v rámci AI Aktu, jelikož má za cíl podpořit inovace v AI, zatímco zajišťuje dodržování regulačních požadavků a ochranu spotřebitelů.</w:t>
      </w:r>
    </w:p>
    <w:p w14:paraId="6908783B" w14:textId="404D2B76" w:rsidR="00157BBC" w:rsidRDefault="00B842A1" w:rsidP="00517153">
      <w:pPr>
        <w:spacing w:line="293" w:lineRule="auto"/>
        <w:jc w:val="both"/>
        <w:rPr>
          <w:rFonts w:eastAsia="Times New Roman" w:cs="Calibri"/>
          <w:color w:val="auto"/>
          <w:sz w:val="24"/>
          <w:szCs w:val="24"/>
          <w:lang w:eastAsia="cs-CZ"/>
        </w:rPr>
      </w:pPr>
      <w:r w:rsidRPr="0013693E">
        <w:rPr>
          <w:sz w:val="24"/>
          <w:szCs w:val="24"/>
        </w:rPr>
        <w:t>ČAS potřebuje zahájit práce již v roce 2025, je tedy nezbytné</w:t>
      </w:r>
      <w:r>
        <w:rPr>
          <w:rFonts w:eastAsia="Times New Roman" w:cs="Calibri"/>
          <w:color w:val="auto"/>
          <w:sz w:val="24"/>
          <w:szCs w:val="24"/>
          <w:lang w:eastAsia="cs-CZ"/>
        </w:rPr>
        <w:t xml:space="preserve"> zajistit i pro rok 20025 část financování. Pro období 2027 a následující není možné, vzhledem k povaze fungování sandboxu a znění AI Act</w:t>
      </w:r>
      <w:r w:rsidR="00562C45">
        <w:rPr>
          <w:rFonts w:eastAsia="Times New Roman" w:cs="Calibri"/>
          <w:color w:val="auto"/>
          <w:sz w:val="24"/>
          <w:szCs w:val="24"/>
          <w:lang w:eastAsia="cs-CZ"/>
        </w:rPr>
        <w:t>u</w:t>
      </w:r>
      <w:r>
        <w:rPr>
          <w:rFonts w:eastAsia="Times New Roman" w:cs="Calibri"/>
          <w:color w:val="auto"/>
          <w:sz w:val="24"/>
          <w:szCs w:val="24"/>
          <w:lang w:eastAsia="cs-CZ"/>
        </w:rPr>
        <w:t xml:space="preserve">, počítat se samofinancováním z výnosů, neboť AI Act výnosy nepředpokládá. I do budoucna se bude jednat o nákladovou činnost. Je tedy nezbytné zajistit kontinuální financování a </w:t>
      </w:r>
      <w:r w:rsidRPr="00517153">
        <w:rPr>
          <w:sz w:val="24"/>
          <w:szCs w:val="24"/>
        </w:rPr>
        <w:t>personální</w:t>
      </w:r>
      <w:r>
        <w:rPr>
          <w:rFonts w:eastAsia="Times New Roman" w:cs="Calibri"/>
          <w:color w:val="auto"/>
          <w:sz w:val="24"/>
          <w:szCs w:val="24"/>
          <w:lang w:eastAsia="cs-CZ"/>
        </w:rPr>
        <w:t xml:space="preserve"> kapacit</w:t>
      </w:r>
      <w:r w:rsidR="00562C45">
        <w:rPr>
          <w:rFonts w:eastAsia="Times New Roman" w:cs="Calibri"/>
          <w:color w:val="auto"/>
          <w:sz w:val="24"/>
          <w:szCs w:val="24"/>
          <w:lang w:eastAsia="cs-CZ"/>
        </w:rPr>
        <w:t>y</w:t>
      </w:r>
      <w:r>
        <w:rPr>
          <w:rFonts w:eastAsia="Times New Roman" w:cs="Calibri"/>
          <w:color w:val="auto"/>
          <w:sz w:val="24"/>
          <w:szCs w:val="24"/>
          <w:lang w:eastAsia="cs-CZ"/>
        </w:rPr>
        <w:t xml:space="preserve">. </w:t>
      </w:r>
    </w:p>
    <w:p w14:paraId="4ACDAFC2" w14:textId="11620D4E" w:rsidR="00BC29B7" w:rsidRDefault="00157BBC" w:rsidP="00517153">
      <w:pPr>
        <w:spacing w:line="293" w:lineRule="auto"/>
        <w:jc w:val="both"/>
        <w:rPr>
          <w:rFonts w:eastAsia="Times New Roman" w:cs="Calibri"/>
          <w:color w:val="auto"/>
          <w:sz w:val="24"/>
          <w:szCs w:val="24"/>
          <w:lang w:eastAsia="cs-CZ"/>
        </w:rPr>
      </w:pPr>
      <w:r w:rsidRPr="00157BBC">
        <w:rPr>
          <w:rFonts w:eastAsia="Times New Roman" w:cs="Calibri"/>
          <w:color w:val="auto"/>
          <w:sz w:val="24"/>
          <w:szCs w:val="24"/>
          <w:lang w:eastAsia="cs-CZ"/>
        </w:rPr>
        <w:t xml:space="preserve">Česká agentura pro standardizaci byla zřízena jako státní příspěvková organizace ÚNMZ podle zákona č. 265/2017 Sb., kterým se mění zákon č. 90/2016 Sb., o posuzování shody stanovených výrobků při jejich dodávání na trh, a zákon č. 22/1997 Sb., o technických požadavcích na výrobky a o změně a doplnění některých zákonů, ve znění pozdějších předpisů. Od 1.1.2018 převzala Česká agentura pro standardizaci od ÚNMZ všechny činnosti související s tvorbou, vydáváním a distribucí </w:t>
      </w:r>
      <w:r w:rsidRPr="00517153">
        <w:rPr>
          <w:sz w:val="24"/>
          <w:szCs w:val="24"/>
        </w:rPr>
        <w:t>technických</w:t>
      </w:r>
      <w:r w:rsidRPr="00157BBC">
        <w:rPr>
          <w:rFonts w:eastAsia="Times New Roman" w:cs="Calibri"/>
          <w:color w:val="auto"/>
          <w:sz w:val="24"/>
          <w:szCs w:val="24"/>
          <w:lang w:eastAsia="cs-CZ"/>
        </w:rPr>
        <w:t xml:space="preserve"> norem.</w:t>
      </w:r>
    </w:p>
    <w:p w14:paraId="4FDC7D4B" w14:textId="69400E73" w:rsidR="00BC29B7" w:rsidRPr="003A6C3C" w:rsidRDefault="00B842A1" w:rsidP="005B0B2C">
      <w:pPr>
        <w:pBdr>
          <w:top w:val="single" w:sz="4" w:space="1" w:color="auto"/>
          <w:left w:val="single" w:sz="4" w:space="4" w:color="auto"/>
          <w:bottom w:val="single" w:sz="4" w:space="1" w:color="auto"/>
          <w:right w:val="single" w:sz="4" w:space="4" w:color="auto"/>
        </w:pBdr>
        <w:spacing w:after="0" w:line="240" w:lineRule="auto"/>
        <w:jc w:val="both"/>
        <w:rPr>
          <w:rFonts w:cs="Calibri"/>
          <w:b/>
          <w:bCs/>
          <w:color w:val="44546A" w:themeColor="text2"/>
          <w:sz w:val="24"/>
          <w:szCs w:val="24"/>
        </w:rPr>
      </w:pPr>
      <w:r w:rsidRPr="003A6C3C">
        <w:rPr>
          <w:rFonts w:cs="Calibri"/>
          <w:b/>
          <w:bCs/>
          <w:color w:val="44546A" w:themeColor="text2"/>
          <w:sz w:val="24"/>
          <w:szCs w:val="24"/>
        </w:rPr>
        <w:t>V návaznosti na výše uvedené MPO doporučuje určit jako orgán pro realizaci regula</w:t>
      </w:r>
      <w:r w:rsidR="00C01798">
        <w:rPr>
          <w:rFonts w:cs="Calibri"/>
          <w:b/>
          <w:bCs/>
          <w:color w:val="44546A" w:themeColor="text2"/>
          <w:sz w:val="24"/>
          <w:szCs w:val="24"/>
        </w:rPr>
        <w:t>čního</w:t>
      </w:r>
      <w:r w:rsidRPr="003A6C3C">
        <w:rPr>
          <w:rFonts w:cs="Calibri"/>
          <w:b/>
          <w:bCs/>
          <w:color w:val="44546A" w:themeColor="text2"/>
          <w:sz w:val="24"/>
          <w:szCs w:val="24"/>
        </w:rPr>
        <w:t xml:space="preserve"> sandboxu Českou agenturu pro standardizaci. </w:t>
      </w:r>
    </w:p>
    <w:p w14:paraId="58BF7B97" w14:textId="77777777" w:rsidR="00BC29B7" w:rsidRDefault="00BC29B7">
      <w:pPr>
        <w:spacing w:after="0" w:line="240" w:lineRule="auto"/>
        <w:contextualSpacing/>
        <w:jc w:val="both"/>
        <w:rPr>
          <w:rFonts w:eastAsia="Times New Roman" w:cs="Calibri"/>
          <w:color w:val="auto"/>
          <w:sz w:val="24"/>
          <w:szCs w:val="24"/>
          <w:lang w:eastAsia="cs-CZ"/>
        </w:rPr>
      </w:pPr>
    </w:p>
    <w:p w14:paraId="44F5256C" w14:textId="77777777" w:rsidR="00BC29B7" w:rsidRDefault="00BC29B7">
      <w:pPr>
        <w:spacing w:after="0" w:line="240" w:lineRule="auto"/>
        <w:contextualSpacing/>
        <w:jc w:val="both"/>
        <w:rPr>
          <w:rFonts w:eastAsia="Times New Roman" w:cs="Calibri"/>
          <w:color w:val="auto"/>
          <w:sz w:val="24"/>
          <w:szCs w:val="24"/>
          <w:lang w:eastAsia="cs-CZ"/>
        </w:rPr>
      </w:pPr>
    </w:p>
    <w:p w14:paraId="023B1FDE" w14:textId="1441E1B8" w:rsidR="00BC29B7" w:rsidRPr="00517153" w:rsidRDefault="00B842A1" w:rsidP="003665CC">
      <w:pPr>
        <w:pStyle w:val="Nadpis2"/>
        <w:jc w:val="both"/>
      </w:pPr>
      <w:bookmarkStart w:id="19" w:name="_Toc193380589"/>
      <w:bookmarkStart w:id="20" w:name="_Toc194654524"/>
      <w:r>
        <w:t>Rozhodnutí o adaptaci právního řádu České republiky na AI Akt a návrh konkrétního řešení</w:t>
      </w:r>
      <w:bookmarkEnd w:id="19"/>
      <w:bookmarkEnd w:id="20"/>
      <w:r>
        <w:t xml:space="preserve">  </w:t>
      </w:r>
    </w:p>
    <w:p w14:paraId="31424085" w14:textId="77777777" w:rsidR="00BC29B7" w:rsidRPr="00E9600E" w:rsidRDefault="00B842A1" w:rsidP="00517153">
      <w:pPr>
        <w:spacing w:line="293" w:lineRule="auto"/>
        <w:jc w:val="both"/>
        <w:rPr>
          <w:rFonts w:cs="Calibri"/>
          <w:sz w:val="24"/>
          <w:szCs w:val="24"/>
        </w:rPr>
      </w:pPr>
      <w:r>
        <w:rPr>
          <w:rFonts w:cs="Calibri"/>
          <w:sz w:val="24"/>
          <w:szCs w:val="24"/>
        </w:rPr>
        <w:t xml:space="preserve">Pro MPO je důležitý proaktivní přístup ČR v implementaci Aktu o umělé inteligenci a zajištění co nejkvalitnějšího regulatorního prostředí pro veřejnou správu, firmy a občany. MPO dlouhodobě </w:t>
      </w:r>
      <w:r w:rsidRPr="00E9600E">
        <w:rPr>
          <w:rFonts w:cs="Calibri"/>
          <w:sz w:val="24"/>
          <w:szCs w:val="24"/>
        </w:rPr>
        <w:t>prosazuje, aby vznikl nový zákon pro implementaci AI Aktu. MPO kvituje, že Úřad vlády ve srovnávací tabulce jako metodu adaptace zvolil nový zákon. Tímto se předejte roztříštěnosti a povinnosti vyplývající z nařízení budou pro adresáty předpisu přehledně na jednom místě.</w:t>
      </w:r>
    </w:p>
    <w:p w14:paraId="55B202FD" w14:textId="0594B390" w:rsidR="00BC29B7" w:rsidRPr="00E9600E" w:rsidRDefault="00B842A1" w:rsidP="005B0B2C">
      <w:pPr>
        <w:spacing w:line="293" w:lineRule="auto"/>
        <w:jc w:val="both"/>
        <w:rPr>
          <w:rFonts w:cs="Calibri"/>
          <w:sz w:val="24"/>
          <w:szCs w:val="24"/>
        </w:rPr>
      </w:pPr>
      <w:r w:rsidRPr="00F36206">
        <w:rPr>
          <w:rFonts w:cs="Calibri"/>
          <w:sz w:val="24"/>
          <w:szCs w:val="24"/>
        </w:rPr>
        <w:t xml:space="preserve">Ministerstvo průmyslu a obchodu je </w:t>
      </w:r>
      <w:r w:rsidR="00157BBC" w:rsidRPr="00F36206">
        <w:rPr>
          <w:rFonts w:cs="Calibri"/>
          <w:sz w:val="24"/>
          <w:szCs w:val="24"/>
        </w:rPr>
        <w:t>tak ve</w:t>
      </w:r>
      <w:r w:rsidRPr="00F36206">
        <w:rPr>
          <w:rFonts w:cs="Calibri"/>
          <w:sz w:val="24"/>
          <w:szCs w:val="24"/>
        </w:rPr>
        <w:t xml:space="preserve"> spolupráci se spolugestory připraven</w:t>
      </w:r>
      <w:r w:rsidR="00157BBC" w:rsidRPr="00F36206">
        <w:rPr>
          <w:rFonts w:cs="Calibri"/>
          <w:sz w:val="24"/>
          <w:szCs w:val="24"/>
        </w:rPr>
        <w:t>o</w:t>
      </w:r>
      <w:r w:rsidRPr="00F36206">
        <w:rPr>
          <w:rFonts w:cs="Calibri"/>
          <w:sz w:val="24"/>
          <w:szCs w:val="24"/>
        </w:rPr>
        <w:t xml:space="preserve"> zákon implementující AI Akt zpracovat.</w:t>
      </w:r>
      <w:r w:rsidR="00E003D6" w:rsidRPr="00F36206">
        <w:rPr>
          <w:rFonts w:cs="Calibri"/>
          <w:sz w:val="24"/>
          <w:szCs w:val="24"/>
        </w:rPr>
        <w:t xml:space="preserve"> Na Ministerstvu průmyslu a obchodu vznik</w:t>
      </w:r>
      <w:r w:rsidR="003D32B6" w:rsidRPr="00F36206">
        <w:rPr>
          <w:rFonts w:cs="Calibri"/>
          <w:sz w:val="24"/>
          <w:szCs w:val="24"/>
        </w:rPr>
        <w:t>lo od 1. dubna 2025</w:t>
      </w:r>
      <w:r w:rsidR="00E003D6" w:rsidRPr="00F36206">
        <w:rPr>
          <w:rFonts w:cs="Calibri"/>
          <w:sz w:val="24"/>
          <w:szCs w:val="24"/>
        </w:rPr>
        <w:t xml:space="preserve"> nové oddělení (1 + 7), které se bude zabývat problematikou AI</w:t>
      </w:r>
      <w:r w:rsidR="009F064D" w:rsidRPr="00F36206">
        <w:rPr>
          <w:rFonts w:cs="Calibri"/>
          <w:sz w:val="24"/>
          <w:szCs w:val="24"/>
        </w:rPr>
        <w:t xml:space="preserve">. </w:t>
      </w:r>
      <w:r w:rsidR="001D1962" w:rsidRPr="00F36206">
        <w:rPr>
          <w:rFonts w:cs="Calibri"/>
          <w:sz w:val="24"/>
          <w:szCs w:val="24"/>
        </w:rPr>
        <w:t>Dále z</w:t>
      </w:r>
      <w:r w:rsidR="009F064D" w:rsidRPr="00F36206">
        <w:rPr>
          <w:rFonts w:cs="Calibri"/>
          <w:sz w:val="24"/>
          <w:szCs w:val="24"/>
        </w:rPr>
        <w:t xml:space="preserve"> Úřadu vlády dojde k trvalému převodu </w:t>
      </w:r>
      <w:r w:rsidR="00685E43" w:rsidRPr="00F36206">
        <w:rPr>
          <w:rFonts w:cs="Calibri"/>
          <w:sz w:val="24"/>
          <w:szCs w:val="24"/>
        </w:rPr>
        <w:t xml:space="preserve">tří </w:t>
      </w:r>
      <w:r w:rsidR="009F064D" w:rsidRPr="00F36206">
        <w:rPr>
          <w:rFonts w:cs="Calibri"/>
          <w:sz w:val="24"/>
          <w:szCs w:val="24"/>
        </w:rPr>
        <w:t xml:space="preserve">systemizovaných míst </w:t>
      </w:r>
      <w:r w:rsidR="00FD3A34" w:rsidRPr="00F36206">
        <w:rPr>
          <w:rFonts w:cs="Calibri"/>
          <w:sz w:val="24"/>
          <w:szCs w:val="24"/>
        </w:rPr>
        <w:t xml:space="preserve">včetně odpovídajících finančních prostředků na platy </w:t>
      </w:r>
      <w:r w:rsidR="009F064D" w:rsidRPr="00F36206">
        <w:rPr>
          <w:rFonts w:cs="Calibri"/>
          <w:sz w:val="24"/>
          <w:szCs w:val="24"/>
        </w:rPr>
        <w:t xml:space="preserve">a zároveň </w:t>
      </w:r>
      <w:r w:rsidR="009F064D" w:rsidRPr="00F36206">
        <w:rPr>
          <w:rFonts w:cs="Calibri"/>
          <w:sz w:val="24"/>
          <w:szCs w:val="24"/>
        </w:rPr>
        <w:lastRenderedPageBreak/>
        <w:t>k</w:t>
      </w:r>
      <w:r w:rsidR="00FD3A34" w:rsidRPr="00F36206">
        <w:rPr>
          <w:rFonts w:cs="Calibri"/>
          <w:sz w:val="24"/>
          <w:szCs w:val="24"/>
        </w:rPr>
        <w:t xml:space="preserve"> přeložení (§ 47 zákona o státní službě) 3 státních zaměstnanců, kteří se dosud věnovali problematice AI Aktu pro další práce na </w:t>
      </w:r>
      <w:r w:rsidR="00D37DBB" w:rsidRPr="00F36206">
        <w:rPr>
          <w:rFonts w:cs="Calibri"/>
          <w:sz w:val="24"/>
          <w:szCs w:val="24"/>
        </w:rPr>
        <w:t>implementaci</w:t>
      </w:r>
      <w:r w:rsidR="00FD3A34" w:rsidRPr="00F36206">
        <w:rPr>
          <w:rFonts w:cs="Calibri"/>
          <w:sz w:val="24"/>
          <w:szCs w:val="24"/>
        </w:rPr>
        <w:t xml:space="preserve"> AI Aktu. </w:t>
      </w:r>
      <w:r w:rsidR="00E003D6">
        <w:rPr>
          <w:rFonts w:cs="Calibri"/>
          <w:sz w:val="24"/>
          <w:szCs w:val="24"/>
        </w:rPr>
        <w:t xml:space="preserve"> </w:t>
      </w:r>
    </w:p>
    <w:p w14:paraId="36F26A1F" w14:textId="536F48AA" w:rsidR="00BC29B7" w:rsidRPr="00E9600E" w:rsidRDefault="00B842A1" w:rsidP="00517153">
      <w:pPr>
        <w:spacing w:line="293" w:lineRule="auto"/>
        <w:jc w:val="both"/>
        <w:rPr>
          <w:rFonts w:eastAsia="Times New Roman" w:cs="Calibri"/>
          <w:color w:val="auto"/>
          <w:sz w:val="24"/>
          <w:szCs w:val="24"/>
          <w:lang w:eastAsia="cs-CZ"/>
        </w:rPr>
      </w:pPr>
      <w:r w:rsidRPr="00E9600E">
        <w:rPr>
          <w:rFonts w:eastAsia="Times New Roman" w:cs="Calibri"/>
          <w:color w:val="auto"/>
          <w:sz w:val="24"/>
          <w:szCs w:val="24"/>
          <w:lang w:eastAsia="cs-CZ"/>
        </w:rPr>
        <w:t>Příslušný návrh zákona by měl být předložen ve lhůtě pro včasnou implementaci stanovené dle Metodických pokynů pro zajišťování prací při plnění legislativních závazků vyplývajících z členství České republiky v Evropské unii, schválených usnesením vlády ze dne 12. října 2005 č. 1304, v platném znění.</w:t>
      </w:r>
    </w:p>
    <w:p w14:paraId="79290CA5" w14:textId="77777777" w:rsidR="005860F6" w:rsidRDefault="00E9600E" w:rsidP="00E47C87">
      <w:pPr>
        <w:spacing w:line="293" w:lineRule="auto"/>
        <w:jc w:val="both"/>
        <w:rPr>
          <w:rFonts w:cs="Calibri"/>
          <w:sz w:val="24"/>
          <w:szCs w:val="24"/>
        </w:rPr>
      </w:pPr>
      <w:r w:rsidRPr="00E47C87">
        <w:rPr>
          <w:rFonts w:cs="Calibri"/>
          <w:sz w:val="24"/>
          <w:szCs w:val="24"/>
        </w:rPr>
        <w:t>Mimo samostatný zákon implementující AI</w:t>
      </w:r>
      <w:r w:rsidR="005B0B2C" w:rsidRPr="00E47C87">
        <w:rPr>
          <w:rFonts w:cs="Calibri"/>
          <w:sz w:val="24"/>
          <w:szCs w:val="24"/>
        </w:rPr>
        <w:t xml:space="preserve"> </w:t>
      </w:r>
      <w:r w:rsidRPr="00E47C87">
        <w:rPr>
          <w:rFonts w:cs="Calibri"/>
          <w:sz w:val="24"/>
          <w:szCs w:val="24"/>
        </w:rPr>
        <w:t xml:space="preserve">Akt bude připravena </w:t>
      </w:r>
      <w:r w:rsidR="005B0B2C" w:rsidRPr="00E47C87">
        <w:rPr>
          <w:rFonts w:cs="Calibri"/>
          <w:sz w:val="24"/>
          <w:szCs w:val="24"/>
        </w:rPr>
        <w:t xml:space="preserve">také </w:t>
      </w:r>
      <w:r w:rsidR="00B842A1" w:rsidRPr="00E47C87">
        <w:rPr>
          <w:rFonts w:cs="Calibri"/>
          <w:sz w:val="24"/>
          <w:szCs w:val="24"/>
        </w:rPr>
        <w:t>novel</w:t>
      </w:r>
      <w:r w:rsidRPr="00E47C87">
        <w:rPr>
          <w:rFonts w:cs="Calibri"/>
          <w:sz w:val="24"/>
          <w:szCs w:val="24"/>
        </w:rPr>
        <w:t>a</w:t>
      </w:r>
      <w:r w:rsidR="00B842A1" w:rsidRPr="00E47C87">
        <w:rPr>
          <w:rFonts w:cs="Calibri"/>
          <w:sz w:val="24"/>
          <w:szCs w:val="24"/>
        </w:rPr>
        <w:t xml:space="preserve"> zákona o policii </w:t>
      </w:r>
      <w:r w:rsidR="005B0B2C" w:rsidRPr="00E47C87">
        <w:rPr>
          <w:rFonts w:cs="Calibri"/>
          <w:sz w:val="24"/>
          <w:szCs w:val="24"/>
        </w:rPr>
        <w:t xml:space="preserve">(gesce </w:t>
      </w:r>
      <w:r w:rsidR="005B0B2C" w:rsidRPr="00517153">
        <w:rPr>
          <w:rFonts w:eastAsia="Times New Roman" w:cs="Calibri"/>
          <w:color w:val="auto"/>
          <w:sz w:val="24"/>
          <w:szCs w:val="24"/>
          <w:lang w:eastAsia="cs-CZ"/>
        </w:rPr>
        <w:t>Ministerstvo</w:t>
      </w:r>
      <w:r w:rsidR="005B0B2C" w:rsidRPr="00E47C87">
        <w:rPr>
          <w:rFonts w:cs="Calibri"/>
          <w:sz w:val="24"/>
          <w:szCs w:val="24"/>
        </w:rPr>
        <w:t xml:space="preserve"> vnitra) </w:t>
      </w:r>
      <w:r w:rsidR="00B842A1" w:rsidRPr="00E47C87">
        <w:rPr>
          <w:rFonts w:cs="Calibri"/>
          <w:sz w:val="24"/>
          <w:szCs w:val="24"/>
        </w:rPr>
        <w:t>a novel</w:t>
      </w:r>
      <w:r w:rsidRPr="00E47C87">
        <w:rPr>
          <w:rFonts w:cs="Calibri"/>
          <w:sz w:val="24"/>
          <w:szCs w:val="24"/>
        </w:rPr>
        <w:t>a</w:t>
      </w:r>
      <w:r w:rsidR="00B842A1" w:rsidRPr="00E47C87">
        <w:rPr>
          <w:rFonts w:cs="Calibri"/>
          <w:sz w:val="24"/>
          <w:szCs w:val="24"/>
        </w:rPr>
        <w:t xml:space="preserve"> zákona o digitalizaci finančního trhu </w:t>
      </w:r>
      <w:r w:rsidR="005B0B2C" w:rsidRPr="00E47C87">
        <w:rPr>
          <w:rFonts w:cs="Calibri"/>
          <w:sz w:val="24"/>
          <w:szCs w:val="24"/>
        </w:rPr>
        <w:t>(</w:t>
      </w:r>
      <w:r w:rsidR="00B842A1" w:rsidRPr="00E47C87">
        <w:rPr>
          <w:rFonts w:cs="Calibri"/>
          <w:sz w:val="24"/>
          <w:szCs w:val="24"/>
        </w:rPr>
        <w:t>gesc</w:t>
      </w:r>
      <w:r w:rsidR="005B0B2C" w:rsidRPr="00E47C87">
        <w:rPr>
          <w:rFonts w:cs="Calibri"/>
          <w:sz w:val="24"/>
          <w:szCs w:val="24"/>
        </w:rPr>
        <w:t>e</w:t>
      </w:r>
      <w:r w:rsidR="00B842A1" w:rsidRPr="00E47C87">
        <w:rPr>
          <w:rFonts w:cs="Calibri"/>
          <w:sz w:val="24"/>
          <w:szCs w:val="24"/>
        </w:rPr>
        <w:t xml:space="preserve"> MF</w:t>
      </w:r>
      <w:r w:rsidR="005B0B2C" w:rsidRPr="00E47C87">
        <w:rPr>
          <w:rFonts w:cs="Calibri"/>
          <w:sz w:val="24"/>
          <w:szCs w:val="24"/>
        </w:rPr>
        <w:t>)</w:t>
      </w:r>
      <w:r w:rsidR="00B842A1" w:rsidRPr="00E47C87">
        <w:rPr>
          <w:rFonts w:cs="Calibri"/>
          <w:sz w:val="24"/>
          <w:szCs w:val="24"/>
        </w:rPr>
        <w:t xml:space="preserve">. </w:t>
      </w:r>
    </w:p>
    <w:p w14:paraId="733D2969" w14:textId="77777777" w:rsidR="005860F6" w:rsidRDefault="00B26D67" w:rsidP="00E47C87">
      <w:pPr>
        <w:spacing w:line="293" w:lineRule="auto"/>
        <w:jc w:val="both"/>
        <w:rPr>
          <w:rFonts w:cs="Calibri"/>
          <w:sz w:val="24"/>
          <w:szCs w:val="24"/>
        </w:rPr>
      </w:pPr>
      <w:r w:rsidRPr="00E47C87">
        <w:rPr>
          <w:rFonts w:cs="Calibri"/>
          <w:sz w:val="24"/>
          <w:szCs w:val="24"/>
        </w:rPr>
        <w:t>Role Č</w:t>
      </w:r>
      <w:r w:rsidR="00157BBC" w:rsidRPr="00E47C87">
        <w:rPr>
          <w:rFonts w:cs="Calibri"/>
          <w:sz w:val="24"/>
          <w:szCs w:val="24"/>
        </w:rPr>
        <w:t>esk</w:t>
      </w:r>
      <w:r w:rsidR="00E9600E" w:rsidRPr="00E47C87">
        <w:rPr>
          <w:rFonts w:cs="Calibri"/>
          <w:sz w:val="24"/>
          <w:szCs w:val="24"/>
        </w:rPr>
        <w:t>é</w:t>
      </w:r>
      <w:r w:rsidR="00157BBC" w:rsidRPr="00E47C87">
        <w:rPr>
          <w:rFonts w:cs="Calibri"/>
          <w:sz w:val="24"/>
          <w:szCs w:val="24"/>
        </w:rPr>
        <w:t xml:space="preserve"> národní banky </w:t>
      </w:r>
      <w:r w:rsidRPr="00E47C87">
        <w:rPr>
          <w:rFonts w:cs="Calibri"/>
          <w:sz w:val="24"/>
          <w:szCs w:val="24"/>
        </w:rPr>
        <w:t xml:space="preserve">je dána čl. 74, odst. 6 AI Aktu, který stanovuje jako orgán dozoru </w:t>
      </w:r>
      <w:r w:rsidRPr="00517153">
        <w:rPr>
          <w:rFonts w:eastAsia="Times New Roman" w:cs="Calibri"/>
          <w:color w:val="auto"/>
          <w:sz w:val="24"/>
          <w:szCs w:val="24"/>
          <w:lang w:eastAsia="cs-CZ"/>
        </w:rPr>
        <w:t>vnitrostátní</w:t>
      </w:r>
      <w:r w:rsidRPr="00E47C87">
        <w:rPr>
          <w:rFonts w:cs="Calibri"/>
          <w:sz w:val="24"/>
          <w:szCs w:val="24"/>
        </w:rPr>
        <w:t xml:space="preserve"> orgán odpovědný za finanční dohled</w:t>
      </w:r>
      <w:r w:rsidR="007B7C57">
        <w:rPr>
          <w:rFonts w:cs="Calibri"/>
          <w:sz w:val="24"/>
          <w:szCs w:val="24"/>
        </w:rPr>
        <w:t xml:space="preserve">. </w:t>
      </w:r>
    </w:p>
    <w:p w14:paraId="71A885E8" w14:textId="4BE75806" w:rsidR="005860F6" w:rsidRPr="00F36206" w:rsidRDefault="000421A3" w:rsidP="00E47C87">
      <w:pPr>
        <w:spacing w:line="293" w:lineRule="auto"/>
        <w:jc w:val="both"/>
      </w:pPr>
      <w:r w:rsidRPr="00F36206">
        <w:rPr>
          <w:rFonts w:cs="Calibri"/>
          <w:sz w:val="24"/>
          <w:szCs w:val="24"/>
        </w:rPr>
        <w:t>Zapojení příslušných dozorových orgánů pro ochranu údajů podle nařízení (EU) 2016/679 nebo směrnice (EU) 2016/680, příp. jiných orgánů určených podle týchž podmínek stanovených v článcích 41 až 44 směrnice (EU) 2016/680</w:t>
      </w:r>
      <w:r w:rsidR="007B7C57" w:rsidRPr="00F36206">
        <w:rPr>
          <w:rFonts w:cs="Calibri"/>
          <w:sz w:val="24"/>
          <w:szCs w:val="24"/>
        </w:rPr>
        <w:t xml:space="preserve"> je </w:t>
      </w:r>
      <w:r w:rsidRPr="00F36206">
        <w:rPr>
          <w:rFonts w:cs="Calibri"/>
          <w:sz w:val="24"/>
          <w:szCs w:val="24"/>
        </w:rPr>
        <w:t xml:space="preserve">výslovně stanoveno v </w:t>
      </w:r>
      <w:r w:rsidR="00B26D67" w:rsidRPr="00F36206">
        <w:rPr>
          <w:rFonts w:cs="Calibri"/>
          <w:sz w:val="24"/>
          <w:szCs w:val="24"/>
        </w:rPr>
        <w:t>čl. 74, odst. 8</w:t>
      </w:r>
      <w:r w:rsidRPr="00F36206">
        <w:rPr>
          <w:rFonts w:cs="Calibri"/>
          <w:sz w:val="24"/>
          <w:szCs w:val="24"/>
        </w:rPr>
        <w:t xml:space="preserve"> AI Aktu, a to pro vysoce rizikové systémy AI uvedené v bodě 1 přílohy III používané </w:t>
      </w:r>
      <w:r w:rsidR="00B26D67" w:rsidRPr="00F36206">
        <w:rPr>
          <w:rFonts w:cs="Calibri"/>
          <w:sz w:val="24"/>
          <w:szCs w:val="24"/>
        </w:rPr>
        <w:t>pro účely vymáhání práva, pro účely správy hranic a v zájmu spravedlnosti a demokracie, a pro vysoce rizikové systémy AI uvedené v bodech 1, 6, 7 a 8 přílohy III AI Aktu</w:t>
      </w:r>
      <w:r w:rsidRPr="00F36206">
        <w:rPr>
          <w:rFonts w:cs="Calibri"/>
          <w:sz w:val="24"/>
          <w:szCs w:val="24"/>
        </w:rPr>
        <w:t>.</w:t>
      </w:r>
      <w:r w:rsidR="00E9600E" w:rsidRPr="00F36206">
        <w:rPr>
          <w:rFonts w:cs="Calibri"/>
          <w:sz w:val="24"/>
          <w:szCs w:val="24"/>
        </w:rPr>
        <w:t xml:space="preserve"> V</w:t>
      </w:r>
      <w:r w:rsidR="00B26D67" w:rsidRPr="00F36206">
        <w:rPr>
          <w:rFonts w:cs="Calibri"/>
          <w:sz w:val="24"/>
          <w:szCs w:val="24"/>
        </w:rPr>
        <w:t xml:space="preserve"> kontextu ČR se jedná především o </w:t>
      </w:r>
      <w:r w:rsidRPr="00F36206">
        <w:rPr>
          <w:rFonts w:cs="Calibri"/>
          <w:sz w:val="24"/>
          <w:szCs w:val="24"/>
        </w:rPr>
        <w:t>Úřad pro ochranu osobních údajů (</w:t>
      </w:r>
      <w:r w:rsidR="00B26D67" w:rsidRPr="00F36206">
        <w:rPr>
          <w:rFonts w:cs="Calibri"/>
          <w:sz w:val="24"/>
          <w:szCs w:val="24"/>
        </w:rPr>
        <w:t>ÚOOÚ</w:t>
      </w:r>
      <w:r w:rsidRPr="00F36206">
        <w:rPr>
          <w:rFonts w:cs="Calibri"/>
          <w:sz w:val="24"/>
          <w:szCs w:val="24"/>
        </w:rPr>
        <w:t>)</w:t>
      </w:r>
      <w:r w:rsidR="00B26D67" w:rsidRPr="00F36206">
        <w:rPr>
          <w:rFonts w:cs="Calibri"/>
          <w:sz w:val="24"/>
          <w:szCs w:val="24"/>
        </w:rPr>
        <w:t xml:space="preserve">, u kterého by se měla AI expertiza v této oblasti koncentrovat, ale také případně Nejvyšší státní </w:t>
      </w:r>
      <w:r w:rsidR="00B26D67" w:rsidRPr="00F36206">
        <w:rPr>
          <w:rFonts w:eastAsia="Times New Roman" w:cs="Calibri"/>
          <w:color w:val="auto"/>
          <w:sz w:val="24"/>
          <w:szCs w:val="24"/>
          <w:lang w:eastAsia="cs-CZ"/>
        </w:rPr>
        <w:t>zastupitelství</w:t>
      </w:r>
      <w:r w:rsidR="00B26D67" w:rsidRPr="00F36206">
        <w:rPr>
          <w:rFonts w:cs="Calibri"/>
          <w:sz w:val="24"/>
          <w:szCs w:val="24"/>
        </w:rPr>
        <w:t xml:space="preserve"> a soudy.</w:t>
      </w:r>
      <w:r w:rsidR="007B7C57" w:rsidRPr="00F36206">
        <w:t xml:space="preserve"> </w:t>
      </w:r>
    </w:p>
    <w:p w14:paraId="0CDE02D4" w14:textId="29B7AE36" w:rsidR="00BC29B7" w:rsidRPr="00E47C87" w:rsidRDefault="007B7C57" w:rsidP="00E47C87">
      <w:pPr>
        <w:spacing w:line="293" w:lineRule="auto"/>
        <w:jc w:val="both"/>
        <w:rPr>
          <w:rFonts w:cs="Calibri"/>
          <w:sz w:val="24"/>
          <w:szCs w:val="24"/>
        </w:rPr>
      </w:pPr>
      <w:r w:rsidRPr="00F36206">
        <w:rPr>
          <w:rFonts w:cs="Calibri"/>
          <w:sz w:val="24"/>
          <w:szCs w:val="24"/>
        </w:rPr>
        <w:t>Veřejný ochránce práv byl Českou republikou určen jako orgán pro ochranu základních práv ve smyslu čl. 77 AI Aktu.</w:t>
      </w:r>
      <w:r w:rsidR="00152055" w:rsidRPr="00F36206">
        <w:rPr>
          <w:rFonts w:cs="Calibri"/>
          <w:sz w:val="24"/>
          <w:szCs w:val="24"/>
        </w:rPr>
        <w:t xml:space="preserve"> Touto rolí mohou být v případě potřeby pověřeny i další instituce.</w:t>
      </w:r>
    </w:p>
    <w:p w14:paraId="58B08257" w14:textId="06851FD9" w:rsidR="00E9600E" w:rsidRPr="00E9600E" w:rsidRDefault="00E9600E" w:rsidP="003A6C3C">
      <w:pPr>
        <w:spacing w:after="0" w:line="293" w:lineRule="auto"/>
        <w:jc w:val="both"/>
        <w:rPr>
          <w:rFonts w:eastAsia="Times New Roman" w:cs="Calibri"/>
          <w:color w:val="auto"/>
          <w:sz w:val="24"/>
          <w:szCs w:val="24"/>
          <w:shd w:val="clear" w:color="auto" w:fill="FFFF00"/>
          <w:lang w:eastAsia="cs-CZ"/>
        </w:rPr>
      </w:pPr>
    </w:p>
    <w:p w14:paraId="2DB23E3B" w14:textId="035B8F7F" w:rsidR="003665CC" w:rsidRPr="003665CC" w:rsidRDefault="00E9600E" w:rsidP="003665CC">
      <w:pPr>
        <w:pBdr>
          <w:top w:val="single" w:sz="4" w:space="1" w:color="auto"/>
          <w:left w:val="single" w:sz="4" w:space="4" w:color="auto"/>
          <w:bottom w:val="single" w:sz="4" w:space="1" w:color="auto"/>
          <w:right w:val="single" w:sz="4" w:space="4" w:color="auto"/>
          <w:between w:val="single" w:sz="4" w:space="1" w:color="auto"/>
          <w:bar w:val="single" w:sz="4" w:color="auto"/>
        </w:pBdr>
        <w:spacing w:line="293" w:lineRule="auto"/>
        <w:jc w:val="both"/>
        <w:rPr>
          <w:rFonts w:eastAsia="Times New Roman" w:cs="Calibri"/>
          <w:b/>
          <w:bCs/>
          <w:color w:val="002060"/>
          <w:sz w:val="24"/>
          <w:szCs w:val="24"/>
          <w:shd w:val="clear" w:color="auto" w:fill="FFFF00"/>
          <w:lang w:eastAsia="cs-CZ"/>
        </w:rPr>
      </w:pPr>
      <w:r w:rsidRPr="00E9600E">
        <w:rPr>
          <w:rFonts w:eastAsia="Times New Roman" w:cs="Calibri"/>
          <w:b/>
          <w:bCs/>
          <w:color w:val="002060"/>
          <w:sz w:val="24"/>
          <w:szCs w:val="24"/>
          <w:lang w:eastAsia="cs-CZ"/>
        </w:rPr>
        <w:t xml:space="preserve">V návaznosti na výše uvedené MPO po přijetí gesce připraví </w:t>
      </w:r>
      <w:r w:rsidR="009F064D">
        <w:rPr>
          <w:rFonts w:eastAsia="Times New Roman" w:cs="Calibri"/>
          <w:b/>
          <w:bCs/>
          <w:color w:val="002060"/>
          <w:sz w:val="24"/>
          <w:szCs w:val="24"/>
          <w:lang w:eastAsia="cs-CZ"/>
        </w:rPr>
        <w:t xml:space="preserve">se spolugestory </w:t>
      </w:r>
      <w:r w:rsidRPr="00E9600E">
        <w:rPr>
          <w:rFonts w:eastAsia="Times New Roman" w:cs="Calibri"/>
          <w:b/>
          <w:bCs/>
          <w:color w:val="002060"/>
          <w:sz w:val="24"/>
          <w:szCs w:val="24"/>
          <w:lang w:eastAsia="cs-CZ"/>
        </w:rPr>
        <w:t xml:space="preserve">návrh zákona </w:t>
      </w:r>
      <w:r w:rsidR="009F064D">
        <w:rPr>
          <w:rFonts w:eastAsia="Times New Roman" w:cs="Calibri"/>
          <w:b/>
          <w:bCs/>
          <w:color w:val="002060"/>
          <w:sz w:val="24"/>
          <w:szCs w:val="24"/>
          <w:lang w:eastAsia="cs-CZ"/>
        </w:rPr>
        <w:t>adaptujícího český právní řád na</w:t>
      </w:r>
      <w:r w:rsidRPr="00E9600E">
        <w:rPr>
          <w:rFonts w:eastAsia="Times New Roman" w:cs="Calibri"/>
          <w:b/>
          <w:bCs/>
          <w:color w:val="002060"/>
          <w:sz w:val="24"/>
          <w:szCs w:val="24"/>
          <w:lang w:eastAsia="cs-CZ"/>
        </w:rPr>
        <w:t xml:space="preserve"> AI Akt.</w:t>
      </w:r>
      <w:bookmarkStart w:id="21" w:name="_Toc193380590"/>
    </w:p>
    <w:p w14:paraId="13AD1FC7" w14:textId="478A3C73" w:rsidR="00BC29B7" w:rsidRPr="00517153" w:rsidRDefault="00B842A1" w:rsidP="00517153">
      <w:pPr>
        <w:pStyle w:val="Nadpis2"/>
        <w:numPr>
          <w:ilvl w:val="1"/>
          <w:numId w:val="30"/>
        </w:numPr>
        <w:spacing w:after="0"/>
      </w:pPr>
      <w:bookmarkStart w:id="22" w:name="_Toc194654525"/>
      <w:r w:rsidRPr="00E003D6">
        <w:t>Zřízení Kompetenčního centra AI pro eGovernment na MPO</w:t>
      </w:r>
      <w:bookmarkEnd w:id="21"/>
      <w:bookmarkEnd w:id="22"/>
    </w:p>
    <w:p w14:paraId="2924F2EB" w14:textId="4A06BBF7" w:rsidR="00A160B0" w:rsidRDefault="00B842A1" w:rsidP="00517153">
      <w:pPr>
        <w:jc w:val="both"/>
        <w:rPr>
          <w:rFonts w:cs="Calibri"/>
          <w:sz w:val="24"/>
          <w:szCs w:val="24"/>
        </w:rPr>
      </w:pPr>
      <w:r w:rsidRPr="00E003D6">
        <w:rPr>
          <w:rFonts w:cs="Calibri"/>
          <w:sz w:val="24"/>
          <w:szCs w:val="24"/>
        </w:rPr>
        <w:t xml:space="preserve">Aktuálně na MPO působí Kompetenční centrum pro AI, které již neoficiálně sdílí </w:t>
      </w:r>
      <w:r w:rsidR="00CF1BA3" w:rsidRPr="00E003D6">
        <w:rPr>
          <w:rFonts w:cs="Calibri"/>
          <w:sz w:val="24"/>
          <w:szCs w:val="24"/>
        </w:rPr>
        <w:t>informace a</w:t>
      </w:r>
      <w:r w:rsidRPr="00E003D6">
        <w:rPr>
          <w:rFonts w:cs="Calibri"/>
          <w:sz w:val="24"/>
          <w:szCs w:val="24"/>
        </w:rPr>
        <w:t xml:space="preserve"> zkušenosti napříč eGovernmentem. Toto Kompetenční centrum tedy může zastřešit implementaci AI technologií napříč celým eGovernmentem i oficiálně.</w:t>
      </w:r>
    </w:p>
    <w:p w14:paraId="2CB8046A" w14:textId="0664C6C7" w:rsidR="00BC29B7" w:rsidRPr="00E9600E" w:rsidRDefault="00B842A1" w:rsidP="00517153">
      <w:pPr>
        <w:jc w:val="both"/>
        <w:rPr>
          <w:rFonts w:cs="Calibri"/>
          <w:sz w:val="24"/>
          <w:szCs w:val="24"/>
          <w:shd w:val="clear" w:color="auto" w:fill="FFFF00"/>
        </w:rPr>
      </w:pPr>
      <w:r w:rsidRPr="00E003D6">
        <w:rPr>
          <w:rFonts w:cs="Calibri"/>
          <w:sz w:val="24"/>
          <w:szCs w:val="24"/>
        </w:rPr>
        <w:t xml:space="preserve">MPO zřídí kompetenční centrum AI pro eGovernment na MPO, které </w:t>
      </w:r>
      <w:r w:rsidR="00CF1BA3" w:rsidRPr="00E003D6">
        <w:rPr>
          <w:rFonts w:cs="Calibri"/>
          <w:sz w:val="24"/>
          <w:szCs w:val="24"/>
        </w:rPr>
        <w:t>bude podporovat</w:t>
      </w:r>
      <w:r w:rsidRPr="00E003D6">
        <w:rPr>
          <w:rFonts w:cs="Calibri"/>
          <w:sz w:val="24"/>
          <w:szCs w:val="24"/>
        </w:rPr>
        <w:t xml:space="preserve"> efektivní a bezpečné využití technologií AI ve veřejném sektoru. </w:t>
      </w:r>
      <w:r w:rsidR="00A160B0">
        <w:rPr>
          <w:rFonts w:cs="Calibri"/>
          <w:sz w:val="24"/>
          <w:szCs w:val="24"/>
        </w:rPr>
        <w:t>Centrum b</w:t>
      </w:r>
      <w:r w:rsidRPr="00E003D6">
        <w:rPr>
          <w:rFonts w:cs="Calibri"/>
          <w:sz w:val="24"/>
          <w:szCs w:val="24"/>
        </w:rPr>
        <w:t xml:space="preserve">ude působit jako expertní jednotka, která bude koordinovat a napomáhat zavádění AI v jednotlivých resortech eGovernmentu. Kompetenční centrum bude sdílet meziresortně znalosti z úspěšných i neúspěšných implementací a pomáhat s implementací osvědčených postupů. Mezi aktivity tohoto Kompetenčního centra budou patřit také konzultace, metodická podpora a zajištění školení pro státní správu, stejně jako spolupráce s akademickou sférou a soukromým sektorem v oblasti umělé inteligence. </w:t>
      </w:r>
      <w:r w:rsidR="00F21CE2">
        <w:rPr>
          <w:rFonts w:cs="Calibri"/>
          <w:sz w:val="24"/>
          <w:szCs w:val="24"/>
        </w:rPr>
        <w:t>Centrum b</w:t>
      </w:r>
      <w:r w:rsidRPr="00E003D6">
        <w:rPr>
          <w:rFonts w:cs="Calibri"/>
          <w:sz w:val="24"/>
          <w:szCs w:val="24"/>
        </w:rPr>
        <w:t xml:space="preserve">ude sledovat nejnovější trendy ze světa AI a pomáhat je aplikovat tam, kde mohou přinést zvýšení </w:t>
      </w:r>
      <w:r w:rsidRPr="00E003D6">
        <w:rPr>
          <w:rFonts w:cs="Calibri"/>
          <w:sz w:val="24"/>
          <w:szCs w:val="24"/>
        </w:rPr>
        <w:lastRenderedPageBreak/>
        <w:t>efektivity, automatizaci procesů a lepší služby pro občany. Vedle toho se bude věnovat vzdělávání úředníků a šíření osvěty v oblasti AI technologií.</w:t>
      </w:r>
      <w:r w:rsidRPr="00E9600E">
        <w:rPr>
          <w:rFonts w:cs="Calibri"/>
          <w:sz w:val="24"/>
          <w:szCs w:val="24"/>
          <w:shd w:val="clear" w:color="auto" w:fill="FFFF00"/>
        </w:rPr>
        <w:t xml:space="preserve"> </w:t>
      </w:r>
    </w:p>
    <w:p w14:paraId="405A977C" w14:textId="1FADE703" w:rsidR="00E9600E" w:rsidRPr="00E9600E" w:rsidRDefault="00E9600E" w:rsidP="00E9600E">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eastAsia="Times New Roman" w:cs="Calibri"/>
          <w:b/>
          <w:bCs/>
          <w:color w:val="002060"/>
          <w:sz w:val="24"/>
          <w:szCs w:val="24"/>
          <w:lang w:eastAsia="cs-CZ"/>
        </w:rPr>
      </w:pPr>
      <w:r w:rsidRPr="00E9600E">
        <w:rPr>
          <w:rFonts w:eastAsia="Times New Roman" w:cs="Calibri"/>
          <w:b/>
          <w:bCs/>
          <w:color w:val="002060"/>
          <w:sz w:val="24"/>
          <w:szCs w:val="24"/>
          <w:lang w:eastAsia="cs-CZ"/>
        </w:rPr>
        <w:t>S ohledem na výše uvedené MPO vytvoří Kompete</w:t>
      </w:r>
      <w:r>
        <w:rPr>
          <w:rFonts w:eastAsia="Times New Roman" w:cs="Calibri"/>
          <w:b/>
          <w:bCs/>
          <w:color w:val="002060"/>
          <w:sz w:val="24"/>
          <w:szCs w:val="24"/>
          <w:lang w:eastAsia="cs-CZ"/>
        </w:rPr>
        <w:t>n</w:t>
      </w:r>
      <w:r w:rsidRPr="00E9600E">
        <w:rPr>
          <w:rFonts w:eastAsia="Times New Roman" w:cs="Calibri"/>
          <w:b/>
          <w:bCs/>
          <w:color w:val="002060"/>
          <w:sz w:val="24"/>
          <w:szCs w:val="24"/>
          <w:lang w:eastAsia="cs-CZ"/>
        </w:rPr>
        <w:t xml:space="preserve">ční centrum AI pro eGovernment. </w:t>
      </w:r>
    </w:p>
    <w:p w14:paraId="2A8E1513" w14:textId="77777777" w:rsidR="00BC29B7" w:rsidRDefault="00BC29B7">
      <w:pPr>
        <w:spacing w:after="0" w:line="240" w:lineRule="auto"/>
        <w:jc w:val="both"/>
        <w:rPr>
          <w:rFonts w:cs="Calibri"/>
          <w:sz w:val="24"/>
          <w:szCs w:val="24"/>
        </w:rPr>
      </w:pPr>
    </w:p>
    <w:p w14:paraId="27CB4715" w14:textId="4FC5968C" w:rsidR="00BC29B7" w:rsidRDefault="00B842A1">
      <w:pPr>
        <w:pStyle w:val="Nadpis1"/>
      </w:pPr>
      <w:bookmarkStart w:id="23" w:name="_Toc193380591"/>
      <w:bookmarkStart w:id="24" w:name="_Toc194654526"/>
      <w:r>
        <w:t>Zajištění finančních zdrojů ze státního rozpočtu (MF) a personálních kapacit na implementaci a vymáhání AI Aktu</w:t>
      </w:r>
      <w:bookmarkEnd w:id="23"/>
      <w:bookmarkEnd w:id="24"/>
      <w:r>
        <w:t xml:space="preserve"> </w:t>
      </w:r>
    </w:p>
    <w:p w14:paraId="4E138EC0" w14:textId="632A6980" w:rsidR="0013693E" w:rsidRDefault="00B842A1" w:rsidP="00517153">
      <w:pPr>
        <w:jc w:val="both"/>
        <w:rPr>
          <w:rFonts w:cs="Calibri"/>
          <w:color w:val="auto"/>
          <w:sz w:val="24"/>
          <w:szCs w:val="24"/>
        </w:rPr>
      </w:pPr>
      <w:r>
        <w:rPr>
          <w:rFonts w:eastAsia="Times New Roman" w:cs="Calibri"/>
          <w:color w:val="auto"/>
          <w:sz w:val="24"/>
          <w:szCs w:val="24"/>
          <w:lang w:eastAsia="cs-CZ"/>
        </w:rPr>
        <w:t xml:space="preserve"> </w:t>
      </w:r>
      <w:r w:rsidR="0013693E">
        <w:rPr>
          <w:rFonts w:cs="Calibri"/>
          <w:color w:val="auto"/>
          <w:sz w:val="24"/>
          <w:szCs w:val="24"/>
        </w:rPr>
        <w:t>Z nařízení AI Aktu vyplývá, že č</w:t>
      </w:r>
      <w:r w:rsidR="0013693E" w:rsidRPr="0013693E">
        <w:rPr>
          <w:rFonts w:cs="Calibri"/>
          <w:color w:val="auto"/>
          <w:sz w:val="24"/>
          <w:szCs w:val="24"/>
        </w:rPr>
        <w:t>lenské státy zajistí, aby jejich příslušným vnitrostátním orgánům byly poskytnuty odpovídající technické, finanční a lidské zdroje</w:t>
      </w:r>
      <w:r w:rsidR="00153D8D">
        <w:rPr>
          <w:rStyle w:val="Znakapoznpodarou"/>
          <w:rFonts w:cs="Calibri"/>
          <w:color w:val="auto"/>
          <w:sz w:val="24"/>
          <w:szCs w:val="24"/>
        </w:rPr>
        <w:footnoteReference w:id="8"/>
      </w:r>
      <w:r w:rsidR="0013693E" w:rsidRPr="0013693E">
        <w:rPr>
          <w:rFonts w:cs="Calibri"/>
          <w:color w:val="auto"/>
          <w:sz w:val="24"/>
          <w:szCs w:val="24"/>
        </w:rPr>
        <w:t xml:space="preserve"> a infrastruktura, které jim umožní účinně plnit úkoly podle tohoto nařízení. Příslušné vnitrostátní orgány </w:t>
      </w:r>
      <w:r w:rsidR="00F5307C">
        <w:rPr>
          <w:rFonts w:cs="Calibri"/>
          <w:color w:val="auto"/>
          <w:sz w:val="24"/>
          <w:szCs w:val="24"/>
        </w:rPr>
        <w:t>musejí mít</w:t>
      </w:r>
      <w:r w:rsidR="00F5307C" w:rsidRPr="0013693E">
        <w:rPr>
          <w:rFonts w:cs="Calibri"/>
          <w:color w:val="auto"/>
          <w:sz w:val="24"/>
          <w:szCs w:val="24"/>
        </w:rPr>
        <w:t xml:space="preserve"> </w:t>
      </w:r>
      <w:r w:rsidR="0013693E" w:rsidRPr="0013693E">
        <w:rPr>
          <w:rFonts w:cs="Calibri"/>
          <w:color w:val="auto"/>
          <w:sz w:val="24"/>
          <w:szCs w:val="24"/>
        </w:rPr>
        <w:t xml:space="preserve">zejména trvale k dispozici </w:t>
      </w:r>
      <w:r w:rsidR="0013693E" w:rsidRPr="00517153">
        <w:rPr>
          <w:rFonts w:cs="Calibri"/>
          <w:sz w:val="24"/>
          <w:szCs w:val="24"/>
        </w:rPr>
        <w:t>dostatečný</w:t>
      </w:r>
      <w:r w:rsidR="0013693E" w:rsidRPr="0013693E">
        <w:rPr>
          <w:rFonts w:cs="Calibri"/>
          <w:color w:val="auto"/>
          <w:sz w:val="24"/>
          <w:szCs w:val="24"/>
        </w:rPr>
        <w:t xml:space="preserve"> počet pracovníků, jejichž způsobilost a odborné znalosti zahrnují důkladné porozumění technologiím AI, údajům a výpočtu údajů, ochraně osobních údajů, kybernetické bezpečnosti, základním právům a zdravotním a bezpečnostním rizikům, jakož i znalost platných norem a právních předpisů. Členské státy požadavky na odbornost a zdroje uvedené v tomto odstavci každoročně posoudí a v případě potřeby aktualizují.</w:t>
      </w:r>
    </w:p>
    <w:p w14:paraId="1FDC8CD3" w14:textId="53FB7AAB" w:rsidR="0013693E" w:rsidRDefault="0013693E" w:rsidP="00517153">
      <w:pPr>
        <w:jc w:val="both"/>
        <w:rPr>
          <w:rFonts w:cs="Calibri"/>
          <w:color w:val="auto"/>
          <w:sz w:val="24"/>
          <w:szCs w:val="24"/>
        </w:rPr>
      </w:pPr>
      <w:r w:rsidRPr="0013693E">
        <w:rPr>
          <w:rFonts w:cs="Calibri"/>
          <w:color w:val="auto"/>
          <w:sz w:val="24"/>
          <w:szCs w:val="24"/>
        </w:rPr>
        <w:t>Příslušné vnitrostátní orgány přijmou vhodná opatření k zajištění kybernetické bezpečnosti na náležité úrovni.</w:t>
      </w:r>
      <w:r>
        <w:rPr>
          <w:rFonts w:cs="Calibri"/>
          <w:color w:val="auto"/>
          <w:sz w:val="24"/>
          <w:szCs w:val="24"/>
        </w:rPr>
        <w:t xml:space="preserve"> </w:t>
      </w:r>
      <w:r w:rsidRPr="0013693E">
        <w:rPr>
          <w:rFonts w:cs="Calibri"/>
          <w:color w:val="auto"/>
          <w:sz w:val="24"/>
          <w:szCs w:val="24"/>
        </w:rPr>
        <w:t xml:space="preserve">Pracovníci příslušných vnitrostátních orgánů se účastní výměny zkušeností mezi příslušnými vnitrostátními orgány, kterou usnadňuje </w:t>
      </w:r>
      <w:r w:rsidR="00276258">
        <w:rPr>
          <w:rFonts w:cs="Calibri"/>
          <w:color w:val="auto"/>
          <w:sz w:val="24"/>
          <w:szCs w:val="24"/>
        </w:rPr>
        <w:t>Evropská k</w:t>
      </w:r>
      <w:r w:rsidRPr="0013693E">
        <w:rPr>
          <w:rFonts w:cs="Calibri"/>
          <w:color w:val="auto"/>
          <w:sz w:val="24"/>
          <w:szCs w:val="24"/>
        </w:rPr>
        <w:t xml:space="preserve">omise. Příslušné vnitrostátní orgány mohou poskytovat pokyny a poradenství ohledně provádění tohoto nařízení, zejména malým a středním podnikům, včetně podniků začínajících, přičemž případně zohlední pokyny a poradenství </w:t>
      </w:r>
      <w:r w:rsidR="00700F38">
        <w:rPr>
          <w:rFonts w:cs="Calibri"/>
          <w:color w:val="auto"/>
          <w:sz w:val="24"/>
          <w:szCs w:val="24"/>
        </w:rPr>
        <w:t xml:space="preserve">Evropské </w:t>
      </w:r>
      <w:r w:rsidRPr="00700F38">
        <w:rPr>
          <w:rFonts w:cs="Calibri"/>
          <w:color w:val="auto"/>
          <w:sz w:val="24"/>
          <w:szCs w:val="24"/>
        </w:rPr>
        <w:t>rady</w:t>
      </w:r>
      <w:r w:rsidR="00700F38">
        <w:rPr>
          <w:rFonts w:cs="Calibri"/>
          <w:color w:val="auto"/>
          <w:sz w:val="24"/>
          <w:szCs w:val="24"/>
        </w:rPr>
        <w:t xml:space="preserve"> pro umělou inteligenci</w:t>
      </w:r>
      <w:r w:rsidRPr="0013693E">
        <w:rPr>
          <w:rFonts w:cs="Calibri"/>
          <w:color w:val="auto"/>
          <w:sz w:val="24"/>
          <w:szCs w:val="24"/>
        </w:rPr>
        <w:t xml:space="preserve"> a </w:t>
      </w:r>
      <w:r w:rsidR="00276258">
        <w:rPr>
          <w:rFonts w:cs="Calibri"/>
          <w:color w:val="auto"/>
          <w:sz w:val="24"/>
          <w:szCs w:val="24"/>
        </w:rPr>
        <w:t>Evropské k</w:t>
      </w:r>
      <w:r w:rsidRPr="0013693E">
        <w:rPr>
          <w:rFonts w:cs="Calibri"/>
          <w:color w:val="auto"/>
          <w:sz w:val="24"/>
          <w:szCs w:val="24"/>
        </w:rPr>
        <w:t xml:space="preserve">omise. Kdykoli mají příslušné vnitrostátní orgány v úmyslu poskytnout pokyny a rady týkající se systému AI v oblastech, na které se vztahuje jiné právo Unie, vedou podle potřeby konzultaci s vnitrostátními orgány příslušnými podle tohoto práva </w:t>
      </w:r>
      <w:r w:rsidR="005B7091">
        <w:rPr>
          <w:rFonts w:cs="Calibri"/>
          <w:color w:val="auto"/>
          <w:sz w:val="24"/>
          <w:szCs w:val="24"/>
        </w:rPr>
        <w:t>Evropské u</w:t>
      </w:r>
      <w:r w:rsidRPr="0013693E">
        <w:rPr>
          <w:rFonts w:cs="Calibri"/>
          <w:color w:val="auto"/>
          <w:sz w:val="24"/>
          <w:szCs w:val="24"/>
        </w:rPr>
        <w:t>nie.</w:t>
      </w:r>
    </w:p>
    <w:p w14:paraId="36CB5C0B" w14:textId="7403230D" w:rsidR="00BC29B7" w:rsidRDefault="00B842A1" w:rsidP="00517153">
      <w:pPr>
        <w:jc w:val="both"/>
        <w:rPr>
          <w:rFonts w:cs="Calibri"/>
          <w:color w:val="auto"/>
          <w:sz w:val="24"/>
          <w:szCs w:val="24"/>
        </w:rPr>
      </w:pPr>
      <w:r>
        <w:rPr>
          <w:rFonts w:cs="Calibri"/>
          <w:color w:val="auto"/>
          <w:sz w:val="24"/>
          <w:szCs w:val="24"/>
        </w:rPr>
        <w:t xml:space="preserve">Pro fungování úřadů, jež se věnují implementaci a vymáhání AI Aktu je rozhodující přijetí odborníků a zabezpečení adekvátních finančních prostředků. Proto, aby došlo k přijetí těchto odborníků, je </w:t>
      </w:r>
      <w:r w:rsidRPr="00E9600E">
        <w:rPr>
          <w:rFonts w:cs="Calibri"/>
          <w:color w:val="auto"/>
          <w:sz w:val="24"/>
          <w:szCs w:val="24"/>
        </w:rPr>
        <w:t>potřeba, aby finanční ohodnocení a benefity, které tyto úřady nabíz</w:t>
      </w:r>
      <w:r w:rsidR="005A7E0A">
        <w:rPr>
          <w:rFonts w:cs="Calibri"/>
          <w:color w:val="auto"/>
          <w:sz w:val="24"/>
          <w:szCs w:val="24"/>
        </w:rPr>
        <w:t>ej</w:t>
      </w:r>
      <w:r w:rsidRPr="00E9600E">
        <w:rPr>
          <w:rFonts w:cs="Calibri"/>
          <w:color w:val="auto"/>
          <w:sz w:val="24"/>
          <w:szCs w:val="24"/>
        </w:rPr>
        <w:t xml:space="preserve">í, byly schopny </w:t>
      </w:r>
      <w:r w:rsidR="00CF1BA3" w:rsidRPr="00E9600E">
        <w:rPr>
          <w:rFonts w:cs="Calibri"/>
          <w:color w:val="auto"/>
          <w:sz w:val="24"/>
          <w:szCs w:val="24"/>
        </w:rPr>
        <w:t>konkurovat soukromým</w:t>
      </w:r>
      <w:r w:rsidRPr="00E9600E">
        <w:rPr>
          <w:rFonts w:cs="Calibri"/>
          <w:color w:val="auto"/>
          <w:sz w:val="24"/>
          <w:szCs w:val="24"/>
        </w:rPr>
        <w:t xml:space="preserve"> </w:t>
      </w:r>
      <w:r w:rsidR="00CF1BA3" w:rsidRPr="00E9600E">
        <w:rPr>
          <w:rFonts w:cs="Calibri"/>
          <w:color w:val="auto"/>
          <w:sz w:val="24"/>
          <w:szCs w:val="24"/>
        </w:rPr>
        <w:t>společnostem.</w:t>
      </w:r>
    </w:p>
    <w:p w14:paraId="63B9D8B6" w14:textId="1C783AE9" w:rsidR="00BC29B7" w:rsidRPr="00517153" w:rsidRDefault="00B842A1" w:rsidP="00517153">
      <w:pPr>
        <w:jc w:val="both"/>
        <w:rPr>
          <w:rFonts w:cs="Calibri"/>
          <w:color w:val="auto"/>
          <w:sz w:val="24"/>
          <w:szCs w:val="24"/>
        </w:rPr>
      </w:pPr>
      <w:r>
        <w:rPr>
          <w:rFonts w:cs="Calibri"/>
          <w:color w:val="auto"/>
          <w:sz w:val="24"/>
          <w:szCs w:val="24"/>
        </w:rPr>
        <w:t xml:space="preserve">Orgány dozoru </w:t>
      </w:r>
      <w:r w:rsidR="000E0903">
        <w:rPr>
          <w:rFonts w:cs="Calibri"/>
          <w:color w:val="auto"/>
          <w:sz w:val="24"/>
          <w:szCs w:val="24"/>
        </w:rPr>
        <w:t xml:space="preserve">se </w:t>
      </w:r>
      <w:r>
        <w:rPr>
          <w:rFonts w:cs="Calibri"/>
          <w:color w:val="auto"/>
          <w:sz w:val="24"/>
          <w:szCs w:val="24"/>
        </w:rPr>
        <w:t xml:space="preserve">musí vypořádat s řadou nových úkolů a povinností, se kterými se pojí jak jednorázové investice, tak potřeba obstarat financování průběžných provozních nákladů. Zajištěn musí být i dostatečný počet zaměstnanců s právním vzděláním a jazykově vybavených zaměstnanců. Samozřejmostí musí být další průběžné vzdělávání zaměstnanců, a to nejen z důvodu „udržení tempa“ expertizy s technologickým vývojem, ale též jako motivačního prvku pro osoby zvažující zaměstnání ve státní službě. Dále je potřeba také přilákat na tuto agendy IT experty, které bude potřeba náležitě finančně ohodnotit. </w:t>
      </w:r>
      <w:r w:rsidR="0013693E" w:rsidRPr="0013693E">
        <w:rPr>
          <w:rFonts w:cs="Calibri"/>
          <w:color w:val="auto"/>
          <w:sz w:val="24"/>
          <w:szCs w:val="24"/>
        </w:rPr>
        <w:t>Stěžejní prvk</w:t>
      </w:r>
      <w:r w:rsidR="00A13CD3">
        <w:rPr>
          <w:rFonts w:cs="Calibri"/>
          <w:color w:val="auto"/>
          <w:sz w:val="24"/>
          <w:szCs w:val="24"/>
        </w:rPr>
        <w:t>y</w:t>
      </w:r>
      <w:r w:rsidR="0013693E" w:rsidRPr="0013693E">
        <w:rPr>
          <w:rFonts w:cs="Calibri"/>
          <w:color w:val="auto"/>
          <w:sz w:val="24"/>
          <w:szCs w:val="24"/>
        </w:rPr>
        <w:t xml:space="preserve"> právní úpravy podle AI </w:t>
      </w:r>
      <w:r w:rsidR="00EB0B45">
        <w:rPr>
          <w:rFonts w:cs="Calibri"/>
          <w:color w:val="auto"/>
          <w:sz w:val="24"/>
          <w:szCs w:val="24"/>
        </w:rPr>
        <w:t xml:space="preserve">Aktu </w:t>
      </w:r>
      <w:r w:rsidR="0013693E" w:rsidRPr="0013693E">
        <w:rPr>
          <w:rFonts w:cs="Calibri"/>
          <w:color w:val="auto"/>
          <w:sz w:val="24"/>
          <w:szCs w:val="24"/>
        </w:rPr>
        <w:t xml:space="preserve">pak představují </w:t>
      </w:r>
      <w:r w:rsidR="0013693E" w:rsidRPr="0013693E">
        <w:rPr>
          <w:rFonts w:cs="Calibri"/>
          <w:color w:val="auto"/>
          <w:sz w:val="24"/>
          <w:szCs w:val="24"/>
        </w:rPr>
        <w:lastRenderedPageBreak/>
        <w:t>požadavky na kybernetickou bezpečnost systémů AI a systémy řízení rizik (čl. 9 a 15). Je tedy nezbytné vybavit ČTÚ odborníky i v této oblasti. Rovněž je třeba mít na paměti potřebu datových analytiků, kteří budou např. schopni vyhodnotit, zda trénovací, validační a testovací data, na jejichž základě byl systém AI vyvíjen, splňují kritéria kvality stanovená v nařízení o umělé inteligenci co do jejich vhodnosti, reprezentativnosti, chybovosti</w:t>
      </w:r>
      <w:r w:rsidR="00DE0AA2">
        <w:rPr>
          <w:rFonts w:cs="Calibri"/>
          <w:color w:val="auto"/>
          <w:sz w:val="24"/>
          <w:szCs w:val="24"/>
        </w:rPr>
        <w:t>,</w:t>
      </w:r>
      <w:r w:rsidR="0013693E" w:rsidRPr="0013693E">
        <w:rPr>
          <w:rFonts w:cs="Calibri"/>
          <w:color w:val="auto"/>
          <w:sz w:val="24"/>
          <w:szCs w:val="24"/>
        </w:rPr>
        <w:t xml:space="preserve"> úplnosti (čl. 10) apod. Poskytovatelé vysoce rizikových systémů AI též musí podle AI </w:t>
      </w:r>
      <w:r w:rsidR="00DE0AA2">
        <w:rPr>
          <w:rFonts w:cs="Calibri"/>
          <w:color w:val="auto"/>
          <w:sz w:val="24"/>
          <w:szCs w:val="24"/>
        </w:rPr>
        <w:t xml:space="preserve">Aktu </w:t>
      </w:r>
      <w:r w:rsidR="0013693E" w:rsidRPr="0013693E">
        <w:rPr>
          <w:rFonts w:cs="Calibri"/>
          <w:color w:val="auto"/>
          <w:sz w:val="24"/>
          <w:szCs w:val="24"/>
        </w:rPr>
        <w:t xml:space="preserve">zavést systém řízení kvality řádně zdokumentovaný formou písemných politik, postupů  a pokynů (čl. 17), pročež i pro tyto </w:t>
      </w:r>
      <w:r w:rsidR="0013693E" w:rsidRPr="00F36206">
        <w:rPr>
          <w:rFonts w:cs="Calibri"/>
          <w:color w:val="auto"/>
          <w:sz w:val="24"/>
          <w:szCs w:val="24"/>
        </w:rPr>
        <w:t>případy bude třeba ČTÚ jakožto orgán dozoru nad touto povinností vhodným způsobem personálně doplnit.</w:t>
      </w:r>
    </w:p>
    <w:p w14:paraId="1C1C85FD" w14:textId="4B78B6F0" w:rsidR="00BC29B7" w:rsidRPr="00E003D6" w:rsidRDefault="00B842A1" w:rsidP="00517153">
      <w:pPr>
        <w:jc w:val="both"/>
        <w:rPr>
          <w:sz w:val="24"/>
          <w:szCs w:val="24"/>
        </w:rPr>
      </w:pPr>
      <w:r w:rsidRPr="00E003D6">
        <w:rPr>
          <w:sz w:val="24"/>
          <w:szCs w:val="24"/>
        </w:rPr>
        <w:t>Evropská komise odhadla, že celkové náklady na dodržování předpisů při uvádění AI systémů na trh se celosvětově pohybují od 1,6 miliardy EUR do 3,3 miliardy EUR ročně za předpokladu, že pouze 10</w:t>
      </w:r>
      <w:r w:rsidR="00C95A49">
        <w:rPr>
          <w:sz w:val="24"/>
          <w:szCs w:val="24"/>
        </w:rPr>
        <w:t> </w:t>
      </w:r>
      <w:r w:rsidRPr="00E003D6">
        <w:rPr>
          <w:sz w:val="24"/>
          <w:szCs w:val="24"/>
        </w:rPr>
        <w:t xml:space="preserve">% AI technologií bude podléhat regulačním požadavkům (tj. těm, které jsou označeny jako „vysoce rizikové“). Ačkoli jsou tyto odhady stanoveny pro podniky, předmětem kontroly ze strany dozorových orgánů budou stejné povinnosti, a proto lze vycházet z těchto odhadů, tj. náklady na ověření shody v rozmezí 3 000 až 7 500 EUR za aplikaci v přímých nákladech a 1 000 až 2000 EUR v </w:t>
      </w:r>
      <w:r w:rsidRPr="00517153">
        <w:rPr>
          <w:rFonts w:cs="Calibri"/>
          <w:color w:val="auto"/>
          <w:sz w:val="24"/>
          <w:szCs w:val="24"/>
        </w:rPr>
        <w:t>nepřímých</w:t>
      </w:r>
      <w:r w:rsidRPr="00E003D6">
        <w:rPr>
          <w:sz w:val="24"/>
          <w:szCs w:val="24"/>
        </w:rPr>
        <w:t xml:space="preserve"> nákladech.</w:t>
      </w:r>
      <w:r w:rsidR="00264EA8" w:rsidRPr="00ED00E8">
        <w:rPr>
          <w:sz w:val="24"/>
          <w:szCs w:val="24"/>
          <w:vertAlign w:val="superscript"/>
        </w:rPr>
        <w:footnoteReference w:id="9"/>
      </w:r>
    </w:p>
    <w:p w14:paraId="5FB1EBF9" w14:textId="62CE66A8" w:rsidR="00BC29B7" w:rsidRPr="00517153" w:rsidRDefault="0027102E" w:rsidP="00517153">
      <w:pPr>
        <w:jc w:val="both"/>
        <w:rPr>
          <w:rFonts w:cs="Calibri"/>
          <w:color w:val="auto"/>
          <w:sz w:val="24"/>
          <w:szCs w:val="24"/>
        </w:rPr>
      </w:pPr>
      <w:r>
        <w:rPr>
          <w:sz w:val="24"/>
          <w:szCs w:val="24"/>
        </w:rPr>
        <w:t xml:space="preserve">Z </w:t>
      </w:r>
      <w:r w:rsidR="00B842A1" w:rsidRPr="00E003D6">
        <w:rPr>
          <w:sz w:val="24"/>
          <w:szCs w:val="24"/>
        </w:rPr>
        <w:t>odhad</w:t>
      </w:r>
      <w:r>
        <w:rPr>
          <w:sz w:val="24"/>
          <w:szCs w:val="24"/>
        </w:rPr>
        <w:t>ové</w:t>
      </w:r>
      <w:r w:rsidR="00B842A1" w:rsidRPr="00E003D6">
        <w:rPr>
          <w:sz w:val="24"/>
          <w:szCs w:val="24"/>
        </w:rPr>
        <w:t xml:space="preserve"> analýzy KMPG vyplývá, že pro vybudování potřebné expertizy a zajištění povinností Centrálního dozorového orgánu </w:t>
      </w:r>
      <w:r>
        <w:rPr>
          <w:sz w:val="24"/>
          <w:szCs w:val="24"/>
        </w:rPr>
        <w:t xml:space="preserve">v České republice </w:t>
      </w:r>
      <w:r w:rsidR="00B842A1" w:rsidRPr="00E003D6">
        <w:rPr>
          <w:sz w:val="24"/>
          <w:szCs w:val="24"/>
        </w:rPr>
        <w:t>bude tento úřad potřebovat minimálně 34 zaměstnanců na plný úvazek (FTE) a 5 FTE pro vykonávání podpůrných činností k nově stanoveným povinnostem. Vzhledem k tomu, že expertíza v této oblasti v současné době chybí napříč celou státní správou a AI</w:t>
      </w:r>
      <w:r w:rsidR="00B842A1" w:rsidRPr="00E003D6">
        <w:rPr>
          <w:rFonts w:cs="Calibri"/>
          <w:color w:val="auto"/>
          <w:sz w:val="24"/>
          <w:szCs w:val="24"/>
        </w:rPr>
        <w:t xml:space="preserve"> Akt poté dále explicitně zmiňuje v čl. 70, odst. 3, že příslušné vnitrostátní orgány mají mít trvale k dispozici dostatečný počet pracovníků s odbornou znalostí mj. v oblasti technologií AI (a </w:t>
      </w:r>
      <w:r w:rsidR="00B842A1" w:rsidRPr="00517153">
        <w:rPr>
          <w:sz w:val="24"/>
          <w:szCs w:val="24"/>
        </w:rPr>
        <w:t>dalších</w:t>
      </w:r>
      <w:r w:rsidR="00B842A1" w:rsidRPr="00E003D6">
        <w:rPr>
          <w:rFonts w:cs="Calibri"/>
          <w:color w:val="auto"/>
          <w:sz w:val="24"/>
          <w:szCs w:val="24"/>
        </w:rPr>
        <w:t xml:space="preserve"> relevantních oblast</w:t>
      </w:r>
      <w:r w:rsidR="000C59FB">
        <w:rPr>
          <w:rFonts w:cs="Calibri"/>
          <w:color w:val="auto"/>
          <w:sz w:val="24"/>
          <w:szCs w:val="24"/>
        </w:rPr>
        <w:t>ech</w:t>
      </w:r>
      <w:r w:rsidR="00B842A1" w:rsidRPr="00E003D6">
        <w:rPr>
          <w:rFonts w:cs="Calibri"/>
          <w:color w:val="auto"/>
          <w:sz w:val="24"/>
          <w:szCs w:val="24"/>
        </w:rPr>
        <w:t>), považuje MPO návrh vyplývající z analýzy KPMG za realistický.</w:t>
      </w:r>
    </w:p>
    <w:p w14:paraId="47B6A59E" w14:textId="23451F96" w:rsidR="00BC29B7" w:rsidRDefault="00B842A1" w:rsidP="005B0B2C">
      <w:pPr>
        <w:autoSpaceDE w:val="0"/>
        <w:spacing w:after="0" w:line="293" w:lineRule="auto"/>
        <w:jc w:val="both"/>
        <w:rPr>
          <w:rFonts w:cs="Calibri"/>
          <w:sz w:val="24"/>
          <w:szCs w:val="24"/>
        </w:rPr>
      </w:pPr>
      <w:r>
        <w:rPr>
          <w:rFonts w:cs="Calibri"/>
          <w:sz w:val="24"/>
          <w:szCs w:val="24"/>
        </w:rPr>
        <w:t xml:space="preserve">Náklady pro konkrétní vnitrostátní orgány závisí na počtu monitorovaných aplikací AI a na rozsahu, v jakém jsou již zavedeny jiné monitorovací systémy. Při stanovení požadavků na rozpočet bylo potřeba vyčíslit tyto položky: </w:t>
      </w:r>
    </w:p>
    <w:p w14:paraId="44FC8965" w14:textId="77777777" w:rsidR="00BC29B7" w:rsidRDefault="00B842A1" w:rsidP="005B0B2C">
      <w:pPr>
        <w:pStyle w:val="Odstavecseseznamem"/>
        <w:numPr>
          <w:ilvl w:val="0"/>
          <w:numId w:val="7"/>
        </w:numPr>
        <w:autoSpaceDE w:val="0"/>
        <w:spacing w:after="0" w:line="293" w:lineRule="auto"/>
        <w:jc w:val="both"/>
        <w:rPr>
          <w:rFonts w:cs="Calibri"/>
          <w:sz w:val="24"/>
          <w:szCs w:val="24"/>
        </w:rPr>
      </w:pPr>
      <w:r>
        <w:rPr>
          <w:rFonts w:cs="Calibri"/>
          <w:sz w:val="24"/>
          <w:szCs w:val="24"/>
        </w:rPr>
        <w:t xml:space="preserve">Finanční prostředky na zajištění a provoz úřadu </w:t>
      </w:r>
    </w:p>
    <w:p w14:paraId="272FD038" w14:textId="77777777" w:rsidR="00BC29B7" w:rsidRDefault="00B842A1" w:rsidP="005B0B2C">
      <w:pPr>
        <w:pStyle w:val="Odstavecseseznamem"/>
        <w:numPr>
          <w:ilvl w:val="0"/>
          <w:numId w:val="7"/>
        </w:numPr>
        <w:autoSpaceDE w:val="0"/>
        <w:spacing w:after="0" w:line="293" w:lineRule="auto"/>
        <w:jc w:val="both"/>
        <w:rPr>
          <w:rFonts w:cs="Calibri"/>
          <w:sz w:val="24"/>
          <w:szCs w:val="24"/>
        </w:rPr>
      </w:pPr>
      <w:r>
        <w:rPr>
          <w:rFonts w:cs="Calibri"/>
          <w:sz w:val="24"/>
          <w:szCs w:val="24"/>
        </w:rPr>
        <w:t xml:space="preserve">Náklady na zajištění lidských zdrojů </w:t>
      </w:r>
    </w:p>
    <w:p w14:paraId="7053B6BA" w14:textId="77777777" w:rsidR="00BC29B7" w:rsidRDefault="00B842A1" w:rsidP="005B0B2C">
      <w:pPr>
        <w:pStyle w:val="Odstavecseseznamem"/>
        <w:numPr>
          <w:ilvl w:val="0"/>
          <w:numId w:val="7"/>
        </w:numPr>
        <w:autoSpaceDE w:val="0"/>
        <w:spacing w:after="0" w:line="293" w:lineRule="auto"/>
        <w:jc w:val="both"/>
        <w:rPr>
          <w:rFonts w:cs="Calibri"/>
          <w:sz w:val="24"/>
          <w:szCs w:val="24"/>
        </w:rPr>
      </w:pPr>
      <w:r>
        <w:rPr>
          <w:rFonts w:cs="Calibri"/>
          <w:sz w:val="24"/>
          <w:szCs w:val="24"/>
        </w:rPr>
        <w:t xml:space="preserve">Náklady na vybavení (HW, SW) </w:t>
      </w:r>
    </w:p>
    <w:p w14:paraId="5695FB39" w14:textId="77777777" w:rsidR="00BC29B7" w:rsidRDefault="00B842A1" w:rsidP="005B0B2C">
      <w:pPr>
        <w:pStyle w:val="Odstavecseseznamem"/>
        <w:numPr>
          <w:ilvl w:val="0"/>
          <w:numId w:val="7"/>
        </w:numPr>
        <w:autoSpaceDE w:val="0"/>
        <w:spacing w:after="0" w:line="293" w:lineRule="auto"/>
        <w:jc w:val="both"/>
        <w:rPr>
          <w:rFonts w:cs="Calibri"/>
          <w:sz w:val="24"/>
          <w:szCs w:val="24"/>
        </w:rPr>
      </w:pPr>
      <w:r>
        <w:rPr>
          <w:rFonts w:cs="Calibri"/>
          <w:sz w:val="24"/>
          <w:szCs w:val="24"/>
        </w:rPr>
        <w:t xml:space="preserve">Robustní technologická infrastruktura pro regulační sandbox </w:t>
      </w:r>
    </w:p>
    <w:p w14:paraId="52D3AB13" w14:textId="77777777" w:rsidR="00BC29B7" w:rsidRDefault="00BC29B7" w:rsidP="005B0B2C">
      <w:pPr>
        <w:spacing w:after="0" w:line="293" w:lineRule="auto"/>
        <w:jc w:val="both"/>
        <w:rPr>
          <w:rFonts w:cs="Calibri"/>
          <w:sz w:val="24"/>
          <w:szCs w:val="24"/>
        </w:rPr>
      </w:pPr>
    </w:p>
    <w:p w14:paraId="25B3A377" w14:textId="098D7A87" w:rsidR="00192C75" w:rsidRPr="00E537DA" w:rsidRDefault="00B842A1" w:rsidP="00F36206">
      <w:pPr>
        <w:pBdr>
          <w:top w:val="single" w:sz="4" w:space="1" w:color="auto"/>
          <w:left w:val="single" w:sz="4" w:space="4" w:color="auto"/>
          <w:bottom w:val="single" w:sz="4" w:space="1" w:color="auto"/>
          <w:right w:val="single" w:sz="4" w:space="4" w:color="auto"/>
        </w:pBdr>
        <w:spacing w:after="0" w:line="293" w:lineRule="auto"/>
        <w:jc w:val="both"/>
        <w:rPr>
          <w:rFonts w:cs="Calibri"/>
          <w:color w:val="002060"/>
          <w:sz w:val="24"/>
          <w:szCs w:val="24"/>
        </w:rPr>
      </w:pPr>
      <w:r w:rsidRPr="00E537DA">
        <w:rPr>
          <w:rFonts w:cs="Calibri"/>
          <w:b/>
          <w:bCs/>
          <w:color w:val="002060"/>
          <w:sz w:val="24"/>
          <w:szCs w:val="24"/>
        </w:rPr>
        <w:t>MPO provedlo analýzu finančních požadavků na implementaci a vymáhání AI Aktu, ze které vyplývá, že celkově je na implementaci potřeba pro období 2026 – 2028</w:t>
      </w:r>
      <w:r w:rsidR="00E9600E" w:rsidRPr="00E537DA">
        <w:rPr>
          <w:rFonts w:cs="Calibri"/>
          <w:b/>
          <w:bCs/>
          <w:color w:val="002060"/>
          <w:sz w:val="24"/>
          <w:szCs w:val="24"/>
        </w:rPr>
        <w:t xml:space="preserve"> poskytnout</w:t>
      </w:r>
      <w:r w:rsidRPr="00E537DA">
        <w:rPr>
          <w:rFonts w:cs="Calibri"/>
          <w:b/>
          <w:bCs/>
          <w:color w:val="002060"/>
          <w:sz w:val="24"/>
          <w:szCs w:val="24"/>
        </w:rPr>
        <w:t xml:space="preserve"> ze státního rozpočtu finanční prostředky ve výši </w:t>
      </w:r>
      <w:r w:rsidR="00FD74F1" w:rsidRPr="00E537DA">
        <w:rPr>
          <w:rFonts w:cs="Calibri"/>
          <w:b/>
          <w:bCs/>
          <w:color w:val="002060"/>
          <w:sz w:val="24"/>
          <w:szCs w:val="24"/>
        </w:rPr>
        <w:t>232 52</w:t>
      </w:r>
      <w:r w:rsidRPr="00E537DA">
        <w:rPr>
          <w:rFonts w:cs="Calibri"/>
          <w:b/>
          <w:bCs/>
          <w:color w:val="002060"/>
          <w:sz w:val="24"/>
          <w:szCs w:val="24"/>
        </w:rPr>
        <w:t>7 100 Kč (2026 - 7</w:t>
      </w:r>
      <w:r w:rsidR="00FD74F1" w:rsidRPr="00E537DA">
        <w:rPr>
          <w:rFonts w:cs="Calibri"/>
          <w:b/>
          <w:bCs/>
          <w:color w:val="002060"/>
          <w:sz w:val="24"/>
          <w:szCs w:val="24"/>
        </w:rPr>
        <w:t>3</w:t>
      </w:r>
      <w:r w:rsidRPr="00E537DA">
        <w:rPr>
          <w:rFonts w:cs="Calibri"/>
          <w:b/>
          <w:bCs/>
          <w:color w:val="002060"/>
          <w:sz w:val="24"/>
          <w:szCs w:val="24"/>
        </w:rPr>
        <w:t xml:space="preserve"> </w:t>
      </w:r>
      <w:r w:rsidR="00FD74F1" w:rsidRPr="00E537DA">
        <w:rPr>
          <w:rFonts w:cs="Calibri"/>
          <w:b/>
          <w:bCs/>
          <w:color w:val="002060"/>
          <w:sz w:val="24"/>
          <w:szCs w:val="24"/>
        </w:rPr>
        <w:t>15</w:t>
      </w:r>
      <w:r w:rsidRPr="00E537DA">
        <w:rPr>
          <w:rFonts w:cs="Calibri"/>
          <w:b/>
          <w:bCs/>
          <w:color w:val="002060"/>
          <w:sz w:val="24"/>
          <w:szCs w:val="24"/>
        </w:rPr>
        <w:t xml:space="preserve">6 300 Kč, 2027 - </w:t>
      </w:r>
      <w:r w:rsidR="00FD74F1" w:rsidRPr="00E537DA">
        <w:rPr>
          <w:rFonts w:cs="Calibri"/>
          <w:b/>
          <w:bCs/>
          <w:color w:val="002060"/>
          <w:sz w:val="24"/>
          <w:szCs w:val="24"/>
        </w:rPr>
        <w:t>58</w:t>
      </w:r>
      <w:r w:rsidRPr="00E537DA">
        <w:rPr>
          <w:rFonts w:cs="Calibri"/>
          <w:b/>
          <w:bCs/>
          <w:color w:val="002060"/>
          <w:sz w:val="24"/>
          <w:szCs w:val="24"/>
        </w:rPr>
        <w:t xml:space="preserve"> </w:t>
      </w:r>
      <w:r w:rsidR="00FD74F1" w:rsidRPr="00E537DA">
        <w:rPr>
          <w:rFonts w:cs="Calibri"/>
          <w:b/>
          <w:bCs/>
          <w:color w:val="002060"/>
          <w:sz w:val="24"/>
          <w:szCs w:val="24"/>
        </w:rPr>
        <w:t>190</w:t>
      </w:r>
      <w:r w:rsidRPr="00E537DA">
        <w:rPr>
          <w:rFonts w:cs="Calibri"/>
          <w:b/>
          <w:bCs/>
          <w:color w:val="002060"/>
          <w:sz w:val="24"/>
          <w:szCs w:val="24"/>
        </w:rPr>
        <w:t> 600 Kč, 2028 - 10</w:t>
      </w:r>
      <w:r w:rsidR="00FD74F1" w:rsidRPr="00E537DA">
        <w:rPr>
          <w:rFonts w:cs="Calibri"/>
          <w:b/>
          <w:bCs/>
          <w:color w:val="002060"/>
          <w:sz w:val="24"/>
          <w:szCs w:val="24"/>
        </w:rPr>
        <w:t>1</w:t>
      </w:r>
      <w:r w:rsidRPr="00E537DA">
        <w:rPr>
          <w:rFonts w:cs="Calibri"/>
          <w:b/>
          <w:bCs/>
          <w:color w:val="002060"/>
          <w:sz w:val="24"/>
          <w:szCs w:val="24"/>
        </w:rPr>
        <w:t xml:space="preserve"> </w:t>
      </w:r>
      <w:r w:rsidR="00FD74F1" w:rsidRPr="00E537DA">
        <w:rPr>
          <w:rFonts w:cs="Calibri"/>
          <w:b/>
          <w:bCs/>
          <w:color w:val="002060"/>
          <w:sz w:val="24"/>
          <w:szCs w:val="24"/>
        </w:rPr>
        <w:t>18</w:t>
      </w:r>
      <w:r w:rsidRPr="00E537DA">
        <w:rPr>
          <w:rFonts w:cs="Calibri"/>
          <w:b/>
          <w:bCs/>
          <w:color w:val="002060"/>
          <w:sz w:val="24"/>
          <w:szCs w:val="24"/>
        </w:rPr>
        <w:t xml:space="preserve">0 200 Kč) (viz tabulka níže).  </w:t>
      </w:r>
    </w:p>
    <w:p w14:paraId="51DCE823" w14:textId="77777777" w:rsidR="00F36206" w:rsidRDefault="00F36206" w:rsidP="00192C75">
      <w:pPr>
        <w:spacing w:before="100" w:after="100" w:line="240" w:lineRule="auto"/>
        <w:jc w:val="both"/>
        <w:rPr>
          <w:rFonts w:eastAsia="Times New Roman" w:cs="Calibri"/>
          <w:b/>
          <w:bCs/>
          <w:sz w:val="24"/>
          <w:szCs w:val="24"/>
          <w:lang w:eastAsia="cs-CZ"/>
        </w:rPr>
      </w:pPr>
    </w:p>
    <w:p w14:paraId="19FFBC47" w14:textId="13A23BCD" w:rsidR="00192C75" w:rsidRDefault="00192C75" w:rsidP="00192C75">
      <w:pPr>
        <w:spacing w:before="100" w:after="100" w:line="240" w:lineRule="auto"/>
        <w:jc w:val="both"/>
        <w:rPr>
          <w:rFonts w:eastAsia="Times New Roman" w:cs="Calibri"/>
          <w:b/>
          <w:bCs/>
          <w:sz w:val="24"/>
          <w:szCs w:val="24"/>
          <w:lang w:eastAsia="cs-CZ"/>
        </w:rPr>
      </w:pPr>
      <w:r>
        <w:rPr>
          <w:rFonts w:eastAsia="Times New Roman" w:cs="Calibri"/>
          <w:b/>
          <w:bCs/>
          <w:sz w:val="24"/>
          <w:szCs w:val="24"/>
          <w:lang w:eastAsia="cs-CZ"/>
        </w:rPr>
        <w:lastRenderedPageBreak/>
        <w:t>Souhrnná tabulka požadavků na státní rozpočet</w:t>
      </w:r>
    </w:p>
    <w:p w14:paraId="7792DD00" w14:textId="77777777" w:rsidR="00BC29B7" w:rsidRDefault="00BC29B7">
      <w:pPr>
        <w:spacing w:before="100" w:after="100" w:line="240" w:lineRule="auto"/>
        <w:jc w:val="both"/>
        <w:rPr>
          <w:rFonts w:cs="Calibri"/>
          <w:sz w:val="24"/>
          <w:szCs w:val="24"/>
        </w:rPr>
      </w:pPr>
    </w:p>
    <w:tbl>
      <w:tblPr>
        <w:tblW w:w="9376" w:type="dxa"/>
        <w:tblCellMar>
          <w:left w:w="10" w:type="dxa"/>
          <w:right w:w="10" w:type="dxa"/>
        </w:tblCellMar>
        <w:tblLook w:val="0000" w:firstRow="0" w:lastRow="0" w:firstColumn="0" w:lastColumn="0" w:noHBand="0" w:noVBand="0"/>
      </w:tblPr>
      <w:tblGrid>
        <w:gridCol w:w="2020"/>
        <w:gridCol w:w="1150"/>
        <w:gridCol w:w="1463"/>
        <w:gridCol w:w="1514"/>
        <w:gridCol w:w="1559"/>
        <w:gridCol w:w="1863"/>
      </w:tblGrid>
      <w:tr w:rsidR="00BC29B7" w14:paraId="36FA2218" w14:textId="77777777" w:rsidTr="00E003D6">
        <w:trPr>
          <w:trHeight w:val="300"/>
        </w:trPr>
        <w:tc>
          <w:tcPr>
            <w:tcW w:w="2020" w:type="dxa"/>
            <w:shd w:val="clear" w:color="auto" w:fill="auto"/>
            <w:noWrap/>
            <w:tcMar>
              <w:top w:w="0" w:type="dxa"/>
              <w:left w:w="70" w:type="dxa"/>
              <w:bottom w:w="0" w:type="dxa"/>
              <w:right w:w="70" w:type="dxa"/>
            </w:tcMar>
            <w:vAlign w:val="center"/>
          </w:tcPr>
          <w:p w14:paraId="583541DC" w14:textId="77777777" w:rsidR="00BC29B7" w:rsidRDefault="00BC29B7">
            <w:pPr>
              <w:spacing w:after="0" w:line="240" w:lineRule="auto"/>
              <w:jc w:val="center"/>
              <w:rPr>
                <w:rFonts w:eastAsia="Times New Roman" w:cs="Calibri"/>
                <w:color w:val="auto"/>
                <w:sz w:val="24"/>
                <w:szCs w:val="24"/>
                <w:lang w:eastAsia="cs-CZ"/>
              </w:rPr>
            </w:pPr>
          </w:p>
        </w:tc>
        <w:tc>
          <w:tcPr>
            <w:tcW w:w="957" w:type="dxa"/>
            <w:shd w:val="clear" w:color="auto" w:fill="auto"/>
            <w:noWrap/>
            <w:tcMar>
              <w:top w:w="0" w:type="dxa"/>
              <w:left w:w="70" w:type="dxa"/>
              <w:bottom w:w="0" w:type="dxa"/>
              <w:right w:w="70" w:type="dxa"/>
            </w:tcMar>
            <w:vAlign w:val="center"/>
          </w:tcPr>
          <w:p w14:paraId="0E2C6E51" w14:textId="77777777" w:rsidR="00BC29B7" w:rsidRDefault="00BC29B7">
            <w:pPr>
              <w:spacing w:after="0" w:line="240" w:lineRule="auto"/>
              <w:jc w:val="center"/>
              <w:rPr>
                <w:rFonts w:eastAsia="Times New Roman" w:cs="Calibri"/>
                <w:color w:val="auto"/>
                <w:sz w:val="24"/>
                <w:szCs w:val="24"/>
                <w:lang w:eastAsia="cs-CZ"/>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90C149"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Státní rozpočet 2026 (Kč)</w:t>
            </w:r>
          </w:p>
        </w:tc>
        <w:tc>
          <w:tcPr>
            <w:tcW w:w="151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53FFA3"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Rozpočtový výhled 2027 (Kč)</w:t>
            </w:r>
          </w:p>
        </w:tc>
        <w:tc>
          <w:tcPr>
            <w:tcW w:w="155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82DC32"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Rozpočtový výhled 2028 (Kč)</w:t>
            </w:r>
          </w:p>
        </w:tc>
        <w:tc>
          <w:tcPr>
            <w:tcW w:w="1863" w:type="dxa"/>
            <w:tcBorders>
              <w:top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14:paraId="6D4624AE"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Celkem</w:t>
            </w:r>
          </w:p>
        </w:tc>
      </w:tr>
      <w:tr w:rsidR="00BC29B7" w14:paraId="6C46298F" w14:textId="77777777" w:rsidTr="00E003D6">
        <w:trPr>
          <w:trHeight w:val="300"/>
        </w:trPr>
        <w:tc>
          <w:tcPr>
            <w:tcW w:w="2020" w:type="dxa"/>
            <w:vMerge w:val="restart"/>
            <w:tcBorders>
              <w:top w:val="single" w:sz="4" w:space="0" w:color="000000"/>
              <w:left w:val="single" w:sz="4" w:space="0" w:color="000000"/>
              <w:right w:val="single" w:sz="4" w:space="0" w:color="000000"/>
            </w:tcBorders>
            <w:shd w:val="clear" w:color="auto" w:fill="FFFF00"/>
            <w:tcMar>
              <w:top w:w="0" w:type="dxa"/>
              <w:left w:w="70" w:type="dxa"/>
              <w:bottom w:w="0" w:type="dxa"/>
              <w:right w:w="70" w:type="dxa"/>
            </w:tcMar>
            <w:vAlign w:val="center"/>
          </w:tcPr>
          <w:p w14:paraId="34FAC85D"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Český telekomunikační úřad</w:t>
            </w:r>
          </w:p>
        </w:tc>
        <w:tc>
          <w:tcPr>
            <w:tcW w:w="95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3E562DE"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nové úvazky</w:t>
            </w:r>
          </w:p>
        </w:tc>
        <w:tc>
          <w:tcPr>
            <w:tcW w:w="146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0E9246"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8</w:t>
            </w:r>
          </w:p>
        </w:tc>
        <w:tc>
          <w:tcPr>
            <w:tcW w:w="15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0E6709"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8</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93BBC8"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16</w:t>
            </w:r>
          </w:p>
        </w:tc>
        <w:tc>
          <w:tcPr>
            <w:tcW w:w="1863" w:type="dxa"/>
            <w:tcBorders>
              <w:bottom w:val="single" w:sz="4" w:space="0" w:color="000000"/>
              <w:right w:val="single" w:sz="4" w:space="0" w:color="000000"/>
            </w:tcBorders>
            <w:shd w:val="clear" w:color="auto" w:fill="D9D9D9"/>
            <w:noWrap/>
            <w:tcMar>
              <w:top w:w="0" w:type="dxa"/>
              <w:left w:w="70" w:type="dxa"/>
              <w:bottom w:w="0" w:type="dxa"/>
              <w:right w:w="70" w:type="dxa"/>
            </w:tcMar>
            <w:vAlign w:val="center"/>
          </w:tcPr>
          <w:p w14:paraId="1997B6A2"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32</w:t>
            </w:r>
          </w:p>
        </w:tc>
      </w:tr>
      <w:tr w:rsidR="00BC29B7" w14:paraId="71E01517" w14:textId="77777777" w:rsidTr="00E003D6">
        <w:trPr>
          <w:trHeight w:val="300"/>
        </w:trPr>
        <w:tc>
          <w:tcPr>
            <w:tcW w:w="2020" w:type="dxa"/>
            <w:vMerge/>
            <w:tcBorders>
              <w:top w:val="single" w:sz="4" w:space="0" w:color="000000"/>
              <w:left w:val="single" w:sz="4" w:space="0" w:color="000000"/>
              <w:right w:val="single" w:sz="4" w:space="0" w:color="000000"/>
            </w:tcBorders>
            <w:shd w:val="clear" w:color="auto" w:fill="FFFF00"/>
            <w:tcMar>
              <w:top w:w="0" w:type="dxa"/>
              <w:left w:w="70" w:type="dxa"/>
              <w:bottom w:w="0" w:type="dxa"/>
              <w:right w:w="70" w:type="dxa"/>
            </w:tcMar>
            <w:vAlign w:val="center"/>
          </w:tcPr>
          <w:p w14:paraId="5AB54271" w14:textId="77777777" w:rsidR="00BC29B7" w:rsidRDefault="00BC29B7">
            <w:pPr>
              <w:spacing w:after="0" w:line="240" w:lineRule="auto"/>
              <w:jc w:val="center"/>
              <w:rPr>
                <w:rFonts w:eastAsia="Times New Roman" w:cs="Calibri"/>
                <w:b/>
                <w:bCs/>
                <w:sz w:val="24"/>
                <w:szCs w:val="24"/>
                <w:lang w:eastAsia="cs-CZ"/>
              </w:rPr>
            </w:pPr>
          </w:p>
        </w:tc>
        <w:tc>
          <w:tcPr>
            <w:tcW w:w="957"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6C2CDAD"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celkové výdaje</w:t>
            </w:r>
          </w:p>
        </w:tc>
        <w:tc>
          <w:tcPr>
            <w:tcW w:w="146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A5963E1"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21 644 800</w:t>
            </w:r>
          </w:p>
        </w:tc>
        <w:tc>
          <w:tcPr>
            <w:tcW w:w="15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59764C"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30 689 600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1C06FD"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78 679 200</w:t>
            </w:r>
          </w:p>
        </w:tc>
        <w:tc>
          <w:tcPr>
            <w:tcW w:w="1863" w:type="dxa"/>
            <w:tcBorders>
              <w:bottom w:val="single" w:sz="4" w:space="0" w:color="000000"/>
              <w:right w:val="single" w:sz="4" w:space="0" w:color="000000"/>
            </w:tcBorders>
            <w:shd w:val="clear" w:color="auto" w:fill="D9D9D9"/>
            <w:noWrap/>
            <w:tcMar>
              <w:top w:w="0" w:type="dxa"/>
              <w:left w:w="70" w:type="dxa"/>
              <w:bottom w:w="0" w:type="dxa"/>
              <w:right w:w="70" w:type="dxa"/>
            </w:tcMar>
            <w:vAlign w:val="center"/>
          </w:tcPr>
          <w:p w14:paraId="37451FC2"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131 013 600</w:t>
            </w:r>
          </w:p>
        </w:tc>
      </w:tr>
      <w:tr w:rsidR="00BC29B7" w14:paraId="50460CDB" w14:textId="77777777" w:rsidTr="00E003D6">
        <w:trPr>
          <w:trHeight w:val="300"/>
        </w:trPr>
        <w:tc>
          <w:tcPr>
            <w:tcW w:w="2020" w:type="dxa"/>
            <w:vMerge w:val="restart"/>
            <w:tcBorders>
              <w:left w:val="single" w:sz="4" w:space="0" w:color="000000"/>
              <w:right w:val="single" w:sz="4" w:space="0" w:color="000000"/>
            </w:tcBorders>
            <w:shd w:val="clear" w:color="auto" w:fill="FFC000"/>
            <w:tcMar>
              <w:top w:w="0" w:type="dxa"/>
              <w:left w:w="70" w:type="dxa"/>
              <w:bottom w:w="0" w:type="dxa"/>
              <w:right w:w="70" w:type="dxa"/>
            </w:tcMar>
            <w:vAlign w:val="center"/>
          </w:tcPr>
          <w:p w14:paraId="3C95F55D"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Úřad pro technickou normalizaci, metrologii a státní zkušebnictví</w:t>
            </w:r>
          </w:p>
        </w:tc>
        <w:tc>
          <w:tcPr>
            <w:tcW w:w="957"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FF2BABD"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nové úvazky</w:t>
            </w:r>
          </w:p>
        </w:tc>
        <w:tc>
          <w:tcPr>
            <w:tcW w:w="146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F2C936"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7</w:t>
            </w:r>
          </w:p>
        </w:tc>
        <w:tc>
          <w:tcPr>
            <w:tcW w:w="15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1E13AD"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AE5C5D1"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0</w:t>
            </w:r>
          </w:p>
        </w:tc>
        <w:tc>
          <w:tcPr>
            <w:tcW w:w="1863" w:type="dxa"/>
            <w:tcBorders>
              <w:bottom w:val="single" w:sz="4" w:space="0" w:color="000000"/>
              <w:right w:val="single" w:sz="4" w:space="0" w:color="000000"/>
            </w:tcBorders>
            <w:shd w:val="clear" w:color="auto" w:fill="D9D9D9"/>
            <w:noWrap/>
            <w:tcMar>
              <w:top w:w="0" w:type="dxa"/>
              <w:left w:w="70" w:type="dxa"/>
              <w:bottom w:w="0" w:type="dxa"/>
              <w:right w:w="70" w:type="dxa"/>
            </w:tcMar>
            <w:vAlign w:val="center"/>
          </w:tcPr>
          <w:p w14:paraId="4BE2A0F7"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7</w:t>
            </w:r>
          </w:p>
        </w:tc>
      </w:tr>
      <w:tr w:rsidR="00BC29B7" w14:paraId="046BD4B3" w14:textId="77777777" w:rsidTr="00E003D6">
        <w:trPr>
          <w:trHeight w:val="300"/>
        </w:trPr>
        <w:tc>
          <w:tcPr>
            <w:tcW w:w="2020" w:type="dxa"/>
            <w:vMerge/>
            <w:tcBorders>
              <w:left w:val="single" w:sz="4" w:space="0" w:color="000000"/>
              <w:right w:val="single" w:sz="4" w:space="0" w:color="000000"/>
            </w:tcBorders>
            <w:shd w:val="clear" w:color="auto" w:fill="FFC000"/>
            <w:tcMar>
              <w:top w:w="0" w:type="dxa"/>
              <w:left w:w="70" w:type="dxa"/>
              <w:bottom w:w="0" w:type="dxa"/>
              <w:right w:w="70" w:type="dxa"/>
            </w:tcMar>
            <w:vAlign w:val="center"/>
          </w:tcPr>
          <w:p w14:paraId="2A680154" w14:textId="77777777" w:rsidR="00BC29B7" w:rsidRDefault="00BC29B7">
            <w:pPr>
              <w:spacing w:after="0" w:line="240" w:lineRule="auto"/>
              <w:jc w:val="center"/>
              <w:rPr>
                <w:rFonts w:eastAsia="Times New Roman" w:cs="Calibri"/>
                <w:b/>
                <w:bCs/>
                <w:sz w:val="24"/>
                <w:szCs w:val="24"/>
                <w:lang w:eastAsia="cs-CZ"/>
              </w:rPr>
            </w:pPr>
          </w:p>
        </w:tc>
        <w:tc>
          <w:tcPr>
            <w:tcW w:w="957"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307D033"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celkové výdaje</w:t>
            </w:r>
          </w:p>
        </w:tc>
        <w:tc>
          <w:tcPr>
            <w:tcW w:w="146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DCB28D2"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10 760 000</w:t>
            </w:r>
          </w:p>
        </w:tc>
        <w:tc>
          <w:tcPr>
            <w:tcW w:w="15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E9B02B"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10 150 000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183E15"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10 150 000</w:t>
            </w:r>
          </w:p>
        </w:tc>
        <w:tc>
          <w:tcPr>
            <w:tcW w:w="1863" w:type="dxa"/>
            <w:tcBorders>
              <w:bottom w:val="single" w:sz="4" w:space="0" w:color="000000"/>
              <w:right w:val="single" w:sz="4" w:space="0" w:color="000000"/>
            </w:tcBorders>
            <w:shd w:val="clear" w:color="auto" w:fill="D9D9D9"/>
            <w:noWrap/>
            <w:tcMar>
              <w:top w:w="0" w:type="dxa"/>
              <w:left w:w="70" w:type="dxa"/>
              <w:bottom w:w="0" w:type="dxa"/>
              <w:right w:w="70" w:type="dxa"/>
            </w:tcMar>
            <w:vAlign w:val="center"/>
          </w:tcPr>
          <w:p w14:paraId="0A128B04"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31 060 000</w:t>
            </w:r>
          </w:p>
        </w:tc>
      </w:tr>
      <w:tr w:rsidR="00BC29B7" w14:paraId="5DE061EE" w14:textId="77777777" w:rsidTr="00E003D6">
        <w:trPr>
          <w:trHeight w:val="300"/>
        </w:trPr>
        <w:tc>
          <w:tcPr>
            <w:tcW w:w="2020" w:type="dxa"/>
            <w:vMerge w:val="restart"/>
            <w:tcBorders>
              <w:left w:val="single" w:sz="4" w:space="0" w:color="000000"/>
              <w:right w:val="single" w:sz="4" w:space="0" w:color="000000"/>
            </w:tcBorders>
            <w:shd w:val="clear" w:color="auto" w:fill="92D050"/>
            <w:tcMar>
              <w:top w:w="0" w:type="dxa"/>
              <w:left w:w="70" w:type="dxa"/>
              <w:bottom w:w="0" w:type="dxa"/>
              <w:right w:w="70" w:type="dxa"/>
            </w:tcMar>
            <w:vAlign w:val="center"/>
          </w:tcPr>
          <w:p w14:paraId="37CB8C01" w14:textId="3A7340CA" w:rsidR="00BC29B7" w:rsidRDefault="00301691">
            <w:pPr>
              <w:spacing w:after="0" w:line="240" w:lineRule="auto"/>
              <w:jc w:val="center"/>
            </w:pPr>
            <w:r>
              <w:rPr>
                <w:rFonts w:eastAsia="Times New Roman" w:cs="Calibri"/>
                <w:b/>
                <w:bCs/>
                <w:sz w:val="24"/>
                <w:szCs w:val="24"/>
                <w:lang w:eastAsia="cs-CZ"/>
              </w:rPr>
              <w:t>O</w:t>
            </w:r>
            <w:r w:rsidR="002C4514">
              <w:rPr>
                <w:rFonts w:eastAsia="Times New Roman" w:cs="Calibri"/>
                <w:b/>
                <w:bCs/>
                <w:sz w:val="24"/>
                <w:szCs w:val="24"/>
                <w:lang w:eastAsia="cs-CZ"/>
              </w:rPr>
              <w:t>známen</w:t>
            </w:r>
            <w:r w:rsidR="00B842A1">
              <w:rPr>
                <w:rFonts w:eastAsia="Times New Roman" w:cs="Calibri"/>
                <w:b/>
                <w:bCs/>
                <w:sz w:val="24"/>
                <w:szCs w:val="24"/>
                <w:lang w:eastAsia="cs-CZ"/>
              </w:rPr>
              <w:t xml:space="preserve">ý </w:t>
            </w:r>
            <w:r w:rsidR="002C4514">
              <w:rPr>
                <w:rFonts w:eastAsia="Times New Roman" w:cs="Calibri"/>
                <w:b/>
                <w:bCs/>
                <w:sz w:val="24"/>
                <w:szCs w:val="24"/>
                <w:lang w:eastAsia="cs-CZ"/>
              </w:rPr>
              <w:t>subjekt</w:t>
            </w:r>
          </w:p>
        </w:tc>
        <w:tc>
          <w:tcPr>
            <w:tcW w:w="957"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6C6C5F4"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nové úvazky</w:t>
            </w:r>
          </w:p>
        </w:tc>
        <w:tc>
          <w:tcPr>
            <w:tcW w:w="146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A4CEF8"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4</w:t>
            </w:r>
          </w:p>
        </w:tc>
        <w:tc>
          <w:tcPr>
            <w:tcW w:w="15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A4FC2C"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F6B1C65"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0</w:t>
            </w:r>
          </w:p>
        </w:tc>
        <w:tc>
          <w:tcPr>
            <w:tcW w:w="1863" w:type="dxa"/>
            <w:tcBorders>
              <w:bottom w:val="single" w:sz="4" w:space="0" w:color="000000"/>
              <w:right w:val="single" w:sz="4" w:space="0" w:color="000000"/>
            </w:tcBorders>
            <w:shd w:val="clear" w:color="auto" w:fill="D9D9D9"/>
            <w:noWrap/>
            <w:tcMar>
              <w:top w:w="0" w:type="dxa"/>
              <w:left w:w="70" w:type="dxa"/>
              <w:bottom w:w="0" w:type="dxa"/>
              <w:right w:w="70" w:type="dxa"/>
            </w:tcMar>
            <w:vAlign w:val="center"/>
          </w:tcPr>
          <w:p w14:paraId="0B2D2490"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4</w:t>
            </w:r>
          </w:p>
        </w:tc>
      </w:tr>
      <w:tr w:rsidR="00BC29B7" w14:paraId="1A4ECED2" w14:textId="77777777" w:rsidTr="00E003D6">
        <w:trPr>
          <w:trHeight w:val="300"/>
        </w:trPr>
        <w:tc>
          <w:tcPr>
            <w:tcW w:w="2020" w:type="dxa"/>
            <w:vMerge/>
            <w:tcBorders>
              <w:left w:val="single" w:sz="4" w:space="0" w:color="000000"/>
              <w:right w:val="single" w:sz="4" w:space="0" w:color="000000"/>
            </w:tcBorders>
            <w:shd w:val="clear" w:color="auto" w:fill="92D050"/>
            <w:tcMar>
              <w:top w:w="0" w:type="dxa"/>
              <w:left w:w="70" w:type="dxa"/>
              <w:bottom w:w="0" w:type="dxa"/>
              <w:right w:w="70" w:type="dxa"/>
            </w:tcMar>
            <w:vAlign w:val="center"/>
          </w:tcPr>
          <w:p w14:paraId="0419DB74" w14:textId="77777777" w:rsidR="00BC29B7" w:rsidRDefault="00BC29B7">
            <w:pPr>
              <w:spacing w:after="0" w:line="240" w:lineRule="auto"/>
              <w:jc w:val="center"/>
              <w:rPr>
                <w:rFonts w:eastAsia="Times New Roman" w:cs="Calibri"/>
                <w:b/>
                <w:bCs/>
                <w:sz w:val="24"/>
                <w:szCs w:val="24"/>
                <w:lang w:eastAsia="cs-CZ"/>
              </w:rPr>
            </w:pPr>
          </w:p>
        </w:tc>
        <w:tc>
          <w:tcPr>
            <w:tcW w:w="957"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F04AB82"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celkové výdaje</w:t>
            </w:r>
          </w:p>
        </w:tc>
        <w:tc>
          <w:tcPr>
            <w:tcW w:w="146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34872D"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20 300 000</w:t>
            </w:r>
          </w:p>
        </w:tc>
        <w:tc>
          <w:tcPr>
            <w:tcW w:w="15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328104"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5 000 000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8C7514"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w:t>
            </w:r>
          </w:p>
        </w:tc>
        <w:tc>
          <w:tcPr>
            <w:tcW w:w="1863" w:type="dxa"/>
            <w:tcBorders>
              <w:bottom w:val="single" w:sz="4" w:space="0" w:color="000000"/>
              <w:right w:val="single" w:sz="4" w:space="0" w:color="000000"/>
            </w:tcBorders>
            <w:shd w:val="clear" w:color="auto" w:fill="D9D9D9"/>
            <w:noWrap/>
            <w:tcMar>
              <w:top w:w="0" w:type="dxa"/>
              <w:left w:w="70" w:type="dxa"/>
              <w:bottom w:w="0" w:type="dxa"/>
              <w:right w:w="70" w:type="dxa"/>
            </w:tcMar>
            <w:vAlign w:val="center"/>
          </w:tcPr>
          <w:p w14:paraId="12747F92"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25 300 000</w:t>
            </w:r>
          </w:p>
        </w:tc>
      </w:tr>
      <w:tr w:rsidR="00BC29B7" w14:paraId="63120A51" w14:textId="77777777" w:rsidTr="00E003D6">
        <w:trPr>
          <w:trHeight w:val="300"/>
        </w:trPr>
        <w:tc>
          <w:tcPr>
            <w:tcW w:w="2020" w:type="dxa"/>
            <w:vMerge w:val="restart"/>
            <w:tcBorders>
              <w:left w:val="single" w:sz="4" w:space="0" w:color="000000"/>
              <w:right w:val="single" w:sz="4" w:space="0" w:color="000000"/>
            </w:tcBorders>
            <w:shd w:val="clear" w:color="auto" w:fill="B4C6E7"/>
            <w:tcMar>
              <w:top w:w="0" w:type="dxa"/>
              <w:left w:w="70" w:type="dxa"/>
              <w:bottom w:w="0" w:type="dxa"/>
              <w:right w:w="70" w:type="dxa"/>
            </w:tcMar>
            <w:vAlign w:val="center"/>
          </w:tcPr>
          <w:p w14:paraId="5C610C67"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Česká agentura pro standardizaci</w:t>
            </w:r>
          </w:p>
        </w:tc>
        <w:tc>
          <w:tcPr>
            <w:tcW w:w="957"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225BB84"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nové úvazky</w:t>
            </w:r>
          </w:p>
        </w:tc>
        <w:tc>
          <w:tcPr>
            <w:tcW w:w="146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97603D"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5</w:t>
            </w:r>
          </w:p>
        </w:tc>
        <w:tc>
          <w:tcPr>
            <w:tcW w:w="15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53E138"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F4121D"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0</w:t>
            </w:r>
          </w:p>
        </w:tc>
        <w:tc>
          <w:tcPr>
            <w:tcW w:w="1863" w:type="dxa"/>
            <w:tcBorders>
              <w:bottom w:val="single" w:sz="4" w:space="0" w:color="000000"/>
              <w:right w:val="single" w:sz="4" w:space="0" w:color="000000"/>
            </w:tcBorders>
            <w:shd w:val="clear" w:color="auto" w:fill="D9D9D9"/>
            <w:noWrap/>
            <w:tcMar>
              <w:top w:w="0" w:type="dxa"/>
              <w:left w:w="70" w:type="dxa"/>
              <w:bottom w:w="0" w:type="dxa"/>
              <w:right w:w="70" w:type="dxa"/>
            </w:tcMar>
            <w:vAlign w:val="center"/>
          </w:tcPr>
          <w:p w14:paraId="4067A42C"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5</w:t>
            </w:r>
          </w:p>
        </w:tc>
      </w:tr>
      <w:tr w:rsidR="00BC29B7" w14:paraId="56634C19" w14:textId="77777777" w:rsidTr="00E003D6">
        <w:trPr>
          <w:trHeight w:val="300"/>
        </w:trPr>
        <w:tc>
          <w:tcPr>
            <w:tcW w:w="2020" w:type="dxa"/>
            <w:vMerge/>
            <w:tcBorders>
              <w:left w:val="single" w:sz="4" w:space="0" w:color="000000"/>
              <w:right w:val="single" w:sz="4" w:space="0" w:color="000000"/>
            </w:tcBorders>
            <w:shd w:val="clear" w:color="auto" w:fill="B4C6E7"/>
            <w:tcMar>
              <w:top w:w="0" w:type="dxa"/>
              <w:left w:w="70" w:type="dxa"/>
              <w:bottom w:w="0" w:type="dxa"/>
              <w:right w:w="70" w:type="dxa"/>
            </w:tcMar>
            <w:vAlign w:val="center"/>
          </w:tcPr>
          <w:p w14:paraId="4622B991" w14:textId="77777777" w:rsidR="00BC29B7" w:rsidRDefault="00BC29B7">
            <w:pPr>
              <w:spacing w:after="0" w:line="240" w:lineRule="auto"/>
              <w:jc w:val="center"/>
              <w:rPr>
                <w:rFonts w:eastAsia="Times New Roman" w:cs="Calibri"/>
                <w:b/>
                <w:bCs/>
                <w:sz w:val="24"/>
                <w:szCs w:val="24"/>
                <w:lang w:eastAsia="cs-CZ"/>
              </w:rPr>
            </w:pPr>
          </w:p>
        </w:tc>
        <w:tc>
          <w:tcPr>
            <w:tcW w:w="957"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D35B7FB"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celkové výdaje</w:t>
            </w:r>
          </w:p>
        </w:tc>
        <w:tc>
          <w:tcPr>
            <w:tcW w:w="146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0DFFCE3"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20 451 500</w:t>
            </w:r>
          </w:p>
        </w:tc>
        <w:tc>
          <w:tcPr>
            <w:tcW w:w="15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F56F1A"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12 351 000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1B3FBBB"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12 351 000</w:t>
            </w:r>
          </w:p>
        </w:tc>
        <w:tc>
          <w:tcPr>
            <w:tcW w:w="1863" w:type="dxa"/>
            <w:tcBorders>
              <w:bottom w:val="single" w:sz="4" w:space="0" w:color="000000"/>
              <w:right w:val="single" w:sz="4" w:space="0" w:color="000000"/>
            </w:tcBorders>
            <w:shd w:val="clear" w:color="auto" w:fill="D9D9D9"/>
            <w:noWrap/>
            <w:tcMar>
              <w:top w:w="0" w:type="dxa"/>
              <w:left w:w="70" w:type="dxa"/>
              <w:bottom w:w="0" w:type="dxa"/>
              <w:right w:w="70" w:type="dxa"/>
            </w:tcMar>
            <w:vAlign w:val="center"/>
          </w:tcPr>
          <w:p w14:paraId="00CD131F"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45 153 500</w:t>
            </w:r>
          </w:p>
        </w:tc>
      </w:tr>
      <w:tr w:rsidR="00BC29B7" w14:paraId="5A782BE8" w14:textId="77777777" w:rsidTr="00E003D6">
        <w:trPr>
          <w:trHeight w:val="300"/>
        </w:trPr>
        <w:tc>
          <w:tcPr>
            <w:tcW w:w="2020" w:type="dxa"/>
            <w:vMerge w:val="restart"/>
            <w:tcBorders>
              <w:left w:val="single" w:sz="4" w:space="0" w:color="000000"/>
              <w:right w:val="single" w:sz="4" w:space="0" w:color="000000"/>
            </w:tcBorders>
            <w:shd w:val="clear" w:color="auto" w:fill="auto"/>
            <w:tcMar>
              <w:top w:w="0" w:type="dxa"/>
              <w:left w:w="70" w:type="dxa"/>
              <w:bottom w:w="0" w:type="dxa"/>
              <w:right w:w="70" w:type="dxa"/>
            </w:tcMar>
            <w:vAlign w:val="center"/>
          </w:tcPr>
          <w:p w14:paraId="3A6B51FF"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MPO</w:t>
            </w:r>
          </w:p>
        </w:tc>
        <w:tc>
          <w:tcPr>
            <w:tcW w:w="957"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2356CB1" w14:textId="5E585F85"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úvazky</w:t>
            </w:r>
            <w:r w:rsidR="001D1962">
              <w:rPr>
                <w:rFonts w:eastAsia="Times New Roman" w:cs="Calibri"/>
                <w:sz w:val="24"/>
                <w:szCs w:val="24"/>
                <w:lang w:eastAsia="cs-CZ"/>
              </w:rPr>
              <w:t xml:space="preserve"> ze stávajících kapacit</w:t>
            </w:r>
          </w:p>
        </w:tc>
        <w:tc>
          <w:tcPr>
            <w:tcW w:w="146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6979FF7" w14:textId="06AEDDA6" w:rsidR="00BC29B7" w:rsidRDefault="005860F6">
            <w:pPr>
              <w:spacing w:after="0" w:line="240" w:lineRule="auto"/>
              <w:jc w:val="center"/>
              <w:rPr>
                <w:rFonts w:eastAsia="Times New Roman" w:cs="Calibri"/>
                <w:sz w:val="24"/>
                <w:szCs w:val="24"/>
                <w:lang w:eastAsia="cs-CZ"/>
              </w:rPr>
            </w:pPr>
            <w:r>
              <w:rPr>
                <w:rFonts w:eastAsia="Times New Roman" w:cs="Calibri"/>
                <w:sz w:val="24"/>
                <w:szCs w:val="24"/>
                <w:lang w:eastAsia="cs-CZ"/>
              </w:rPr>
              <w:t>12</w:t>
            </w:r>
          </w:p>
        </w:tc>
        <w:tc>
          <w:tcPr>
            <w:tcW w:w="151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1E07C27"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07D191"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0</w:t>
            </w:r>
          </w:p>
        </w:tc>
        <w:tc>
          <w:tcPr>
            <w:tcW w:w="1863" w:type="dxa"/>
            <w:tcBorders>
              <w:bottom w:val="single" w:sz="4" w:space="0" w:color="000000"/>
              <w:right w:val="single" w:sz="4" w:space="0" w:color="000000"/>
            </w:tcBorders>
            <w:shd w:val="clear" w:color="auto" w:fill="D9D9D9"/>
            <w:noWrap/>
            <w:tcMar>
              <w:top w:w="0" w:type="dxa"/>
              <w:left w:w="70" w:type="dxa"/>
              <w:bottom w:w="0" w:type="dxa"/>
              <w:right w:w="70" w:type="dxa"/>
            </w:tcMar>
            <w:vAlign w:val="center"/>
          </w:tcPr>
          <w:p w14:paraId="42FF62A5" w14:textId="202E7FA1" w:rsidR="00BC29B7" w:rsidRDefault="005860F6">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12</w:t>
            </w:r>
          </w:p>
        </w:tc>
      </w:tr>
      <w:tr w:rsidR="00BC29B7" w14:paraId="7364C3BB" w14:textId="77777777" w:rsidTr="00F36206">
        <w:trPr>
          <w:trHeight w:val="300"/>
        </w:trPr>
        <w:tc>
          <w:tcPr>
            <w:tcW w:w="2020" w:type="dxa"/>
            <w:vMerge/>
            <w:tcBorders>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4F394690" w14:textId="77777777" w:rsidR="00BC29B7" w:rsidRDefault="00BC29B7">
            <w:pPr>
              <w:spacing w:after="0" w:line="240" w:lineRule="auto"/>
              <w:jc w:val="center"/>
              <w:rPr>
                <w:rFonts w:eastAsia="Times New Roman" w:cs="Calibri"/>
                <w:sz w:val="24"/>
                <w:szCs w:val="24"/>
                <w:lang w:eastAsia="cs-CZ"/>
              </w:rPr>
            </w:pPr>
          </w:p>
        </w:tc>
        <w:tc>
          <w:tcPr>
            <w:tcW w:w="957" w:type="dxa"/>
            <w:tcBorders>
              <w:bottom w:val="single" w:sz="4" w:space="0" w:color="auto"/>
              <w:right w:val="single" w:sz="4" w:space="0" w:color="000000"/>
            </w:tcBorders>
            <w:shd w:val="clear" w:color="auto" w:fill="auto"/>
            <w:tcMar>
              <w:top w:w="0" w:type="dxa"/>
              <w:left w:w="70" w:type="dxa"/>
              <w:bottom w:w="0" w:type="dxa"/>
              <w:right w:w="70" w:type="dxa"/>
            </w:tcMar>
            <w:vAlign w:val="center"/>
          </w:tcPr>
          <w:p w14:paraId="6354CFA3"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celkové výdaje</w:t>
            </w:r>
          </w:p>
        </w:tc>
        <w:tc>
          <w:tcPr>
            <w:tcW w:w="1463"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14:paraId="47AE8B70" w14:textId="56AC62EB"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0</w:t>
            </w:r>
          </w:p>
        </w:tc>
        <w:tc>
          <w:tcPr>
            <w:tcW w:w="1514"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14:paraId="0E281EC2" w14:textId="2E5BB0FB"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0</w:t>
            </w:r>
          </w:p>
        </w:tc>
        <w:tc>
          <w:tcPr>
            <w:tcW w:w="1559"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14:paraId="3430AE80" w14:textId="0EA15E56"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t>0</w:t>
            </w:r>
          </w:p>
        </w:tc>
        <w:tc>
          <w:tcPr>
            <w:tcW w:w="1863" w:type="dxa"/>
            <w:tcBorders>
              <w:bottom w:val="single" w:sz="4" w:space="0" w:color="auto"/>
              <w:right w:val="single" w:sz="4" w:space="0" w:color="000000"/>
            </w:tcBorders>
            <w:shd w:val="clear" w:color="auto" w:fill="D9D9D9"/>
            <w:noWrap/>
            <w:tcMar>
              <w:top w:w="0" w:type="dxa"/>
              <w:left w:w="70" w:type="dxa"/>
              <w:bottom w:w="0" w:type="dxa"/>
              <w:right w:w="70" w:type="dxa"/>
            </w:tcMar>
            <w:vAlign w:val="center"/>
          </w:tcPr>
          <w:p w14:paraId="4AA33CEA" w14:textId="5FACB1DA"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0</w:t>
            </w:r>
          </w:p>
        </w:tc>
      </w:tr>
      <w:tr w:rsidR="00BC29B7" w14:paraId="1915B02A" w14:textId="77777777" w:rsidTr="00F36206">
        <w:trPr>
          <w:trHeight w:val="300"/>
        </w:trPr>
        <w:tc>
          <w:tcPr>
            <w:tcW w:w="2020" w:type="dxa"/>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tcPr>
          <w:p w14:paraId="7BB5DE42"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Celkem nové úvazky</w:t>
            </w:r>
          </w:p>
        </w:tc>
        <w:tc>
          <w:tcPr>
            <w:tcW w:w="957" w:type="dxa"/>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tcPr>
          <w:p w14:paraId="0B1C779A" w14:textId="77777777" w:rsidR="00BC29B7" w:rsidRDefault="00BC29B7">
            <w:pPr>
              <w:spacing w:after="0" w:line="240" w:lineRule="auto"/>
              <w:jc w:val="center"/>
              <w:rPr>
                <w:rFonts w:eastAsia="Times New Roman" w:cs="Calibri"/>
                <w:b/>
                <w:bCs/>
                <w:sz w:val="24"/>
                <w:szCs w:val="24"/>
                <w:lang w:eastAsia="cs-CZ"/>
              </w:rPr>
            </w:pPr>
          </w:p>
        </w:tc>
        <w:tc>
          <w:tcPr>
            <w:tcW w:w="1463"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vAlign w:val="center"/>
          </w:tcPr>
          <w:p w14:paraId="5E24F887" w14:textId="7F556B39" w:rsidR="00BC29B7" w:rsidRDefault="001D1962">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24</w:t>
            </w:r>
          </w:p>
        </w:tc>
        <w:tc>
          <w:tcPr>
            <w:tcW w:w="1514"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vAlign w:val="center"/>
          </w:tcPr>
          <w:p w14:paraId="4B5F4BFA"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8</w:t>
            </w:r>
          </w:p>
        </w:tc>
        <w:tc>
          <w:tcPr>
            <w:tcW w:w="1559"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vAlign w:val="center"/>
          </w:tcPr>
          <w:p w14:paraId="21F2961B"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16</w:t>
            </w:r>
          </w:p>
        </w:tc>
        <w:tc>
          <w:tcPr>
            <w:tcW w:w="1863"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vAlign w:val="center"/>
          </w:tcPr>
          <w:p w14:paraId="72754CF1" w14:textId="0AFF57DB" w:rsidR="00BC29B7" w:rsidRDefault="001D1962">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48</w:t>
            </w:r>
          </w:p>
        </w:tc>
      </w:tr>
      <w:tr w:rsidR="001D1962" w14:paraId="2A1E6F8F" w14:textId="77777777" w:rsidTr="00F36206">
        <w:trPr>
          <w:trHeight w:val="300"/>
        </w:trPr>
        <w:tc>
          <w:tcPr>
            <w:tcW w:w="2020" w:type="dxa"/>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tcPr>
          <w:p w14:paraId="0373F041" w14:textId="14F051DC" w:rsidR="001D1962" w:rsidRDefault="001D1962">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Celkem úvazky ze stávajících kapacit</w:t>
            </w:r>
          </w:p>
        </w:tc>
        <w:tc>
          <w:tcPr>
            <w:tcW w:w="957" w:type="dxa"/>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tcPr>
          <w:p w14:paraId="11D4A417" w14:textId="77777777" w:rsidR="001D1962" w:rsidRDefault="001D1962">
            <w:pPr>
              <w:spacing w:after="0" w:line="240" w:lineRule="auto"/>
              <w:jc w:val="center"/>
              <w:rPr>
                <w:rFonts w:eastAsia="Times New Roman" w:cs="Calibri"/>
                <w:b/>
                <w:bCs/>
                <w:sz w:val="24"/>
                <w:szCs w:val="24"/>
                <w:lang w:eastAsia="cs-CZ"/>
              </w:rPr>
            </w:pPr>
          </w:p>
        </w:tc>
        <w:tc>
          <w:tcPr>
            <w:tcW w:w="1463"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vAlign w:val="center"/>
          </w:tcPr>
          <w:p w14:paraId="25A7BBDB" w14:textId="0C895EA1" w:rsidR="001D1962" w:rsidRDefault="001D1962">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12</w:t>
            </w:r>
          </w:p>
        </w:tc>
        <w:tc>
          <w:tcPr>
            <w:tcW w:w="1514"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vAlign w:val="center"/>
          </w:tcPr>
          <w:p w14:paraId="2EDE8E8F" w14:textId="0CFFF506" w:rsidR="001D1962" w:rsidRDefault="001D1962">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0</w:t>
            </w:r>
          </w:p>
        </w:tc>
        <w:tc>
          <w:tcPr>
            <w:tcW w:w="1559"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vAlign w:val="center"/>
          </w:tcPr>
          <w:p w14:paraId="2B0FE129" w14:textId="526792F0" w:rsidR="001D1962" w:rsidRDefault="001D1962">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0</w:t>
            </w:r>
          </w:p>
        </w:tc>
        <w:tc>
          <w:tcPr>
            <w:tcW w:w="1863"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vAlign w:val="center"/>
          </w:tcPr>
          <w:p w14:paraId="1B3DBA3D" w14:textId="535E680A" w:rsidR="001D1962" w:rsidRDefault="001D1962">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12</w:t>
            </w:r>
          </w:p>
        </w:tc>
      </w:tr>
      <w:tr w:rsidR="00BC29B7" w14:paraId="670AF1F9" w14:textId="77777777" w:rsidTr="00F36206">
        <w:trPr>
          <w:trHeight w:val="300"/>
        </w:trPr>
        <w:tc>
          <w:tcPr>
            <w:tcW w:w="2020" w:type="dxa"/>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tcPr>
          <w:p w14:paraId="70140369" w14:textId="77777777" w:rsidR="00BC29B7" w:rsidRDefault="00B842A1">
            <w:pPr>
              <w:spacing w:after="0" w:line="240" w:lineRule="auto"/>
              <w:jc w:val="center"/>
            </w:pPr>
            <w:r>
              <w:rPr>
                <w:rFonts w:eastAsia="Times New Roman" w:cs="Calibri"/>
                <w:b/>
                <w:bCs/>
                <w:sz w:val="24"/>
                <w:szCs w:val="24"/>
                <w:lang w:eastAsia="cs-CZ"/>
              </w:rPr>
              <w:t>Celkem celkové výdaje (Kč)</w:t>
            </w:r>
          </w:p>
        </w:tc>
        <w:tc>
          <w:tcPr>
            <w:tcW w:w="957" w:type="dxa"/>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tcPr>
          <w:p w14:paraId="4AD3D046" w14:textId="77777777" w:rsidR="00BC29B7" w:rsidRDefault="00BC29B7">
            <w:pPr>
              <w:spacing w:after="0" w:line="240" w:lineRule="auto"/>
              <w:jc w:val="center"/>
              <w:rPr>
                <w:rFonts w:eastAsia="Times New Roman" w:cs="Calibri"/>
                <w:b/>
                <w:bCs/>
                <w:sz w:val="24"/>
                <w:szCs w:val="24"/>
                <w:lang w:eastAsia="cs-CZ"/>
              </w:rPr>
            </w:pPr>
          </w:p>
        </w:tc>
        <w:tc>
          <w:tcPr>
            <w:tcW w:w="1463"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vAlign w:val="center"/>
          </w:tcPr>
          <w:p w14:paraId="3AE9F475" w14:textId="2E2E6C7D"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7</w:t>
            </w:r>
            <w:r w:rsidR="00F73CF2">
              <w:rPr>
                <w:rFonts w:eastAsia="Times New Roman" w:cs="Calibri"/>
                <w:b/>
                <w:bCs/>
                <w:sz w:val="24"/>
                <w:szCs w:val="24"/>
                <w:lang w:eastAsia="cs-CZ"/>
              </w:rPr>
              <w:t>3</w:t>
            </w:r>
            <w:r>
              <w:rPr>
                <w:rFonts w:eastAsia="Times New Roman" w:cs="Calibri"/>
                <w:b/>
                <w:bCs/>
                <w:sz w:val="24"/>
                <w:szCs w:val="24"/>
                <w:lang w:eastAsia="cs-CZ"/>
              </w:rPr>
              <w:t xml:space="preserve"> </w:t>
            </w:r>
            <w:r w:rsidR="00F73CF2">
              <w:rPr>
                <w:rFonts w:eastAsia="Times New Roman" w:cs="Calibri"/>
                <w:b/>
                <w:bCs/>
                <w:sz w:val="24"/>
                <w:szCs w:val="24"/>
                <w:lang w:eastAsia="cs-CZ"/>
              </w:rPr>
              <w:t>15</w:t>
            </w:r>
            <w:r>
              <w:rPr>
                <w:rFonts w:eastAsia="Times New Roman" w:cs="Calibri"/>
                <w:b/>
                <w:bCs/>
                <w:sz w:val="24"/>
                <w:szCs w:val="24"/>
                <w:lang w:eastAsia="cs-CZ"/>
              </w:rPr>
              <w:t>6 300</w:t>
            </w:r>
          </w:p>
        </w:tc>
        <w:tc>
          <w:tcPr>
            <w:tcW w:w="1514"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vAlign w:val="center"/>
          </w:tcPr>
          <w:p w14:paraId="3C53FCFA" w14:textId="7A2FB307" w:rsidR="00BC29B7" w:rsidRDefault="00F73CF2">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58</w:t>
            </w:r>
            <w:r w:rsidR="00B842A1">
              <w:rPr>
                <w:rFonts w:eastAsia="Times New Roman" w:cs="Calibri"/>
                <w:b/>
                <w:bCs/>
                <w:sz w:val="24"/>
                <w:szCs w:val="24"/>
                <w:lang w:eastAsia="cs-CZ"/>
              </w:rPr>
              <w:t xml:space="preserve"> </w:t>
            </w:r>
            <w:r>
              <w:rPr>
                <w:rFonts w:eastAsia="Times New Roman" w:cs="Calibri"/>
                <w:b/>
                <w:bCs/>
                <w:sz w:val="24"/>
                <w:szCs w:val="24"/>
                <w:lang w:eastAsia="cs-CZ"/>
              </w:rPr>
              <w:t>190</w:t>
            </w:r>
            <w:r w:rsidR="00B842A1">
              <w:rPr>
                <w:rFonts w:eastAsia="Times New Roman" w:cs="Calibri"/>
                <w:b/>
                <w:bCs/>
                <w:sz w:val="24"/>
                <w:szCs w:val="24"/>
                <w:lang w:eastAsia="cs-CZ"/>
              </w:rPr>
              <w:t xml:space="preserve"> 600</w:t>
            </w:r>
          </w:p>
        </w:tc>
        <w:tc>
          <w:tcPr>
            <w:tcW w:w="1559"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vAlign w:val="center"/>
          </w:tcPr>
          <w:p w14:paraId="7D1CDFCE" w14:textId="51DFD53C"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10</w:t>
            </w:r>
            <w:r w:rsidR="00F73CF2">
              <w:rPr>
                <w:rFonts w:eastAsia="Times New Roman" w:cs="Calibri"/>
                <w:b/>
                <w:bCs/>
                <w:sz w:val="24"/>
                <w:szCs w:val="24"/>
                <w:lang w:eastAsia="cs-CZ"/>
              </w:rPr>
              <w:t>1</w:t>
            </w:r>
            <w:r>
              <w:rPr>
                <w:rFonts w:eastAsia="Times New Roman" w:cs="Calibri"/>
                <w:b/>
                <w:bCs/>
                <w:sz w:val="24"/>
                <w:szCs w:val="24"/>
                <w:lang w:eastAsia="cs-CZ"/>
              </w:rPr>
              <w:t xml:space="preserve"> </w:t>
            </w:r>
            <w:r w:rsidR="00F73CF2">
              <w:rPr>
                <w:rFonts w:eastAsia="Times New Roman" w:cs="Calibri"/>
                <w:b/>
                <w:bCs/>
                <w:sz w:val="24"/>
                <w:szCs w:val="24"/>
                <w:lang w:eastAsia="cs-CZ"/>
              </w:rPr>
              <w:t>18</w:t>
            </w:r>
            <w:r>
              <w:rPr>
                <w:rFonts w:eastAsia="Times New Roman" w:cs="Calibri"/>
                <w:b/>
                <w:bCs/>
                <w:sz w:val="24"/>
                <w:szCs w:val="24"/>
                <w:lang w:eastAsia="cs-CZ"/>
              </w:rPr>
              <w:t>0 200</w:t>
            </w:r>
          </w:p>
        </w:tc>
        <w:tc>
          <w:tcPr>
            <w:tcW w:w="1863"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vAlign w:val="center"/>
          </w:tcPr>
          <w:p w14:paraId="57C2CBA2" w14:textId="66BCB754" w:rsidR="00BC29B7" w:rsidRDefault="00B842A1">
            <w:pPr>
              <w:spacing w:after="0" w:line="240" w:lineRule="auto"/>
              <w:jc w:val="center"/>
            </w:pPr>
            <w:r>
              <w:rPr>
                <w:rFonts w:eastAsia="Times New Roman" w:cs="Calibri"/>
                <w:b/>
                <w:bCs/>
                <w:sz w:val="24"/>
                <w:szCs w:val="24"/>
                <w:lang w:eastAsia="cs-CZ"/>
              </w:rPr>
              <w:t>2</w:t>
            </w:r>
            <w:r w:rsidR="00F73CF2">
              <w:rPr>
                <w:rFonts w:eastAsia="Times New Roman" w:cs="Calibri"/>
                <w:b/>
                <w:bCs/>
                <w:sz w:val="24"/>
                <w:szCs w:val="24"/>
                <w:lang w:eastAsia="cs-CZ"/>
              </w:rPr>
              <w:t>32</w:t>
            </w:r>
            <w:r>
              <w:rPr>
                <w:rFonts w:eastAsia="Times New Roman" w:cs="Calibri"/>
                <w:b/>
                <w:bCs/>
                <w:sz w:val="24"/>
                <w:szCs w:val="24"/>
                <w:lang w:eastAsia="cs-CZ"/>
              </w:rPr>
              <w:t xml:space="preserve"> </w:t>
            </w:r>
            <w:r w:rsidR="00F73CF2">
              <w:rPr>
                <w:rFonts w:eastAsia="Times New Roman" w:cs="Calibri"/>
                <w:b/>
                <w:bCs/>
                <w:sz w:val="24"/>
                <w:szCs w:val="24"/>
                <w:lang w:eastAsia="cs-CZ"/>
              </w:rPr>
              <w:t>52</w:t>
            </w:r>
            <w:r>
              <w:rPr>
                <w:rFonts w:eastAsia="Times New Roman" w:cs="Calibri"/>
                <w:b/>
                <w:bCs/>
                <w:sz w:val="24"/>
                <w:szCs w:val="24"/>
                <w:lang w:eastAsia="cs-CZ"/>
              </w:rPr>
              <w:t>7 100</w:t>
            </w:r>
          </w:p>
        </w:tc>
      </w:tr>
    </w:tbl>
    <w:p w14:paraId="39AFC92B" w14:textId="2ABB4A7F" w:rsidR="00BC29B7" w:rsidRDefault="00BC29B7">
      <w:pPr>
        <w:spacing w:before="100" w:after="100" w:line="240" w:lineRule="auto"/>
        <w:ind w:left="357"/>
        <w:jc w:val="both"/>
        <w:rPr>
          <w:rFonts w:eastAsia="Times New Roman" w:cs="Calibri"/>
          <w:b/>
          <w:bCs/>
          <w:sz w:val="24"/>
          <w:szCs w:val="24"/>
          <w:lang w:eastAsia="cs-CZ"/>
        </w:rPr>
      </w:pPr>
    </w:p>
    <w:p w14:paraId="6E25B5E3" w14:textId="37BFB7CE" w:rsidR="00F36206" w:rsidRDefault="00F36206">
      <w:pPr>
        <w:spacing w:before="100" w:after="100" w:line="240" w:lineRule="auto"/>
        <w:ind w:left="357"/>
        <w:jc w:val="both"/>
        <w:rPr>
          <w:rFonts w:eastAsia="Times New Roman" w:cs="Calibri"/>
          <w:b/>
          <w:bCs/>
          <w:sz w:val="24"/>
          <w:szCs w:val="24"/>
          <w:lang w:eastAsia="cs-CZ"/>
        </w:rPr>
      </w:pPr>
    </w:p>
    <w:p w14:paraId="58226B3C" w14:textId="2F2CF7AF" w:rsidR="00BC29B7" w:rsidRDefault="00B842A1">
      <w:pPr>
        <w:spacing w:after="0" w:line="312" w:lineRule="auto"/>
        <w:jc w:val="both"/>
      </w:pPr>
      <w:r>
        <w:rPr>
          <w:rFonts w:cs="Calibri"/>
          <w:b/>
          <w:bCs/>
          <w:sz w:val="24"/>
          <w:szCs w:val="24"/>
        </w:rPr>
        <w:t xml:space="preserve">Shrnující přehled jednotlivých orgánů pro implementaci AI Aktu s počty nových míst </w:t>
      </w:r>
    </w:p>
    <w:p w14:paraId="245ED638" w14:textId="77777777" w:rsidR="00BC29B7" w:rsidRDefault="00B842A1">
      <w:pPr>
        <w:spacing w:after="200" w:line="340" w:lineRule="exact"/>
        <w:jc w:val="both"/>
      </w:pPr>
      <w:r>
        <w:rPr>
          <w:rFonts w:eastAsia="Times New Roman" w:cs="Calibri"/>
          <w:b/>
          <w:bCs/>
          <w:color w:val="auto"/>
          <w:sz w:val="24"/>
          <w:szCs w:val="24"/>
          <w:lang w:eastAsia="cs-CZ"/>
        </w:rPr>
        <w:t>Dozorový orgán = orgán dozoru nad trhem – Český telekomunikační úřad</w:t>
      </w:r>
    </w:p>
    <w:p w14:paraId="654CF729" w14:textId="77777777" w:rsidR="00BC29B7" w:rsidRDefault="00B842A1">
      <w:pPr>
        <w:numPr>
          <w:ilvl w:val="0"/>
          <w:numId w:val="8"/>
        </w:numPr>
        <w:spacing w:after="0" w:line="340" w:lineRule="exact"/>
        <w:contextualSpacing/>
        <w:jc w:val="both"/>
      </w:pPr>
      <w:r>
        <w:rPr>
          <w:rFonts w:eastAsia="Times New Roman" w:cs="Calibri"/>
          <w:color w:val="auto"/>
          <w:sz w:val="24"/>
          <w:szCs w:val="24"/>
          <w:lang w:eastAsia="cs-CZ"/>
        </w:rPr>
        <w:t>Vykonává dozor nad dodržováním AI Aktu, zejména má pravomoc provádět kontroly poskytovatelů AI systémů, ověřovat soulad těchto systémů s AI Aktem a ukládat poskytovatelům opatření;</w:t>
      </w:r>
    </w:p>
    <w:p w14:paraId="54B2D169" w14:textId="77777777" w:rsidR="00BC29B7" w:rsidRDefault="00B842A1">
      <w:pPr>
        <w:numPr>
          <w:ilvl w:val="0"/>
          <w:numId w:val="8"/>
        </w:numPr>
        <w:spacing w:after="0" w:line="340" w:lineRule="exact"/>
        <w:contextualSpacing/>
        <w:jc w:val="both"/>
        <w:rPr>
          <w:rFonts w:eastAsia="Times New Roman" w:cs="Calibri"/>
          <w:color w:val="auto"/>
          <w:sz w:val="24"/>
          <w:szCs w:val="24"/>
          <w:lang w:eastAsia="cs-CZ"/>
        </w:rPr>
      </w:pPr>
      <w:r>
        <w:rPr>
          <w:rFonts w:eastAsia="Times New Roman" w:cs="Calibri"/>
          <w:color w:val="auto"/>
          <w:sz w:val="24"/>
          <w:szCs w:val="24"/>
          <w:lang w:eastAsia="cs-CZ"/>
        </w:rPr>
        <w:t>Funguje jako místo pro přijetí stížností na konkrétní systémy AI;</w:t>
      </w:r>
    </w:p>
    <w:p w14:paraId="2776E2EF" w14:textId="77777777" w:rsidR="00BC29B7" w:rsidRDefault="00B842A1">
      <w:pPr>
        <w:numPr>
          <w:ilvl w:val="0"/>
          <w:numId w:val="8"/>
        </w:numPr>
        <w:spacing w:after="0" w:line="340" w:lineRule="exact"/>
        <w:contextualSpacing/>
        <w:jc w:val="both"/>
        <w:rPr>
          <w:rFonts w:eastAsia="Times New Roman" w:cs="Calibri"/>
          <w:color w:val="auto"/>
          <w:sz w:val="24"/>
          <w:szCs w:val="24"/>
          <w:lang w:eastAsia="cs-CZ"/>
        </w:rPr>
      </w:pPr>
      <w:r>
        <w:rPr>
          <w:rFonts w:eastAsia="Times New Roman" w:cs="Calibri"/>
          <w:color w:val="auto"/>
          <w:sz w:val="24"/>
          <w:szCs w:val="24"/>
          <w:lang w:eastAsia="cs-CZ"/>
        </w:rPr>
        <w:t xml:space="preserve">Vymáhá povinnosti dle AI Aktu a může udílet sankce za jejich neplnění; </w:t>
      </w:r>
    </w:p>
    <w:p w14:paraId="16ECBC6D" w14:textId="00DA20A3" w:rsidR="00BC29B7" w:rsidRDefault="00B842A1">
      <w:pPr>
        <w:numPr>
          <w:ilvl w:val="0"/>
          <w:numId w:val="8"/>
        </w:numPr>
        <w:spacing w:after="0" w:line="340" w:lineRule="exact"/>
        <w:contextualSpacing/>
        <w:jc w:val="both"/>
        <w:rPr>
          <w:rFonts w:eastAsia="Times New Roman" w:cs="Calibri"/>
          <w:color w:val="auto"/>
          <w:sz w:val="24"/>
          <w:szCs w:val="24"/>
          <w:lang w:eastAsia="cs-CZ"/>
        </w:rPr>
      </w:pPr>
      <w:r>
        <w:rPr>
          <w:rFonts w:eastAsia="Times New Roman" w:cs="Calibri"/>
          <w:color w:val="auto"/>
          <w:sz w:val="24"/>
          <w:szCs w:val="24"/>
          <w:lang w:eastAsia="cs-CZ"/>
        </w:rPr>
        <w:t>Zajišťuje komunikaci napříč Evropskou unií a s Evropskou komisí v zájmu harmonizovaného dozoru nad stejnými systémy AI</w:t>
      </w:r>
      <w:r w:rsidR="00DC5394">
        <w:rPr>
          <w:rFonts w:eastAsia="Times New Roman" w:cs="Calibri"/>
          <w:color w:val="auto"/>
          <w:sz w:val="24"/>
          <w:szCs w:val="24"/>
          <w:lang w:eastAsia="cs-CZ"/>
        </w:rPr>
        <w:t>;</w:t>
      </w:r>
    </w:p>
    <w:p w14:paraId="13054DA9" w14:textId="3F69D0D1" w:rsidR="00BC29B7" w:rsidRDefault="00B842A1">
      <w:pPr>
        <w:numPr>
          <w:ilvl w:val="0"/>
          <w:numId w:val="8"/>
        </w:numPr>
        <w:spacing w:after="0" w:line="340" w:lineRule="exact"/>
        <w:contextualSpacing/>
        <w:jc w:val="both"/>
        <w:rPr>
          <w:rFonts w:eastAsia="Times New Roman" w:cs="Calibri"/>
          <w:b/>
          <w:bCs/>
          <w:color w:val="auto"/>
          <w:sz w:val="24"/>
          <w:szCs w:val="24"/>
          <w:lang w:eastAsia="cs-CZ"/>
        </w:rPr>
      </w:pPr>
      <w:r>
        <w:rPr>
          <w:rFonts w:eastAsia="Times New Roman" w:cs="Calibri"/>
          <w:b/>
          <w:bCs/>
          <w:color w:val="auto"/>
          <w:sz w:val="24"/>
          <w:szCs w:val="24"/>
          <w:lang w:eastAsia="cs-CZ"/>
        </w:rPr>
        <w:lastRenderedPageBreak/>
        <w:t xml:space="preserve">Nových míst: 32; </w:t>
      </w:r>
    </w:p>
    <w:p w14:paraId="4D80F860" w14:textId="77777777" w:rsidR="00BC29B7" w:rsidRDefault="00B842A1">
      <w:pPr>
        <w:numPr>
          <w:ilvl w:val="0"/>
          <w:numId w:val="8"/>
        </w:numPr>
        <w:spacing w:after="0" w:line="340" w:lineRule="exact"/>
        <w:contextualSpacing/>
        <w:jc w:val="both"/>
        <w:rPr>
          <w:rFonts w:eastAsia="Times New Roman" w:cs="Calibri"/>
          <w:color w:val="auto"/>
          <w:sz w:val="24"/>
          <w:szCs w:val="24"/>
          <w:lang w:eastAsia="cs-CZ"/>
        </w:rPr>
      </w:pPr>
      <w:r>
        <w:rPr>
          <w:rFonts w:eastAsia="Times New Roman" w:cs="Calibri"/>
          <w:color w:val="auto"/>
          <w:sz w:val="24"/>
          <w:szCs w:val="24"/>
          <w:lang w:eastAsia="cs-CZ"/>
        </w:rPr>
        <w:t>Povinnost zřídit či určit plynoucí z čl. 70 AI Aktu, termín plnění: 2. srpna 2025.</w:t>
      </w:r>
    </w:p>
    <w:p w14:paraId="67C56C9D" w14:textId="77777777" w:rsidR="00BC29B7" w:rsidRDefault="00BC29B7">
      <w:pPr>
        <w:spacing w:after="200" w:line="340" w:lineRule="exact"/>
        <w:jc w:val="both"/>
        <w:rPr>
          <w:rFonts w:eastAsia="Times New Roman" w:cs="Calibri"/>
          <w:b/>
          <w:bCs/>
          <w:color w:val="auto"/>
          <w:sz w:val="24"/>
          <w:szCs w:val="24"/>
          <w:lang w:eastAsia="cs-CZ"/>
        </w:rPr>
      </w:pPr>
    </w:p>
    <w:p w14:paraId="1BE4B8E6" w14:textId="77777777" w:rsidR="00BC29B7" w:rsidRDefault="00B842A1">
      <w:pPr>
        <w:spacing w:after="200" w:line="340" w:lineRule="exact"/>
        <w:jc w:val="both"/>
      </w:pPr>
      <w:r>
        <w:rPr>
          <w:rFonts w:eastAsia="Times New Roman" w:cs="Calibri"/>
          <w:b/>
          <w:bCs/>
          <w:color w:val="auto"/>
          <w:sz w:val="24"/>
          <w:szCs w:val="24"/>
          <w:lang w:eastAsia="cs-CZ"/>
        </w:rPr>
        <w:t xml:space="preserve">Oznamující orgán – </w:t>
      </w:r>
      <w:r>
        <w:rPr>
          <w:rFonts w:eastAsia="Times New Roman" w:cs="Calibri"/>
          <w:b/>
          <w:bCs/>
          <w:sz w:val="24"/>
          <w:szCs w:val="24"/>
          <w:lang w:eastAsia="cs-CZ"/>
        </w:rPr>
        <w:t>Úřad pro technickou normalizaci, metrologii a státní zkušebnictví</w:t>
      </w:r>
    </w:p>
    <w:p w14:paraId="30961EAE" w14:textId="77777777" w:rsidR="00BC29B7" w:rsidRDefault="00B842A1">
      <w:pPr>
        <w:numPr>
          <w:ilvl w:val="0"/>
          <w:numId w:val="8"/>
        </w:numPr>
        <w:spacing w:after="0" w:line="340" w:lineRule="exact"/>
        <w:contextualSpacing/>
        <w:jc w:val="both"/>
        <w:rPr>
          <w:rFonts w:eastAsia="Times New Roman" w:cs="Calibri"/>
          <w:color w:val="auto"/>
          <w:sz w:val="24"/>
          <w:szCs w:val="24"/>
          <w:lang w:eastAsia="cs-CZ"/>
        </w:rPr>
      </w:pPr>
      <w:r>
        <w:rPr>
          <w:rFonts w:eastAsia="Times New Roman" w:cs="Calibri"/>
          <w:color w:val="auto"/>
          <w:sz w:val="24"/>
          <w:szCs w:val="24"/>
          <w:lang w:eastAsia="cs-CZ"/>
        </w:rPr>
        <w:t xml:space="preserve">Provádí postupy nezbytné pro posuzování shody vysoce rizikových systémů AI; </w:t>
      </w:r>
    </w:p>
    <w:p w14:paraId="0A23CBDC" w14:textId="77777777" w:rsidR="00BC29B7" w:rsidRDefault="00B842A1">
      <w:pPr>
        <w:numPr>
          <w:ilvl w:val="0"/>
          <w:numId w:val="8"/>
        </w:numPr>
        <w:spacing w:after="0" w:line="340" w:lineRule="exact"/>
        <w:contextualSpacing/>
        <w:jc w:val="both"/>
        <w:rPr>
          <w:rFonts w:eastAsia="Times New Roman" w:cs="Calibri"/>
          <w:color w:val="auto"/>
          <w:sz w:val="24"/>
          <w:szCs w:val="24"/>
          <w:lang w:eastAsia="cs-CZ"/>
        </w:rPr>
      </w:pPr>
      <w:r>
        <w:rPr>
          <w:rFonts w:eastAsia="Times New Roman" w:cs="Calibri"/>
          <w:color w:val="auto"/>
          <w:sz w:val="24"/>
          <w:szCs w:val="24"/>
          <w:lang w:eastAsia="cs-CZ"/>
        </w:rPr>
        <w:t xml:space="preserve">Jmenuje a oznamuje subjekty posuzování shody; </w:t>
      </w:r>
    </w:p>
    <w:p w14:paraId="1A5077D0" w14:textId="77777777" w:rsidR="00BC29B7" w:rsidRDefault="00B842A1">
      <w:pPr>
        <w:numPr>
          <w:ilvl w:val="0"/>
          <w:numId w:val="8"/>
        </w:numPr>
        <w:spacing w:after="0" w:line="340" w:lineRule="exact"/>
        <w:contextualSpacing/>
        <w:jc w:val="both"/>
        <w:rPr>
          <w:rFonts w:eastAsia="Times New Roman" w:cs="Calibri"/>
          <w:color w:val="auto"/>
          <w:sz w:val="24"/>
          <w:szCs w:val="24"/>
          <w:lang w:eastAsia="cs-CZ"/>
        </w:rPr>
      </w:pPr>
      <w:r>
        <w:rPr>
          <w:rFonts w:eastAsia="Times New Roman" w:cs="Calibri"/>
          <w:color w:val="auto"/>
          <w:sz w:val="24"/>
          <w:szCs w:val="24"/>
          <w:lang w:eastAsia="cs-CZ"/>
        </w:rPr>
        <w:t>Odpovídá za monitorování subjektů posuzování shody;</w:t>
      </w:r>
    </w:p>
    <w:p w14:paraId="1C112594" w14:textId="6DCF9440" w:rsidR="00BC29B7" w:rsidRDefault="00B842A1">
      <w:pPr>
        <w:numPr>
          <w:ilvl w:val="0"/>
          <w:numId w:val="8"/>
        </w:numPr>
        <w:spacing w:after="0" w:line="340" w:lineRule="exact"/>
        <w:contextualSpacing/>
        <w:jc w:val="both"/>
        <w:rPr>
          <w:rFonts w:eastAsia="Times New Roman" w:cs="Calibri"/>
          <w:color w:val="auto"/>
          <w:sz w:val="24"/>
          <w:szCs w:val="24"/>
          <w:lang w:eastAsia="cs-CZ"/>
        </w:rPr>
      </w:pPr>
      <w:r>
        <w:rPr>
          <w:rFonts w:eastAsia="Times New Roman" w:cs="Calibri"/>
          <w:color w:val="auto"/>
          <w:sz w:val="24"/>
          <w:szCs w:val="24"/>
          <w:lang w:eastAsia="cs-CZ"/>
        </w:rPr>
        <w:t xml:space="preserve">Spolupracuje s orgány jiných členských států; </w:t>
      </w:r>
    </w:p>
    <w:p w14:paraId="4F77407A" w14:textId="305D91BF" w:rsidR="007B7C57" w:rsidRDefault="007B7C57">
      <w:pPr>
        <w:numPr>
          <w:ilvl w:val="0"/>
          <w:numId w:val="8"/>
        </w:numPr>
        <w:spacing w:after="0" w:line="340" w:lineRule="exact"/>
        <w:contextualSpacing/>
        <w:jc w:val="both"/>
        <w:rPr>
          <w:rFonts w:eastAsia="Times New Roman" w:cs="Calibri"/>
          <w:color w:val="auto"/>
          <w:sz w:val="24"/>
          <w:szCs w:val="24"/>
          <w:lang w:eastAsia="cs-CZ"/>
        </w:rPr>
      </w:pPr>
      <w:r>
        <w:rPr>
          <w:rFonts w:eastAsia="Times New Roman" w:cs="Calibri"/>
          <w:color w:val="auto"/>
          <w:sz w:val="24"/>
          <w:szCs w:val="24"/>
          <w:lang w:eastAsia="cs-CZ"/>
        </w:rPr>
        <w:t>Projednává přestupky, resp. ukládá sankce (oznámeným subjektům);</w:t>
      </w:r>
    </w:p>
    <w:p w14:paraId="58DB6F63" w14:textId="77777777" w:rsidR="00BC29B7" w:rsidRDefault="00B842A1">
      <w:pPr>
        <w:numPr>
          <w:ilvl w:val="0"/>
          <w:numId w:val="8"/>
        </w:numPr>
        <w:spacing w:after="0" w:line="340" w:lineRule="exact"/>
        <w:contextualSpacing/>
        <w:jc w:val="both"/>
        <w:rPr>
          <w:rFonts w:eastAsia="Times New Roman" w:cs="Calibri"/>
          <w:b/>
          <w:bCs/>
          <w:color w:val="auto"/>
          <w:sz w:val="24"/>
          <w:szCs w:val="24"/>
          <w:lang w:eastAsia="cs-CZ"/>
        </w:rPr>
      </w:pPr>
      <w:r>
        <w:rPr>
          <w:rFonts w:eastAsia="Times New Roman" w:cs="Calibri"/>
          <w:b/>
          <w:bCs/>
          <w:color w:val="auto"/>
          <w:sz w:val="24"/>
          <w:szCs w:val="24"/>
          <w:lang w:eastAsia="cs-CZ"/>
        </w:rPr>
        <w:t>Nových míst: 7;</w:t>
      </w:r>
    </w:p>
    <w:p w14:paraId="2900CD06" w14:textId="5A6DF377" w:rsidR="00BC29B7" w:rsidRDefault="00B842A1" w:rsidP="00CC5963">
      <w:pPr>
        <w:numPr>
          <w:ilvl w:val="0"/>
          <w:numId w:val="8"/>
        </w:numPr>
        <w:spacing w:after="0" w:line="340" w:lineRule="exact"/>
        <w:contextualSpacing/>
        <w:jc w:val="both"/>
        <w:rPr>
          <w:rFonts w:eastAsia="Times New Roman" w:cs="Calibri"/>
          <w:color w:val="auto"/>
          <w:sz w:val="24"/>
          <w:szCs w:val="24"/>
          <w:lang w:eastAsia="cs-CZ"/>
        </w:rPr>
      </w:pPr>
      <w:r>
        <w:rPr>
          <w:rFonts w:eastAsia="Times New Roman" w:cs="Calibri"/>
          <w:color w:val="auto"/>
          <w:sz w:val="24"/>
          <w:szCs w:val="24"/>
          <w:lang w:eastAsia="cs-CZ"/>
        </w:rPr>
        <w:t>Povinnost zřídit či určit plynoucí z čl. 70 AI Aktu, termín plnění: 2. srpna 2025.</w:t>
      </w:r>
    </w:p>
    <w:p w14:paraId="4721F59F" w14:textId="77777777" w:rsidR="00CC5963" w:rsidRPr="00CC5963" w:rsidRDefault="00CC5963" w:rsidP="00CC5963">
      <w:pPr>
        <w:spacing w:after="0" w:line="340" w:lineRule="exact"/>
        <w:ind w:left="720"/>
        <w:contextualSpacing/>
        <w:jc w:val="both"/>
        <w:rPr>
          <w:rFonts w:eastAsia="Times New Roman" w:cs="Calibri"/>
          <w:color w:val="auto"/>
          <w:sz w:val="24"/>
          <w:szCs w:val="24"/>
          <w:lang w:eastAsia="cs-CZ"/>
        </w:rPr>
      </w:pPr>
    </w:p>
    <w:p w14:paraId="1EC625D7" w14:textId="77777777" w:rsidR="00BC29B7" w:rsidRDefault="00B842A1">
      <w:pPr>
        <w:spacing w:after="200" w:line="340" w:lineRule="exact"/>
        <w:jc w:val="both"/>
      </w:pPr>
      <w:r>
        <w:rPr>
          <w:rFonts w:eastAsia="Times New Roman" w:cs="Calibri"/>
          <w:b/>
          <w:bCs/>
          <w:color w:val="auto"/>
          <w:sz w:val="24"/>
          <w:szCs w:val="24"/>
          <w:lang w:eastAsia="cs-CZ"/>
        </w:rPr>
        <w:t xml:space="preserve">Oznámený subjekt </w:t>
      </w:r>
      <w:r>
        <w:rPr>
          <w:rFonts w:eastAsia="Times New Roman" w:cs="Calibri"/>
          <w:color w:val="auto"/>
          <w:sz w:val="24"/>
          <w:szCs w:val="24"/>
          <w:lang w:eastAsia="cs-CZ"/>
        </w:rPr>
        <w:t xml:space="preserve"> </w:t>
      </w:r>
    </w:p>
    <w:p w14:paraId="32A66799" w14:textId="77777777" w:rsidR="00BC29B7" w:rsidRDefault="00B842A1">
      <w:pPr>
        <w:numPr>
          <w:ilvl w:val="0"/>
          <w:numId w:val="8"/>
        </w:numPr>
        <w:spacing w:after="0" w:line="340" w:lineRule="exact"/>
        <w:contextualSpacing/>
        <w:jc w:val="both"/>
      </w:pPr>
      <w:r>
        <w:rPr>
          <w:rFonts w:eastAsia="Times New Roman" w:cs="Calibri"/>
          <w:color w:val="auto"/>
          <w:sz w:val="24"/>
          <w:szCs w:val="24"/>
          <w:lang w:eastAsia="cs-CZ"/>
        </w:rPr>
        <w:t>Oznámené subjekty musí informovat oznamující orgán o vydání, odmítnutí, omezení, pozastavení nebo zrušení certifikátů technické dokumentace EU a schválení systému managementu kvality podle požadavků Přílohy VII AI Aktu. Dále musí oznamovat okolnosti ovlivňující rozsah nebo podmínky označení a žádosti o informace od orgánů dohledu nad trhem týkající se činností posuzování shody;</w:t>
      </w:r>
    </w:p>
    <w:p w14:paraId="34E11ECA" w14:textId="77777777" w:rsidR="00BC29B7" w:rsidRDefault="00B842A1">
      <w:pPr>
        <w:numPr>
          <w:ilvl w:val="0"/>
          <w:numId w:val="8"/>
        </w:numPr>
        <w:spacing w:after="0" w:line="340" w:lineRule="exact"/>
        <w:contextualSpacing/>
        <w:jc w:val="both"/>
        <w:rPr>
          <w:rFonts w:eastAsia="Times New Roman" w:cs="Calibri"/>
          <w:b/>
          <w:bCs/>
          <w:color w:val="auto"/>
          <w:sz w:val="24"/>
          <w:szCs w:val="24"/>
          <w:lang w:eastAsia="cs-CZ"/>
        </w:rPr>
      </w:pPr>
      <w:r>
        <w:rPr>
          <w:rFonts w:eastAsia="Times New Roman" w:cs="Calibri"/>
          <w:b/>
          <w:bCs/>
          <w:color w:val="auto"/>
          <w:sz w:val="24"/>
          <w:szCs w:val="24"/>
          <w:lang w:eastAsia="cs-CZ"/>
        </w:rPr>
        <w:t>Nových míst: 4 + DPČ 4;</w:t>
      </w:r>
    </w:p>
    <w:p w14:paraId="3B670CCA" w14:textId="77777777" w:rsidR="00BC29B7" w:rsidRDefault="00B842A1">
      <w:pPr>
        <w:numPr>
          <w:ilvl w:val="0"/>
          <w:numId w:val="8"/>
        </w:numPr>
        <w:spacing w:after="0" w:line="340" w:lineRule="exact"/>
        <w:contextualSpacing/>
        <w:jc w:val="both"/>
        <w:rPr>
          <w:rFonts w:eastAsia="Times New Roman" w:cs="Calibri"/>
          <w:color w:val="auto"/>
          <w:sz w:val="24"/>
          <w:szCs w:val="24"/>
          <w:lang w:eastAsia="cs-CZ"/>
        </w:rPr>
      </w:pPr>
      <w:r>
        <w:rPr>
          <w:rFonts w:eastAsia="Times New Roman" w:cs="Calibri"/>
          <w:color w:val="auto"/>
          <w:sz w:val="24"/>
          <w:szCs w:val="24"/>
          <w:lang w:eastAsia="cs-CZ"/>
        </w:rPr>
        <w:t xml:space="preserve">Nepovinné z AI Aktu, ale nutné pro český AI sektor, termín plnění: 2. srpna 2026. </w:t>
      </w:r>
    </w:p>
    <w:p w14:paraId="7B628050" w14:textId="77777777" w:rsidR="00BC29B7" w:rsidRDefault="00BC29B7">
      <w:pPr>
        <w:spacing w:after="0" w:line="340" w:lineRule="exact"/>
        <w:ind w:left="720"/>
        <w:contextualSpacing/>
        <w:jc w:val="both"/>
        <w:rPr>
          <w:rFonts w:eastAsia="Times New Roman" w:cs="Calibri"/>
          <w:color w:val="auto"/>
          <w:sz w:val="24"/>
          <w:szCs w:val="24"/>
          <w:lang w:eastAsia="cs-CZ"/>
        </w:rPr>
      </w:pPr>
    </w:p>
    <w:p w14:paraId="0CE18297" w14:textId="0FC1EFF2" w:rsidR="00BC29B7" w:rsidRDefault="00B842A1">
      <w:pPr>
        <w:spacing w:after="200" w:line="340" w:lineRule="exact"/>
        <w:jc w:val="both"/>
        <w:rPr>
          <w:rFonts w:eastAsia="Times New Roman" w:cs="Calibri"/>
          <w:b/>
          <w:bCs/>
          <w:color w:val="auto"/>
          <w:sz w:val="24"/>
          <w:szCs w:val="24"/>
          <w:lang w:eastAsia="cs-CZ"/>
        </w:rPr>
      </w:pPr>
      <w:r>
        <w:rPr>
          <w:rFonts w:eastAsia="Times New Roman" w:cs="Calibri"/>
          <w:b/>
          <w:bCs/>
          <w:color w:val="auto"/>
          <w:sz w:val="24"/>
          <w:szCs w:val="24"/>
          <w:lang w:eastAsia="cs-CZ"/>
        </w:rPr>
        <w:t>Regula</w:t>
      </w:r>
      <w:r w:rsidR="00C01798">
        <w:rPr>
          <w:rFonts w:eastAsia="Times New Roman" w:cs="Calibri"/>
          <w:b/>
          <w:bCs/>
          <w:color w:val="auto"/>
          <w:sz w:val="24"/>
          <w:szCs w:val="24"/>
          <w:lang w:eastAsia="cs-CZ"/>
        </w:rPr>
        <w:t>ční</w:t>
      </w:r>
      <w:r>
        <w:rPr>
          <w:rFonts w:eastAsia="Times New Roman" w:cs="Calibri"/>
          <w:b/>
          <w:bCs/>
          <w:color w:val="auto"/>
          <w:sz w:val="24"/>
          <w:szCs w:val="24"/>
          <w:lang w:eastAsia="cs-CZ"/>
        </w:rPr>
        <w:t xml:space="preserve"> sandbox – Česká agentura pro standardizaci</w:t>
      </w:r>
    </w:p>
    <w:p w14:paraId="425B8258" w14:textId="77777777" w:rsidR="00BC29B7" w:rsidRDefault="00B842A1">
      <w:pPr>
        <w:numPr>
          <w:ilvl w:val="0"/>
          <w:numId w:val="8"/>
        </w:numPr>
        <w:spacing w:after="0" w:line="340" w:lineRule="exact"/>
        <w:contextualSpacing/>
        <w:jc w:val="both"/>
        <w:rPr>
          <w:rFonts w:eastAsia="Times New Roman" w:cs="Calibri"/>
          <w:color w:val="auto"/>
          <w:sz w:val="24"/>
          <w:szCs w:val="24"/>
          <w:lang w:eastAsia="cs-CZ"/>
        </w:rPr>
      </w:pPr>
      <w:r>
        <w:rPr>
          <w:rFonts w:eastAsia="Times New Roman" w:cs="Calibri"/>
          <w:color w:val="auto"/>
          <w:sz w:val="24"/>
          <w:szCs w:val="24"/>
          <w:lang w:eastAsia="cs-CZ"/>
        </w:rPr>
        <w:t>Poskytuje bezpečné prostředí pro testování AI systémů, podporuje transparentnost a odpovědnost, a umožňuje regulátorům lépe porozumět novým technologiím;</w:t>
      </w:r>
    </w:p>
    <w:p w14:paraId="4BA4393E" w14:textId="4B22C9E8" w:rsidR="00BC29B7" w:rsidRDefault="00276258">
      <w:pPr>
        <w:numPr>
          <w:ilvl w:val="0"/>
          <w:numId w:val="8"/>
        </w:numPr>
        <w:spacing w:after="0" w:line="340" w:lineRule="exact"/>
        <w:contextualSpacing/>
        <w:jc w:val="both"/>
        <w:rPr>
          <w:rFonts w:eastAsia="Times New Roman" w:cs="Calibri"/>
          <w:color w:val="auto"/>
          <w:sz w:val="24"/>
          <w:szCs w:val="24"/>
          <w:lang w:eastAsia="cs-CZ"/>
        </w:rPr>
      </w:pPr>
      <w:r>
        <w:rPr>
          <w:rFonts w:eastAsia="Times New Roman" w:cs="Calibri"/>
          <w:color w:val="auto"/>
          <w:sz w:val="24"/>
          <w:szCs w:val="24"/>
          <w:lang w:eastAsia="cs-CZ"/>
        </w:rPr>
        <w:t>Evropská k</w:t>
      </w:r>
      <w:r w:rsidR="00B842A1">
        <w:rPr>
          <w:rFonts w:eastAsia="Times New Roman" w:cs="Calibri"/>
          <w:color w:val="auto"/>
          <w:sz w:val="24"/>
          <w:szCs w:val="24"/>
          <w:lang w:eastAsia="cs-CZ"/>
        </w:rPr>
        <w:t xml:space="preserve">omise přijme prováděcí akty, které stanoví podrobné podmínky pro zřízení, provoz a dohled nad sandboxy; </w:t>
      </w:r>
    </w:p>
    <w:p w14:paraId="7634E01A" w14:textId="77777777" w:rsidR="00BC29B7" w:rsidRDefault="00B842A1">
      <w:pPr>
        <w:numPr>
          <w:ilvl w:val="0"/>
          <w:numId w:val="8"/>
        </w:numPr>
        <w:spacing w:after="0" w:line="340" w:lineRule="exact"/>
        <w:contextualSpacing/>
        <w:jc w:val="both"/>
        <w:rPr>
          <w:rFonts w:eastAsia="Times New Roman" w:cs="Calibri"/>
          <w:b/>
          <w:bCs/>
          <w:color w:val="auto"/>
          <w:sz w:val="24"/>
          <w:szCs w:val="24"/>
          <w:lang w:eastAsia="cs-CZ"/>
        </w:rPr>
      </w:pPr>
      <w:r>
        <w:rPr>
          <w:rFonts w:eastAsia="Times New Roman" w:cs="Calibri"/>
          <w:b/>
          <w:bCs/>
          <w:color w:val="auto"/>
          <w:sz w:val="24"/>
          <w:szCs w:val="24"/>
          <w:lang w:eastAsia="cs-CZ"/>
        </w:rPr>
        <w:t>Nových míst: 5;</w:t>
      </w:r>
    </w:p>
    <w:p w14:paraId="65864AD1" w14:textId="597CB698" w:rsidR="00BC29B7" w:rsidRDefault="00B842A1">
      <w:pPr>
        <w:numPr>
          <w:ilvl w:val="0"/>
          <w:numId w:val="8"/>
        </w:numPr>
        <w:spacing w:after="0" w:line="340" w:lineRule="exact"/>
        <w:contextualSpacing/>
        <w:jc w:val="both"/>
        <w:rPr>
          <w:rFonts w:eastAsia="Times New Roman" w:cs="Calibri"/>
          <w:color w:val="auto"/>
          <w:sz w:val="24"/>
          <w:szCs w:val="24"/>
          <w:lang w:eastAsia="cs-CZ"/>
        </w:rPr>
      </w:pPr>
      <w:r>
        <w:rPr>
          <w:rFonts w:eastAsia="Times New Roman" w:cs="Calibri"/>
          <w:color w:val="auto"/>
          <w:sz w:val="24"/>
          <w:szCs w:val="24"/>
          <w:lang w:eastAsia="cs-CZ"/>
        </w:rPr>
        <w:t>Povinnost zřídit plynoucí z čl. 57 AI Aktu (možno mezistátní), termín plnění: 2. srpna 2026.</w:t>
      </w:r>
    </w:p>
    <w:p w14:paraId="6BF11A0D" w14:textId="77777777" w:rsidR="00BC29B7" w:rsidRDefault="00BC29B7">
      <w:pPr>
        <w:spacing w:after="200" w:line="240" w:lineRule="auto"/>
        <w:ind w:left="720"/>
        <w:contextualSpacing/>
        <w:rPr>
          <w:rFonts w:eastAsia="Times New Roman" w:cs="Calibri"/>
          <w:b/>
          <w:bCs/>
          <w:color w:val="auto"/>
          <w:sz w:val="24"/>
          <w:szCs w:val="24"/>
          <w:lang w:eastAsia="cs-CZ"/>
        </w:rPr>
      </w:pPr>
    </w:p>
    <w:p w14:paraId="1B8154AB" w14:textId="748346E7" w:rsidR="00BC29B7" w:rsidRDefault="00B842A1" w:rsidP="00F36206">
      <w:pPr>
        <w:spacing w:after="200" w:line="240" w:lineRule="auto"/>
        <w:jc w:val="both"/>
        <w:rPr>
          <w:rFonts w:eastAsia="Times New Roman" w:cs="Calibri"/>
          <w:b/>
          <w:bCs/>
          <w:color w:val="auto"/>
          <w:sz w:val="24"/>
          <w:szCs w:val="24"/>
          <w:lang w:eastAsia="cs-CZ"/>
        </w:rPr>
      </w:pPr>
      <w:r>
        <w:rPr>
          <w:rFonts w:eastAsia="Times New Roman" w:cs="Calibri"/>
          <w:b/>
          <w:bCs/>
          <w:color w:val="auto"/>
          <w:sz w:val="24"/>
          <w:szCs w:val="24"/>
          <w:lang w:eastAsia="cs-CZ"/>
        </w:rPr>
        <w:t xml:space="preserve">Nadřízený orgán, v případě stížností, nečinnosti, v přezkumném řízení </w:t>
      </w:r>
      <w:r w:rsidR="009F064D">
        <w:rPr>
          <w:rFonts w:eastAsia="Times New Roman" w:cs="Calibri"/>
          <w:b/>
          <w:bCs/>
          <w:color w:val="auto"/>
          <w:sz w:val="24"/>
          <w:szCs w:val="24"/>
          <w:lang w:eastAsia="cs-CZ"/>
        </w:rPr>
        <w:t>(</w:t>
      </w:r>
      <w:r w:rsidR="00760E02">
        <w:rPr>
          <w:rFonts w:eastAsia="Times New Roman" w:cs="Calibri"/>
          <w:b/>
          <w:bCs/>
          <w:color w:val="auto"/>
          <w:sz w:val="24"/>
          <w:szCs w:val="24"/>
          <w:lang w:eastAsia="cs-CZ"/>
        </w:rPr>
        <w:t xml:space="preserve">1 systemizované místo zajištěné z </w:t>
      </w:r>
      <w:r w:rsidR="009F064D">
        <w:rPr>
          <w:rFonts w:eastAsia="Times New Roman" w:cs="Calibri"/>
          <w:b/>
          <w:bCs/>
          <w:color w:val="auto"/>
          <w:sz w:val="24"/>
          <w:szCs w:val="24"/>
          <w:lang w:eastAsia="cs-CZ"/>
        </w:rPr>
        <w:t>interních kapacit</w:t>
      </w:r>
      <w:r w:rsidR="00760E02">
        <w:rPr>
          <w:rFonts w:eastAsia="Times New Roman" w:cs="Calibri"/>
          <w:b/>
          <w:bCs/>
          <w:color w:val="auto"/>
          <w:sz w:val="24"/>
          <w:szCs w:val="24"/>
          <w:lang w:eastAsia="cs-CZ"/>
        </w:rPr>
        <w:t xml:space="preserve"> MPO</w:t>
      </w:r>
      <w:r w:rsidR="009F064D">
        <w:rPr>
          <w:rFonts w:eastAsia="Times New Roman" w:cs="Calibri"/>
          <w:b/>
          <w:bCs/>
          <w:color w:val="auto"/>
          <w:sz w:val="24"/>
          <w:szCs w:val="24"/>
          <w:lang w:eastAsia="cs-CZ"/>
        </w:rPr>
        <w:t>)</w:t>
      </w:r>
      <w:r w:rsidR="009272AA">
        <w:rPr>
          <w:rFonts w:eastAsia="Times New Roman" w:cs="Calibri"/>
          <w:b/>
          <w:bCs/>
          <w:color w:val="auto"/>
          <w:sz w:val="24"/>
          <w:szCs w:val="24"/>
          <w:lang w:eastAsia="cs-CZ"/>
        </w:rPr>
        <w:t xml:space="preserve"> </w:t>
      </w:r>
      <w:r w:rsidR="005860F6">
        <w:rPr>
          <w:rFonts w:eastAsia="Times New Roman" w:cs="Calibri"/>
          <w:b/>
          <w:bCs/>
          <w:color w:val="auto"/>
          <w:sz w:val="24"/>
          <w:szCs w:val="24"/>
          <w:lang w:eastAsia="cs-CZ"/>
        </w:rPr>
        <w:t>+</w:t>
      </w:r>
      <w:r w:rsidR="00C862B1">
        <w:rPr>
          <w:rFonts w:eastAsia="Times New Roman" w:cs="Calibri"/>
          <w:b/>
          <w:bCs/>
          <w:color w:val="auto"/>
          <w:sz w:val="24"/>
          <w:szCs w:val="24"/>
          <w:lang w:eastAsia="cs-CZ"/>
        </w:rPr>
        <w:t xml:space="preserve"> </w:t>
      </w:r>
      <w:r w:rsidR="001514B8">
        <w:rPr>
          <w:rFonts w:eastAsia="Times New Roman" w:cs="Calibri"/>
          <w:b/>
          <w:bCs/>
          <w:color w:val="auto"/>
          <w:sz w:val="24"/>
          <w:szCs w:val="24"/>
          <w:lang w:eastAsia="cs-CZ"/>
        </w:rPr>
        <w:t xml:space="preserve">nové </w:t>
      </w:r>
      <w:r w:rsidR="00C862B1">
        <w:rPr>
          <w:rFonts w:eastAsia="Times New Roman" w:cs="Calibri"/>
          <w:b/>
          <w:bCs/>
          <w:color w:val="auto"/>
          <w:sz w:val="24"/>
          <w:szCs w:val="24"/>
          <w:lang w:eastAsia="cs-CZ"/>
        </w:rPr>
        <w:t>oddělení AI</w:t>
      </w:r>
      <w:r w:rsidR="009F064D">
        <w:rPr>
          <w:rFonts w:eastAsia="Times New Roman" w:cs="Calibri"/>
          <w:b/>
          <w:bCs/>
          <w:color w:val="auto"/>
          <w:sz w:val="24"/>
          <w:szCs w:val="24"/>
          <w:lang w:eastAsia="cs-CZ"/>
        </w:rPr>
        <w:t xml:space="preserve"> </w:t>
      </w:r>
      <w:r w:rsidR="00760E02">
        <w:rPr>
          <w:rFonts w:eastAsia="Times New Roman" w:cs="Calibri"/>
          <w:b/>
          <w:bCs/>
          <w:color w:val="auto"/>
          <w:sz w:val="24"/>
          <w:szCs w:val="24"/>
          <w:lang w:eastAsia="cs-CZ"/>
        </w:rPr>
        <w:t xml:space="preserve">a nových technologií (zajištěno </w:t>
      </w:r>
      <w:r w:rsidR="009F064D">
        <w:rPr>
          <w:rFonts w:eastAsia="Times New Roman" w:cs="Calibri"/>
          <w:b/>
          <w:bCs/>
          <w:color w:val="auto"/>
          <w:sz w:val="24"/>
          <w:szCs w:val="24"/>
          <w:lang w:eastAsia="cs-CZ"/>
        </w:rPr>
        <w:t xml:space="preserve">z interních kapacit </w:t>
      </w:r>
      <w:r w:rsidR="00760E02">
        <w:rPr>
          <w:rFonts w:eastAsia="Times New Roman" w:cs="Calibri"/>
          <w:b/>
          <w:bCs/>
          <w:color w:val="auto"/>
          <w:sz w:val="24"/>
          <w:szCs w:val="24"/>
          <w:lang w:eastAsia="cs-CZ"/>
        </w:rPr>
        <w:t xml:space="preserve">MPO v rámci systemizace k 1.4.2025) </w:t>
      </w:r>
      <w:r w:rsidR="005860F6">
        <w:rPr>
          <w:rFonts w:eastAsia="Times New Roman" w:cs="Calibri"/>
          <w:b/>
          <w:bCs/>
          <w:color w:val="auto"/>
          <w:sz w:val="24"/>
          <w:szCs w:val="24"/>
          <w:lang w:eastAsia="cs-CZ"/>
        </w:rPr>
        <w:t xml:space="preserve">+ </w:t>
      </w:r>
      <w:r w:rsidR="009F064D">
        <w:rPr>
          <w:rFonts w:eastAsia="Times New Roman" w:cs="Calibri"/>
          <w:b/>
          <w:bCs/>
          <w:color w:val="auto"/>
          <w:sz w:val="24"/>
          <w:szCs w:val="24"/>
          <w:lang w:eastAsia="cs-CZ"/>
        </w:rPr>
        <w:t>přesun 3 systemizovaných míst</w:t>
      </w:r>
      <w:r w:rsidR="00760E02">
        <w:rPr>
          <w:rFonts w:eastAsia="Times New Roman" w:cs="Calibri"/>
          <w:b/>
          <w:bCs/>
          <w:color w:val="auto"/>
          <w:sz w:val="24"/>
          <w:szCs w:val="24"/>
          <w:lang w:eastAsia="cs-CZ"/>
        </w:rPr>
        <w:t xml:space="preserve"> včetně odpovídajících finančních prostředků na platy </w:t>
      </w:r>
      <w:r w:rsidR="009F064D">
        <w:rPr>
          <w:rFonts w:eastAsia="Times New Roman" w:cs="Calibri"/>
          <w:b/>
          <w:bCs/>
          <w:color w:val="auto"/>
          <w:sz w:val="24"/>
          <w:szCs w:val="24"/>
          <w:lang w:eastAsia="cs-CZ"/>
        </w:rPr>
        <w:t>z Úřadu vlády na MPO</w:t>
      </w:r>
    </w:p>
    <w:p w14:paraId="4B99E5FC" w14:textId="77777777" w:rsidR="00BC29B7" w:rsidRDefault="00B842A1">
      <w:pPr>
        <w:numPr>
          <w:ilvl w:val="0"/>
          <w:numId w:val="9"/>
        </w:numPr>
        <w:spacing w:after="0" w:line="240" w:lineRule="auto"/>
        <w:contextualSpacing/>
        <w:rPr>
          <w:rFonts w:eastAsia="Times New Roman" w:cs="Calibri"/>
          <w:color w:val="auto"/>
          <w:sz w:val="24"/>
          <w:szCs w:val="24"/>
          <w:lang w:eastAsia="cs-CZ"/>
        </w:rPr>
      </w:pPr>
      <w:r>
        <w:rPr>
          <w:rFonts w:eastAsia="Times New Roman" w:cs="Calibri"/>
          <w:color w:val="auto"/>
          <w:sz w:val="24"/>
          <w:szCs w:val="24"/>
          <w:lang w:eastAsia="cs-CZ"/>
        </w:rPr>
        <w:t>Zajistí: MPO;</w:t>
      </w:r>
    </w:p>
    <w:p w14:paraId="6A18C16C" w14:textId="468735F0" w:rsidR="00BC29B7" w:rsidRDefault="009F064D">
      <w:pPr>
        <w:numPr>
          <w:ilvl w:val="0"/>
          <w:numId w:val="9"/>
        </w:numPr>
        <w:spacing w:after="0" w:line="240" w:lineRule="auto"/>
        <w:contextualSpacing/>
        <w:rPr>
          <w:rFonts w:eastAsia="Times New Roman" w:cs="Calibri"/>
          <w:b/>
          <w:bCs/>
          <w:color w:val="auto"/>
          <w:sz w:val="24"/>
          <w:szCs w:val="24"/>
          <w:lang w:eastAsia="cs-CZ"/>
        </w:rPr>
      </w:pPr>
      <w:r>
        <w:rPr>
          <w:rFonts w:eastAsia="Times New Roman" w:cs="Calibri"/>
          <w:b/>
          <w:bCs/>
          <w:color w:val="auto"/>
          <w:sz w:val="24"/>
          <w:szCs w:val="24"/>
          <w:lang w:eastAsia="cs-CZ"/>
        </w:rPr>
        <w:t>Systemizovaná místa</w:t>
      </w:r>
      <w:r w:rsidR="00B842A1">
        <w:rPr>
          <w:rFonts w:eastAsia="Times New Roman" w:cs="Calibri"/>
          <w:b/>
          <w:bCs/>
          <w:color w:val="auto"/>
          <w:sz w:val="24"/>
          <w:szCs w:val="24"/>
          <w:lang w:eastAsia="cs-CZ"/>
        </w:rPr>
        <w:t xml:space="preserve">: </w:t>
      </w:r>
      <w:r w:rsidR="005860F6">
        <w:rPr>
          <w:rFonts w:eastAsia="Times New Roman" w:cs="Calibri"/>
          <w:b/>
          <w:bCs/>
          <w:color w:val="auto"/>
          <w:sz w:val="24"/>
          <w:szCs w:val="24"/>
          <w:lang w:eastAsia="cs-CZ"/>
        </w:rPr>
        <w:t>12 (1 + 8</w:t>
      </w:r>
      <w:r w:rsidR="00C01798">
        <w:rPr>
          <w:rFonts w:eastAsia="Times New Roman" w:cs="Calibri"/>
          <w:b/>
          <w:bCs/>
          <w:color w:val="auto"/>
          <w:sz w:val="24"/>
          <w:szCs w:val="24"/>
          <w:lang w:eastAsia="cs-CZ"/>
        </w:rPr>
        <w:t xml:space="preserve"> </w:t>
      </w:r>
      <w:r w:rsidR="005860F6">
        <w:rPr>
          <w:rFonts w:eastAsia="Times New Roman" w:cs="Calibri"/>
          <w:b/>
          <w:bCs/>
          <w:color w:val="auto"/>
          <w:sz w:val="24"/>
          <w:szCs w:val="24"/>
          <w:lang w:eastAsia="cs-CZ"/>
        </w:rPr>
        <w:t>+ 3 přesunem z Úřadu vlády)</w:t>
      </w:r>
      <w:r w:rsidR="009272AA">
        <w:rPr>
          <w:rFonts w:eastAsia="Times New Roman" w:cs="Calibri"/>
          <w:b/>
          <w:bCs/>
          <w:color w:val="auto"/>
          <w:sz w:val="24"/>
          <w:szCs w:val="24"/>
          <w:lang w:eastAsia="cs-CZ"/>
        </w:rPr>
        <w:t>;</w:t>
      </w:r>
    </w:p>
    <w:p w14:paraId="52C13402" w14:textId="1D166963" w:rsidR="00BC29B7" w:rsidRDefault="00B842A1">
      <w:pPr>
        <w:numPr>
          <w:ilvl w:val="0"/>
          <w:numId w:val="9"/>
        </w:numPr>
        <w:spacing w:after="0" w:line="240" w:lineRule="auto"/>
        <w:contextualSpacing/>
        <w:rPr>
          <w:rFonts w:eastAsia="Times New Roman" w:cs="Calibri"/>
          <w:color w:val="auto"/>
          <w:sz w:val="24"/>
          <w:szCs w:val="24"/>
          <w:lang w:eastAsia="cs-CZ"/>
        </w:rPr>
      </w:pPr>
      <w:r>
        <w:rPr>
          <w:rFonts w:eastAsia="Times New Roman" w:cs="Calibri"/>
          <w:color w:val="auto"/>
          <w:sz w:val="24"/>
          <w:szCs w:val="24"/>
          <w:lang w:eastAsia="cs-CZ"/>
        </w:rPr>
        <w:t>termín plnění: 2.</w:t>
      </w:r>
      <w:r w:rsidR="00C01798">
        <w:rPr>
          <w:rFonts w:eastAsia="Times New Roman" w:cs="Calibri"/>
          <w:color w:val="auto"/>
          <w:sz w:val="24"/>
          <w:szCs w:val="24"/>
          <w:lang w:eastAsia="cs-CZ"/>
        </w:rPr>
        <w:t xml:space="preserve"> 8.</w:t>
      </w:r>
      <w:r w:rsidR="009272AA">
        <w:rPr>
          <w:rFonts w:eastAsia="Times New Roman" w:cs="Calibri"/>
          <w:color w:val="auto"/>
          <w:sz w:val="24"/>
          <w:szCs w:val="24"/>
          <w:lang w:eastAsia="cs-CZ"/>
        </w:rPr>
        <w:t xml:space="preserve"> </w:t>
      </w:r>
      <w:r>
        <w:rPr>
          <w:rFonts w:eastAsia="Times New Roman" w:cs="Calibri"/>
          <w:color w:val="auto"/>
          <w:sz w:val="24"/>
          <w:szCs w:val="24"/>
          <w:lang w:eastAsia="cs-CZ"/>
        </w:rPr>
        <w:t>2026</w:t>
      </w:r>
      <w:r w:rsidR="00152055">
        <w:rPr>
          <w:rFonts w:eastAsia="Times New Roman" w:cs="Calibri"/>
          <w:color w:val="auto"/>
          <w:sz w:val="24"/>
          <w:szCs w:val="24"/>
          <w:lang w:eastAsia="cs-CZ"/>
        </w:rPr>
        <w:t>.</w:t>
      </w:r>
    </w:p>
    <w:p w14:paraId="61A5234F" w14:textId="77777777" w:rsidR="00192C75" w:rsidRPr="008972BA" w:rsidRDefault="00192C75" w:rsidP="00F36206">
      <w:pPr>
        <w:spacing w:after="0" w:line="240" w:lineRule="auto"/>
        <w:contextualSpacing/>
        <w:rPr>
          <w:rFonts w:eastAsia="Times New Roman" w:cs="Calibri"/>
          <w:color w:val="auto"/>
          <w:sz w:val="24"/>
          <w:szCs w:val="24"/>
          <w:lang w:eastAsia="cs-CZ"/>
        </w:rPr>
      </w:pPr>
    </w:p>
    <w:p w14:paraId="58F52085" w14:textId="02CCEF30" w:rsidR="00BC29B7" w:rsidRPr="00C862B1" w:rsidRDefault="00B842A1" w:rsidP="00C862B1">
      <w:pPr>
        <w:pBdr>
          <w:top w:val="single" w:sz="4" w:space="1" w:color="auto"/>
          <w:left w:val="single" w:sz="4" w:space="4" w:color="auto"/>
          <w:bottom w:val="single" w:sz="4" w:space="1" w:color="auto"/>
          <w:right w:val="single" w:sz="4" w:space="4" w:color="auto"/>
        </w:pBdr>
        <w:spacing w:after="200" w:line="276" w:lineRule="auto"/>
        <w:jc w:val="both"/>
        <w:rPr>
          <w:rFonts w:cs="Calibri"/>
          <w:b/>
          <w:bCs/>
          <w:sz w:val="24"/>
          <w:szCs w:val="24"/>
        </w:rPr>
      </w:pPr>
      <w:r w:rsidRPr="00C862B1">
        <w:rPr>
          <w:rFonts w:cs="Calibri"/>
          <w:b/>
          <w:bCs/>
          <w:color w:val="002060"/>
          <w:sz w:val="24"/>
          <w:szCs w:val="24"/>
        </w:rPr>
        <w:lastRenderedPageBreak/>
        <w:t xml:space="preserve">Celkově pro zabezpečení řádného vymáhání </w:t>
      </w:r>
      <w:r w:rsidR="009272AA">
        <w:rPr>
          <w:rFonts w:cs="Calibri"/>
          <w:b/>
          <w:bCs/>
          <w:color w:val="002060"/>
          <w:sz w:val="24"/>
          <w:szCs w:val="24"/>
        </w:rPr>
        <w:t xml:space="preserve">v letech </w:t>
      </w:r>
      <w:r w:rsidRPr="00C862B1">
        <w:rPr>
          <w:rFonts w:cs="Calibri"/>
          <w:b/>
          <w:bCs/>
          <w:color w:val="002060"/>
          <w:sz w:val="24"/>
          <w:szCs w:val="24"/>
        </w:rPr>
        <w:t xml:space="preserve">2026 až 2028 bude potřeba </w:t>
      </w:r>
      <w:r w:rsidR="00362A4C">
        <w:rPr>
          <w:rFonts w:cs="Calibri"/>
          <w:b/>
          <w:bCs/>
          <w:color w:val="002060"/>
          <w:sz w:val="24"/>
          <w:szCs w:val="24"/>
        </w:rPr>
        <w:t xml:space="preserve">nově </w:t>
      </w:r>
      <w:r w:rsidRPr="00C862B1">
        <w:rPr>
          <w:rFonts w:cs="Calibri"/>
          <w:b/>
          <w:bCs/>
          <w:color w:val="002060"/>
          <w:sz w:val="24"/>
          <w:szCs w:val="24"/>
        </w:rPr>
        <w:t xml:space="preserve">zajistit </w:t>
      </w:r>
      <w:r w:rsidR="00362A4C">
        <w:rPr>
          <w:rFonts w:cs="Calibri"/>
          <w:b/>
          <w:bCs/>
          <w:color w:val="002060"/>
          <w:sz w:val="24"/>
          <w:szCs w:val="24"/>
        </w:rPr>
        <w:t>48</w:t>
      </w:r>
      <w:r w:rsidR="00362A4C" w:rsidRPr="00C862B1">
        <w:rPr>
          <w:rFonts w:cs="Calibri"/>
          <w:b/>
          <w:bCs/>
          <w:color w:val="002060"/>
          <w:sz w:val="24"/>
          <w:szCs w:val="24"/>
        </w:rPr>
        <w:t xml:space="preserve"> </w:t>
      </w:r>
      <w:r w:rsidRPr="00C862B1">
        <w:rPr>
          <w:rFonts w:cs="Calibri"/>
          <w:b/>
          <w:bCs/>
          <w:color w:val="002060"/>
          <w:sz w:val="24"/>
          <w:szCs w:val="24"/>
        </w:rPr>
        <w:t>úvazků</w:t>
      </w:r>
      <w:r w:rsidR="00F462E3">
        <w:rPr>
          <w:rFonts w:cs="Calibri"/>
          <w:b/>
          <w:bCs/>
          <w:color w:val="002060"/>
          <w:sz w:val="24"/>
          <w:szCs w:val="24"/>
        </w:rPr>
        <w:t xml:space="preserve"> (FTE</w:t>
      </w:r>
      <w:r w:rsidR="00F462E3">
        <w:rPr>
          <w:rStyle w:val="Znakapoznpodarou"/>
          <w:rFonts w:cs="Calibri"/>
          <w:b/>
          <w:bCs/>
          <w:color w:val="002060"/>
          <w:sz w:val="24"/>
          <w:szCs w:val="24"/>
        </w:rPr>
        <w:footnoteReference w:id="10"/>
      </w:r>
      <w:r w:rsidR="00F462E3">
        <w:rPr>
          <w:rFonts w:cs="Calibri"/>
          <w:b/>
          <w:bCs/>
          <w:color w:val="002060"/>
          <w:sz w:val="24"/>
          <w:szCs w:val="24"/>
        </w:rPr>
        <w:t>)</w:t>
      </w:r>
      <w:r w:rsidR="00362A4C">
        <w:rPr>
          <w:rFonts w:cs="Calibri"/>
          <w:b/>
          <w:bCs/>
          <w:color w:val="002060"/>
          <w:sz w:val="24"/>
          <w:szCs w:val="24"/>
        </w:rPr>
        <w:t xml:space="preserve"> + 4 DPČ.</w:t>
      </w:r>
      <w:r w:rsidR="00F36206">
        <w:rPr>
          <w:rFonts w:cs="Calibri"/>
          <w:b/>
          <w:bCs/>
          <w:color w:val="002060"/>
          <w:sz w:val="24"/>
          <w:szCs w:val="24"/>
        </w:rPr>
        <w:t xml:space="preserve"> </w:t>
      </w:r>
      <w:r w:rsidR="00362A4C">
        <w:rPr>
          <w:rFonts w:cs="Calibri"/>
          <w:b/>
          <w:bCs/>
          <w:sz w:val="24"/>
          <w:szCs w:val="24"/>
        </w:rPr>
        <w:t xml:space="preserve">Ze </w:t>
      </w:r>
      <w:r w:rsidR="00F36206">
        <w:rPr>
          <w:rFonts w:cs="Calibri"/>
          <w:b/>
          <w:bCs/>
          <w:sz w:val="24"/>
          <w:szCs w:val="24"/>
        </w:rPr>
        <w:t>stávajících</w:t>
      </w:r>
      <w:r w:rsidR="00362A4C">
        <w:rPr>
          <w:rFonts w:cs="Calibri"/>
          <w:b/>
          <w:bCs/>
          <w:sz w:val="24"/>
          <w:szCs w:val="24"/>
        </w:rPr>
        <w:t xml:space="preserve"> kapacit zajistilo MPO již 8 úvazků, 1 úvazek zajistí po 1.7.2025 a 3 systemizovaná místa budou trvale převedena z interních kapacit Úřadu vlády na MPO.</w:t>
      </w:r>
    </w:p>
    <w:tbl>
      <w:tblPr>
        <w:tblW w:w="5368" w:type="pct"/>
        <w:tblLayout w:type="fixed"/>
        <w:tblCellMar>
          <w:left w:w="10" w:type="dxa"/>
          <w:right w:w="10" w:type="dxa"/>
        </w:tblCellMar>
        <w:tblLook w:val="0000" w:firstRow="0" w:lastRow="0" w:firstColumn="0" w:lastColumn="0" w:noHBand="0" w:noVBand="0"/>
      </w:tblPr>
      <w:tblGrid>
        <w:gridCol w:w="1842"/>
        <w:gridCol w:w="1985"/>
        <w:gridCol w:w="1134"/>
        <w:gridCol w:w="1701"/>
        <w:gridCol w:w="1842"/>
        <w:gridCol w:w="1843"/>
      </w:tblGrid>
      <w:tr w:rsidR="00BC29B7" w14:paraId="04CD17B1" w14:textId="77777777" w:rsidTr="00192C75">
        <w:trPr>
          <w:trHeight w:val="283"/>
        </w:trPr>
        <w:tc>
          <w:tcPr>
            <w:tcW w:w="10347" w:type="dxa"/>
            <w:gridSpan w:val="6"/>
            <w:shd w:val="clear" w:color="auto" w:fill="auto"/>
            <w:noWrap/>
            <w:tcMar>
              <w:top w:w="0" w:type="dxa"/>
              <w:left w:w="70" w:type="dxa"/>
              <w:bottom w:w="0" w:type="dxa"/>
              <w:right w:w="70" w:type="dxa"/>
            </w:tcMar>
            <w:vAlign w:val="center"/>
          </w:tcPr>
          <w:p w14:paraId="34DEA638" w14:textId="77777777" w:rsidR="00F36206" w:rsidRDefault="00F36206">
            <w:pPr>
              <w:spacing w:after="0" w:line="240" w:lineRule="auto"/>
              <w:jc w:val="center"/>
              <w:rPr>
                <w:rFonts w:eastAsia="Times New Roman" w:cs="Calibri"/>
                <w:b/>
                <w:bCs/>
                <w:sz w:val="24"/>
                <w:szCs w:val="24"/>
                <w:lang w:eastAsia="cs-CZ"/>
              </w:rPr>
            </w:pPr>
          </w:p>
          <w:p w14:paraId="5483121C" w14:textId="77777777" w:rsidR="00F36206" w:rsidRDefault="00F36206">
            <w:pPr>
              <w:spacing w:after="0" w:line="240" w:lineRule="auto"/>
              <w:jc w:val="center"/>
              <w:rPr>
                <w:rFonts w:eastAsia="Times New Roman" w:cs="Calibri"/>
                <w:b/>
                <w:bCs/>
                <w:sz w:val="24"/>
                <w:szCs w:val="24"/>
                <w:lang w:eastAsia="cs-CZ"/>
              </w:rPr>
            </w:pPr>
          </w:p>
          <w:p w14:paraId="644C4817" w14:textId="77777777" w:rsidR="00BC29B7" w:rsidRDefault="00B842A1">
            <w:pPr>
              <w:spacing w:after="0" w:line="240" w:lineRule="auto"/>
              <w:jc w:val="center"/>
              <w:rPr>
                <w:rFonts w:eastAsia="Times New Roman" w:cs="Calibri"/>
                <w:b/>
                <w:bCs/>
                <w:sz w:val="24"/>
                <w:szCs w:val="24"/>
                <w:lang w:eastAsia="cs-CZ"/>
              </w:rPr>
            </w:pPr>
            <w:r w:rsidRPr="00192C75">
              <w:rPr>
                <w:rFonts w:eastAsia="Times New Roman" w:cs="Calibri"/>
                <w:b/>
                <w:bCs/>
                <w:sz w:val="24"/>
                <w:szCs w:val="24"/>
                <w:lang w:eastAsia="cs-CZ"/>
              </w:rPr>
              <w:t>Detailní tabulka požadavků na státní rozpočet</w:t>
            </w:r>
          </w:p>
          <w:p w14:paraId="4EED6874" w14:textId="15A7E015" w:rsidR="00F36206" w:rsidRPr="00192C75" w:rsidRDefault="00F36206">
            <w:pPr>
              <w:spacing w:after="0" w:line="240" w:lineRule="auto"/>
              <w:jc w:val="center"/>
              <w:rPr>
                <w:rFonts w:eastAsia="Times New Roman" w:cs="Calibri"/>
                <w:b/>
                <w:bCs/>
                <w:sz w:val="24"/>
                <w:szCs w:val="24"/>
                <w:lang w:eastAsia="cs-CZ"/>
              </w:rPr>
            </w:pPr>
          </w:p>
        </w:tc>
      </w:tr>
      <w:tr w:rsidR="00BC29B7" w14:paraId="50969CC5" w14:textId="77777777" w:rsidTr="00192C75">
        <w:trPr>
          <w:trHeight w:val="544"/>
        </w:trPr>
        <w:tc>
          <w:tcPr>
            <w:tcW w:w="1842" w:type="dxa"/>
            <w:shd w:val="clear" w:color="auto" w:fill="auto"/>
            <w:noWrap/>
            <w:tcMar>
              <w:top w:w="0" w:type="dxa"/>
              <w:left w:w="70" w:type="dxa"/>
              <w:bottom w:w="0" w:type="dxa"/>
              <w:right w:w="70" w:type="dxa"/>
            </w:tcMar>
            <w:vAlign w:val="center"/>
          </w:tcPr>
          <w:p w14:paraId="4B1283D8" w14:textId="77777777" w:rsidR="00BC29B7" w:rsidRDefault="00BC29B7">
            <w:pPr>
              <w:spacing w:after="0" w:line="240" w:lineRule="auto"/>
              <w:jc w:val="center"/>
              <w:rPr>
                <w:rFonts w:eastAsia="Times New Roman" w:cs="Calibri"/>
                <w:color w:val="auto"/>
                <w:sz w:val="24"/>
                <w:szCs w:val="24"/>
                <w:lang w:eastAsia="cs-CZ"/>
              </w:rPr>
            </w:pPr>
          </w:p>
        </w:tc>
        <w:tc>
          <w:tcPr>
            <w:tcW w:w="1985" w:type="dxa"/>
            <w:shd w:val="clear" w:color="auto" w:fill="auto"/>
            <w:noWrap/>
            <w:tcMar>
              <w:top w:w="0" w:type="dxa"/>
              <w:left w:w="70" w:type="dxa"/>
              <w:bottom w:w="0" w:type="dxa"/>
              <w:right w:w="70" w:type="dxa"/>
            </w:tcMar>
            <w:vAlign w:val="center"/>
          </w:tcPr>
          <w:p w14:paraId="2058C532" w14:textId="77777777" w:rsidR="00BC29B7" w:rsidRPr="00192C75" w:rsidRDefault="00BC29B7">
            <w:pPr>
              <w:spacing w:after="0" w:line="240" w:lineRule="auto"/>
              <w:jc w:val="center"/>
              <w:rPr>
                <w:rFonts w:eastAsia="Times New Roman" w:cs="Calibri"/>
                <w:color w:val="auto"/>
                <w:sz w:val="20"/>
                <w:szCs w:val="20"/>
                <w:lang w:eastAsia="cs-CZ"/>
              </w:rPr>
            </w:pPr>
          </w:p>
        </w:tc>
        <w:tc>
          <w:tcPr>
            <w:tcW w:w="1134" w:type="dxa"/>
            <w:shd w:val="clear" w:color="auto" w:fill="auto"/>
            <w:noWrap/>
            <w:tcMar>
              <w:top w:w="0" w:type="dxa"/>
              <w:left w:w="70" w:type="dxa"/>
              <w:bottom w:w="0" w:type="dxa"/>
              <w:right w:w="70" w:type="dxa"/>
            </w:tcMar>
            <w:vAlign w:val="center"/>
          </w:tcPr>
          <w:p w14:paraId="0891CCD5" w14:textId="77777777" w:rsidR="00BC29B7" w:rsidRPr="00192C75" w:rsidRDefault="00BC29B7">
            <w:pPr>
              <w:spacing w:after="0" w:line="240" w:lineRule="auto"/>
              <w:jc w:val="center"/>
              <w:rPr>
                <w:rFonts w:eastAsia="Times New Roman" w:cs="Calibri"/>
                <w:color w:val="auto"/>
                <w:sz w:val="20"/>
                <w:szCs w:val="20"/>
                <w:lang w:eastAsia="cs-CZ"/>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6BCDA9"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Státní rozpočet 2026 (Kč)</w:t>
            </w:r>
          </w:p>
        </w:tc>
        <w:tc>
          <w:tcPr>
            <w:tcW w:w="184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BDB4C5"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Rozpočtový výhled 2027 (Kč)</w:t>
            </w:r>
          </w:p>
        </w:tc>
        <w:tc>
          <w:tcPr>
            <w:tcW w:w="184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ECCC461"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Rozpočtový výhled 2028 (Kč)</w:t>
            </w:r>
          </w:p>
        </w:tc>
      </w:tr>
      <w:tr w:rsidR="00BC29B7" w14:paraId="63D77E17" w14:textId="77777777" w:rsidTr="00192C75">
        <w:trPr>
          <w:trHeight w:val="286"/>
        </w:trPr>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D09221C"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Český telekomunikační úřad</w:t>
            </w:r>
          </w:p>
        </w:tc>
        <w:tc>
          <w:tcPr>
            <w:tcW w:w="1985"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26E5F45"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Osobní náklady</w:t>
            </w:r>
          </w:p>
        </w:tc>
        <w:tc>
          <w:tcPr>
            <w:tcW w:w="1134"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F499E66"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Úvazky</w:t>
            </w:r>
          </w:p>
        </w:tc>
        <w:tc>
          <w:tcPr>
            <w:tcW w:w="1701" w:type="dxa"/>
            <w:tcBorders>
              <w:bottom w:val="single" w:sz="4" w:space="0" w:color="000000"/>
              <w:right w:val="single" w:sz="4" w:space="0" w:color="000000"/>
            </w:tcBorders>
            <w:shd w:val="clear" w:color="auto" w:fill="FFFF00"/>
            <w:noWrap/>
            <w:tcMar>
              <w:top w:w="0" w:type="dxa"/>
              <w:left w:w="70" w:type="dxa"/>
              <w:bottom w:w="0" w:type="dxa"/>
              <w:right w:w="70" w:type="dxa"/>
            </w:tcMar>
            <w:vAlign w:val="center"/>
          </w:tcPr>
          <w:p w14:paraId="464EA212"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8</w:t>
            </w:r>
          </w:p>
        </w:tc>
        <w:tc>
          <w:tcPr>
            <w:tcW w:w="1842" w:type="dxa"/>
            <w:tcBorders>
              <w:bottom w:val="single" w:sz="4" w:space="0" w:color="000000"/>
              <w:right w:val="single" w:sz="4" w:space="0" w:color="000000"/>
            </w:tcBorders>
            <w:shd w:val="clear" w:color="auto" w:fill="FFFF00"/>
            <w:noWrap/>
            <w:tcMar>
              <w:top w:w="0" w:type="dxa"/>
              <w:left w:w="70" w:type="dxa"/>
              <w:bottom w:w="0" w:type="dxa"/>
              <w:right w:w="70" w:type="dxa"/>
            </w:tcMar>
            <w:vAlign w:val="center"/>
          </w:tcPr>
          <w:p w14:paraId="51AC5F7C"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16</w:t>
            </w:r>
          </w:p>
        </w:tc>
        <w:tc>
          <w:tcPr>
            <w:tcW w:w="1843" w:type="dxa"/>
            <w:tcBorders>
              <w:bottom w:val="single" w:sz="4" w:space="0" w:color="000000"/>
              <w:right w:val="single" w:sz="4" w:space="0" w:color="000000"/>
            </w:tcBorders>
            <w:shd w:val="clear" w:color="auto" w:fill="FFFF00"/>
            <w:noWrap/>
            <w:tcMar>
              <w:top w:w="0" w:type="dxa"/>
              <w:left w:w="70" w:type="dxa"/>
              <w:bottom w:w="0" w:type="dxa"/>
              <w:right w:w="70" w:type="dxa"/>
            </w:tcMar>
            <w:vAlign w:val="center"/>
          </w:tcPr>
          <w:p w14:paraId="5CD7F4CF"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32</w:t>
            </w:r>
          </w:p>
        </w:tc>
      </w:tr>
      <w:tr w:rsidR="00BC29B7" w14:paraId="51036E4D"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5D0D30D7"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1784F1" w14:textId="77777777" w:rsidR="00BC29B7" w:rsidRPr="00192C75" w:rsidRDefault="00BC29B7">
            <w:pPr>
              <w:spacing w:after="0" w:line="240" w:lineRule="auto"/>
              <w:jc w:val="center"/>
              <w:rPr>
                <w:rFonts w:eastAsia="Times New Roman" w:cs="Calibri"/>
                <w:sz w:val="20"/>
                <w:szCs w:val="20"/>
                <w:lang w:eastAsia="cs-CZ"/>
              </w:rPr>
            </w:pP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753ED6A"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Rozpočet Kč</w:t>
            </w: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C7C981"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12 844 800</w:t>
            </w:r>
          </w:p>
        </w:tc>
        <w:tc>
          <w:tcPr>
            <w:tcW w:w="184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8A5D71"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25 689 600</w:t>
            </w:r>
          </w:p>
        </w:tc>
        <w:tc>
          <w:tcPr>
            <w:tcW w:w="184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72F6A07"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51 379 200</w:t>
            </w:r>
          </w:p>
        </w:tc>
      </w:tr>
      <w:tr w:rsidR="00BC29B7" w14:paraId="28AB3001"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BAB6A86"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A225565"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Náklady na odborné vybavení</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32DECE" w14:textId="77777777" w:rsidR="00BC29B7" w:rsidRPr="00192C75" w:rsidRDefault="00BC29B7">
            <w:pPr>
              <w:spacing w:after="0" w:line="240" w:lineRule="auto"/>
              <w:jc w:val="center"/>
              <w:rPr>
                <w:rFonts w:eastAsia="Times New Roman" w:cs="Calibri"/>
                <w:sz w:val="20"/>
                <w:szCs w:val="20"/>
                <w:lang w:eastAsia="cs-CZ"/>
              </w:rPr>
            </w:pP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49A59E2"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1 100 000</w:t>
            </w:r>
          </w:p>
        </w:tc>
        <w:tc>
          <w:tcPr>
            <w:tcW w:w="184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76ECCD"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800 000</w:t>
            </w:r>
          </w:p>
        </w:tc>
        <w:tc>
          <w:tcPr>
            <w:tcW w:w="184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6722B3"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21 600 000</w:t>
            </w:r>
          </w:p>
        </w:tc>
      </w:tr>
      <w:tr w:rsidR="00BC29B7" w14:paraId="7A81BE21"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A5D68DC"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8C993C"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Náklady na provoz</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8DF806B" w14:textId="77777777" w:rsidR="00BC29B7" w:rsidRPr="00192C75" w:rsidRDefault="00BC29B7">
            <w:pPr>
              <w:spacing w:after="0" w:line="240" w:lineRule="auto"/>
              <w:jc w:val="center"/>
              <w:rPr>
                <w:rFonts w:eastAsia="Times New Roman" w:cs="Calibri"/>
                <w:sz w:val="20"/>
                <w:szCs w:val="20"/>
                <w:lang w:eastAsia="cs-CZ"/>
              </w:rPr>
            </w:pP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14E58D1"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6 700 000</w:t>
            </w:r>
          </w:p>
        </w:tc>
        <w:tc>
          <w:tcPr>
            <w:tcW w:w="184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5B242DC"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3 200 000</w:t>
            </w:r>
          </w:p>
        </w:tc>
        <w:tc>
          <w:tcPr>
            <w:tcW w:w="184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2BBD25C"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3 700 000</w:t>
            </w:r>
          </w:p>
        </w:tc>
      </w:tr>
      <w:tr w:rsidR="00BC29B7" w14:paraId="406EAC8C"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5E67E65C"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2FD3741"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Nákup externích služeb</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73D9EAA" w14:textId="77777777" w:rsidR="00BC29B7" w:rsidRPr="00192C75" w:rsidRDefault="00BC29B7">
            <w:pPr>
              <w:spacing w:after="0" w:line="240" w:lineRule="auto"/>
              <w:jc w:val="center"/>
              <w:rPr>
                <w:rFonts w:eastAsia="Times New Roman" w:cs="Calibri"/>
                <w:sz w:val="20"/>
                <w:szCs w:val="20"/>
                <w:lang w:eastAsia="cs-CZ"/>
              </w:rPr>
            </w:pP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1FCC8BB"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1 000 000</w:t>
            </w:r>
          </w:p>
        </w:tc>
        <w:tc>
          <w:tcPr>
            <w:tcW w:w="184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AD9A22"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1 000 000</w:t>
            </w:r>
          </w:p>
        </w:tc>
        <w:tc>
          <w:tcPr>
            <w:tcW w:w="184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FEC8EA"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2 000 000</w:t>
            </w:r>
          </w:p>
        </w:tc>
      </w:tr>
      <w:tr w:rsidR="00BC29B7" w14:paraId="01D3E0D6"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70DE5424"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C4EEEC1"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Celkem</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2A1764" w14:textId="77777777" w:rsidR="00BC29B7" w:rsidRPr="00192C75" w:rsidRDefault="00BC29B7">
            <w:pPr>
              <w:spacing w:after="0" w:line="240" w:lineRule="auto"/>
              <w:jc w:val="center"/>
              <w:rPr>
                <w:rFonts w:eastAsia="Times New Roman" w:cs="Calibri"/>
                <w:sz w:val="20"/>
                <w:szCs w:val="20"/>
                <w:lang w:eastAsia="cs-CZ"/>
              </w:rPr>
            </w:pPr>
          </w:p>
        </w:tc>
        <w:tc>
          <w:tcPr>
            <w:tcW w:w="1701" w:type="dxa"/>
            <w:tcBorders>
              <w:bottom w:val="single" w:sz="4" w:space="0" w:color="000000"/>
              <w:right w:val="single" w:sz="4" w:space="0" w:color="000000"/>
            </w:tcBorders>
            <w:shd w:val="clear" w:color="auto" w:fill="FFFF00"/>
            <w:noWrap/>
            <w:tcMar>
              <w:top w:w="0" w:type="dxa"/>
              <w:left w:w="70" w:type="dxa"/>
              <w:bottom w:w="0" w:type="dxa"/>
              <w:right w:w="70" w:type="dxa"/>
            </w:tcMar>
            <w:vAlign w:val="center"/>
          </w:tcPr>
          <w:p w14:paraId="38D0106D"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21 644 800</w:t>
            </w:r>
          </w:p>
        </w:tc>
        <w:tc>
          <w:tcPr>
            <w:tcW w:w="1842" w:type="dxa"/>
            <w:tcBorders>
              <w:bottom w:val="single" w:sz="4" w:space="0" w:color="000000"/>
              <w:right w:val="single" w:sz="4" w:space="0" w:color="000000"/>
            </w:tcBorders>
            <w:shd w:val="clear" w:color="auto" w:fill="FFFF00"/>
            <w:noWrap/>
            <w:tcMar>
              <w:top w:w="0" w:type="dxa"/>
              <w:left w:w="70" w:type="dxa"/>
              <w:bottom w:w="0" w:type="dxa"/>
              <w:right w:w="70" w:type="dxa"/>
            </w:tcMar>
            <w:vAlign w:val="center"/>
          </w:tcPr>
          <w:p w14:paraId="2112E8D0"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30 689 600</w:t>
            </w:r>
          </w:p>
        </w:tc>
        <w:tc>
          <w:tcPr>
            <w:tcW w:w="1843" w:type="dxa"/>
            <w:tcBorders>
              <w:bottom w:val="single" w:sz="4" w:space="0" w:color="000000"/>
              <w:right w:val="single" w:sz="4" w:space="0" w:color="000000"/>
            </w:tcBorders>
            <w:shd w:val="clear" w:color="auto" w:fill="FFFF00"/>
            <w:noWrap/>
            <w:tcMar>
              <w:top w:w="0" w:type="dxa"/>
              <w:left w:w="70" w:type="dxa"/>
              <w:bottom w:w="0" w:type="dxa"/>
              <w:right w:w="70" w:type="dxa"/>
            </w:tcMar>
            <w:vAlign w:val="center"/>
          </w:tcPr>
          <w:p w14:paraId="6D7A246A"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78 679 200</w:t>
            </w:r>
          </w:p>
        </w:tc>
      </w:tr>
      <w:tr w:rsidR="00BC29B7" w14:paraId="3DFDD586" w14:textId="77777777" w:rsidTr="00192C75">
        <w:trPr>
          <w:trHeight w:val="170"/>
        </w:trPr>
        <w:tc>
          <w:tcPr>
            <w:tcW w:w="1842" w:type="dxa"/>
            <w:shd w:val="clear" w:color="auto" w:fill="auto"/>
            <w:noWrap/>
            <w:tcMar>
              <w:top w:w="0" w:type="dxa"/>
              <w:left w:w="70" w:type="dxa"/>
              <w:bottom w:w="0" w:type="dxa"/>
              <w:right w:w="70" w:type="dxa"/>
            </w:tcMar>
            <w:vAlign w:val="center"/>
          </w:tcPr>
          <w:p w14:paraId="38651BA1" w14:textId="77777777" w:rsidR="00BC29B7" w:rsidRDefault="00BC29B7">
            <w:pPr>
              <w:spacing w:after="0" w:line="240" w:lineRule="auto"/>
              <w:jc w:val="center"/>
              <w:rPr>
                <w:rFonts w:eastAsia="Times New Roman" w:cs="Calibri"/>
                <w:b/>
                <w:bCs/>
                <w:sz w:val="24"/>
                <w:szCs w:val="24"/>
                <w:lang w:eastAsia="cs-CZ"/>
              </w:rPr>
            </w:pPr>
          </w:p>
        </w:tc>
        <w:tc>
          <w:tcPr>
            <w:tcW w:w="1985" w:type="dxa"/>
            <w:shd w:val="clear" w:color="auto" w:fill="auto"/>
            <w:tcMar>
              <w:top w:w="0" w:type="dxa"/>
              <w:left w:w="70" w:type="dxa"/>
              <w:bottom w:w="0" w:type="dxa"/>
              <w:right w:w="70" w:type="dxa"/>
            </w:tcMar>
            <w:vAlign w:val="center"/>
          </w:tcPr>
          <w:p w14:paraId="19E1B793" w14:textId="77777777" w:rsidR="00BC29B7" w:rsidRPr="00192C75" w:rsidRDefault="00BC29B7">
            <w:pPr>
              <w:spacing w:after="0" w:line="240" w:lineRule="auto"/>
              <w:jc w:val="center"/>
              <w:rPr>
                <w:rFonts w:eastAsia="Times New Roman" w:cs="Calibri"/>
                <w:color w:val="auto"/>
                <w:sz w:val="20"/>
                <w:szCs w:val="20"/>
                <w:lang w:eastAsia="cs-CZ"/>
              </w:rPr>
            </w:pPr>
          </w:p>
        </w:tc>
        <w:tc>
          <w:tcPr>
            <w:tcW w:w="1134" w:type="dxa"/>
            <w:shd w:val="clear" w:color="auto" w:fill="auto"/>
            <w:noWrap/>
            <w:tcMar>
              <w:top w:w="0" w:type="dxa"/>
              <w:left w:w="70" w:type="dxa"/>
              <w:bottom w:w="0" w:type="dxa"/>
              <w:right w:w="70" w:type="dxa"/>
            </w:tcMar>
            <w:vAlign w:val="center"/>
          </w:tcPr>
          <w:p w14:paraId="034C42D8" w14:textId="77777777" w:rsidR="00BC29B7" w:rsidRPr="00192C75" w:rsidRDefault="00BC29B7">
            <w:pPr>
              <w:spacing w:after="0" w:line="240" w:lineRule="auto"/>
              <w:jc w:val="center"/>
              <w:rPr>
                <w:rFonts w:eastAsia="Times New Roman" w:cs="Calibri"/>
                <w:color w:val="auto"/>
                <w:sz w:val="20"/>
                <w:szCs w:val="20"/>
                <w:lang w:eastAsia="cs-CZ"/>
              </w:rPr>
            </w:pPr>
          </w:p>
        </w:tc>
        <w:tc>
          <w:tcPr>
            <w:tcW w:w="1701" w:type="dxa"/>
            <w:shd w:val="clear" w:color="auto" w:fill="auto"/>
            <w:noWrap/>
            <w:tcMar>
              <w:top w:w="0" w:type="dxa"/>
              <w:left w:w="70" w:type="dxa"/>
              <w:bottom w:w="0" w:type="dxa"/>
              <w:right w:w="70" w:type="dxa"/>
            </w:tcMar>
            <w:vAlign w:val="center"/>
          </w:tcPr>
          <w:p w14:paraId="1FAD140A" w14:textId="77777777" w:rsidR="00BC29B7" w:rsidRPr="00192C75" w:rsidRDefault="00BC29B7">
            <w:pPr>
              <w:spacing w:after="0" w:line="240" w:lineRule="auto"/>
              <w:jc w:val="center"/>
              <w:rPr>
                <w:rFonts w:eastAsia="Times New Roman" w:cs="Calibri"/>
                <w:color w:val="auto"/>
                <w:sz w:val="20"/>
                <w:szCs w:val="20"/>
                <w:lang w:eastAsia="cs-CZ"/>
              </w:rPr>
            </w:pPr>
          </w:p>
        </w:tc>
        <w:tc>
          <w:tcPr>
            <w:tcW w:w="1842" w:type="dxa"/>
            <w:shd w:val="clear" w:color="auto" w:fill="auto"/>
            <w:noWrap/>
            <w:tcMar>
              <w:top w:w="0" w:type="dxa"/>
              <w:left w:w="70" w:type="dxa"/>
              <w:bottom w:w="0" w:type="dxa"/>
              <w:right w:w="70" w:type="dxa"/>
            </w:tcMar>
            <w:vAlign w:val="center"/>
          </w:tcPr>
          <w:p w14:paraId="4DE6869F" w14:textId="77777777" w:rsidR="00BC29B7" w:rsidRPr="00192C75" w:rsidRDefault="00BC29B7">
            <w:pPr>
              <w:spacing w:after="0" w:line="240" w:lineRule="auto"/>
              <w:jc w:val="center"/>
              <w:rPr>
                <w:rFonts w:eastAsia="Times New Roman" w:cs="Calibri"/>
                <w:color w:val="auto"/>
                <w:sz w:val="20"/>
                <w:szCs w:val="20"/>
                <w:lang w:eastAsia="cs-CZ"/>
              </w:rPr>
            </w:pPr>
          </w:p>
        </w:tc>
        <w:tc>
          <w:tcPr>
            <w:tcW w:w="1843" w:type="dxa"/>
            <w:shd w:val="clear" w:color="auto" w:fill="auto"/>
            <w:noWrap/>
            <w:tcMar>
              <w:top w:w="0" w:type="dxa"/>
              <w:left w:w="70" w:type="dxa"/>
              <w:bottom w:w="0" w:type="dxa"/>
              <w:right w:w="70" w:type="dxa"/>
            </w:tcMar>
            <w:vAlign w:val="center"/>
          </w:tcPr>
          <w:p w14:paraId="1FC75B14" w14:textId="77777777" w:rsidR="00BC29B7" w:rsidRPr="00192C75" w:rsidRDefault="00BC29B7">
            <w:pPr>
              <w:spacing w:after="0" w:line="240" w:lineRule="auto"/>
              <w:jc w:val="center"/>
              <w:rPr>
                <w:rFonts w:eastAsia="Times New Roman" w:cs="Calibri"/>
                <w:color w:val="auto"/>
                <w:sz w:val="20"/>
                <w:szCs w:val="20"/>
                <w:lang w:eastAsia="cs-CZ"/>
              </w:rPr>
            </w:pPr>
          </w:p>
        </w:tc>
      </w:tr>
      <w:tr w:rsidR="00BC29B7" w14:paraId="73B507B0" w14:textId="77777777" w:rsidTr="00192C75">
        <w:trPr>
          <w:trHeight w:val="286"/>
        </w:trPr>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C000"/>
            <w:tcMar>
              <w:top w:w="0" w:type="dxa"/>
              <w:left w:w="70" w:type="dxa"/>
              <w:bottom w:w="0" w:type="dxa"/>
              <w:right w:w="70" w:type="dxa"/>
            </w:tcMar>
            <w:vAlign w:val="center"/>
          </w:tcPr>
          <w:p w14:paraId="4DF5458D"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Úřad pro technickou normalizaci, metrologii a státní zkušebnictví</w:t>
            </w:r>
          </w:p>
        </w:tc>
        <w:tc>
          <w:tcPr>
            <w:tcW w:w="198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57A2430"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Osobní náklady</w:t>
            </w:r>
          </w:p>
        </w:tc>
        <w:tc>
          <w:tcPr>
            <w:tcW w:w="1134"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9CB29D7"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Úvazky</w:t>
            </w:r>
          </w:p>
        </w:tc>
        <w:tc>
          <w:tcPr>
            <w:tcW w:w="1701" w:type="dxa"/>
            <w:tcBorders>
              <w:top w:val="single" w:sz="4" w:space="0" w:color="000000"/>
              <w:bottom w:val="single" w:sz="4" w:space="0" w:color="000000"/>
              <w:right w:val="single" w:sz="4" w:space="0" w:color="000000"/>
            </w:tcBorders>
            <w:shd w:val="clear" w:color="auto" w:fill="FFC000"/>
            <w:noWrap/>
            <w:tcMar>
              <w:top w:w="0" w:type="dxa"/>
              <w:left w:w="70" w:type="dxa"/>
              <w:bottom w:w="0" w:type="dxa"/>
              <w:right w:w="70" w:type="dxa"/>
            </w:tcMar>
            <w:vAlign w:val="center"/>
          </w:tcPr>
          <w:p w14:paraId="1211063C"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7</w:t>
            </w:r>
          </w:p>
        </w:tc>
        <w:tc>
          <w:tcPr>
            <w:tcW w:w="1842" w:type="dxa"/>
            <w:tcBorders>
              <w:top w:val="single" w:sz="4" w:space="0" w:color="000000"/>
              <w:bottom w:val="single" w:sz="4" w:space="0" w:color="000000"/>
              <w:right w:val="single" w:sz="4" w:space="0" w:color="000000"/>
            </w:tcBorders>
            <w:shd w:val="clear" w:color="auto" w:fill="FFC000"/>
            <w:noWrap/>
            <w:tcMar>
              <w:top w:w="0" w:type="dxa"/>
              <w:left w:w="70" w:type="dxa"/>
              <w:bottom w:w="0" w:type="dxa"/>
              <w:right w:w="70" w:type="dxa"/>
            </w:tcMar>
            <w:vAlign w:val="center"/>
          </w:tcPr>
          <w:p w14:paraId="3228D934"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7</w:t>
            </w:r>
          </w:p>
        </w:tc>
        <w:tc>
          <w:tcPr>
            <w:tcW w:w="1843" w:type="dxa"/>
            <w:tcBorders>
              <w:top w:val="single" w:sz="4" w:space="0" w:color="000000"/>
              <w:bottom w:val="single" w:sz="4" w:space="0" w:color="000000"/>
              <w:right w:val="single" w:sz="4" w:space="0" w:color="000000"/>
            </w:tcBorders>
            <w:shd w:val="clear" w:color="auto" w:fill="FFC000"/>
            <w:noWrap/>
            <w:tcMar>
              <w:top w:w="0" w:type="dxa"/>
              <w:left w:w="70" w:type="dxa"/>
              <w:bottom w:w="0" w:type="dxa"/>
              <w:right w:w="70" w:type="dxa"/>
            </w:tcMar>
            <w:vAlign w:val="center"/>
          </w:tcPr>
          <w:p w14:paraId="64217C93"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7</w:t>
            </w:r>
          </w:p>
        </w:tc>
      </w:tr>
      <w:tr w:rsidR="00BC29B7" w14:paraId="5A4E8A8C"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FFC000"/>
            <w:tcMar>
              <w:top w:w="0" w:type="dxa"/>
              <w:left w:w="70" w:type="dxa"/>
              <w:bottom w:w="0" w:type="dxa"/>
              <w:right w:w="70" w:type="dxa"/>
            </w:tcMar>
            <w:vAlign w:val="center"/>
          </w:tcPr>
          <w:p w14:paraId="02F4E78C"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639C09" w14:textId="77777777" w:rsidR="00BC29B7" w:rsidRPr="00192C75" w:rsidRDefault="00BC29B7">
            <w:pPr>
              <w:spacing w:after="0" w:line="240" w:lineRule="auto"/>
              <w:jc w:val="center"/>
              <w:rPr>
                <w:rFonts w:eastAsia="Times New Roman" w:cs="Calibri"/>
                <w:sz w:val="20"/>
                <w:szCs w:val="20"/>
                <w:lang w:eastAsia="cs-CZ"/>
              </w:rPr>
            </w:pP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65C542"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Rozpočet Kč</w:t>
            </w: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4D6A75"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9 000 000</w:t>
            </w:r>
          </w:p>
        </w:tc>
        <w:tc>
          <w:tcPr>
            <w:tcW w:w="184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F9CE04"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9 000 000</w:t>
            </w:r>
          </w:p>
        </w:tc>
        <w:tc>
          <w:tcPr>
            <w:tcW w:w="184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1613C2F"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9 000 000</w:t>
            </w:r>
          </w:p>
        </w:tc>
      </w:tr>
      <w:tr w:rsidR="00BC29B7" w14:paraId="5AA30DF9"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FFC000"/>
            <w:tcMar>
              <w:top w:w="0" w:type="dxa"/>
              <w:left w:w="70" w:type="dxa"/>
              <w:bottom w:w="0" w:type="dxa"/>
              <w:right w:w="70" w:type="dxa"/>
            </w:tcMar>
            <w:vAlign w:val="center"/>
          </w:tcPr>
          <w:p w14:paraId="122614E6"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9FC6E94"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Náklady na odborné vybavení</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42B185B" w14:textId="77777777" w:rsidR="00BC29B7" w:rsidRPr="00192C75" w:rsidRDefault="00BC29B7">
            <w:pPr>
              <w:spacing w:after="0" w:line="240" w:lineRule="auto"/>
              <w:jc w:val="center"/>
              <w:rPr>
                <w:rFonts w:eastAsia="Times New Roman" w:cs="Calibri"/>
                <w:sz w:val="20"/>
                <w:szCs w:val="20"/>
                <w:lang w:eastAsia="cs-CZ"/>
              </w:rPr>
            </w:pP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45226D0"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500 000</w:t>
            </w:r>
          </w:p>
        </w:tc>
        <w:tc>
          <w:tcPr>
            <w:tcW w:w="184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A7C58B"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150 000</w:t>
            </w:r>
          </w:p>
        </w:tc>
        <w:tc>
          <w:tcPr>
            <w:tcW w:w="184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5522004"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150 000</w:t>
            </w:r>
          </w:p>
        </w:tc>
      </w:tr>
      <w:tr w:rsidR="00BC29B7" w14:paraId="76DE6A50"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FFC000"/>
            <w:tcMar>
              <w:top w:w="0" w:type="dxa"/>
              <w:left w:w="70" w:type="dxa"/>
              <w:bottom w:w="0" w:type="dxa"/>
              <w:right w:w="70" w:type="dxa"/>
            </w:tcMar>
            <w:vAlign w:val="center"/>
          </w:tcPr>
          <w:p w14:paraId="3C5BDF1A"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B8AB386"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Náklady na provoz</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15F5AC" w14:textId="77777777" w:rsidR="00BC29B7" w:rsidRPr="00192C75" w:rsidRDefault="00BC29B7">
            <w:pPr>
              <w:spacing w:after="0" w:line="240" w:lineRule="auto"/>
              <w:jc w:val="center"/>
              <w:rPr>
                <w:rFonts w:eastAsia="Times New Roman" w:cs="Calibri"/>
                <w:sz w:val="20"/>
                <w:szCs w:val="20"/>
                <w:lang w:eastAsia="cs-CZ"/>
              </w:rPr>
            </w:pP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7E80BA"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760 000</w:t>
            </w:r>
          </w:p>
        </w:tc>
        <w:tc>
          <w:tcPr>
            <w:tcW w:w="184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C1D5716"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500 000</w:t>
            </w:r>
          </w:p>
        </w:tc>
        <w:tc>
          <w:tcPr>
            <w:tcW w:w="184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A2A69C"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500 000</w:t>
            </w:r>
          </w:p>
        </w:tc>
      </w:tr>
      <w:tr w:rsidR="00BC29B7" w14:paraId="0FD141F1"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FFC000"/>
            <w:tcMar>
              <w:top w:w="0" w:type="dxa"/>
              <w:left w:w="70" w:type="dxa"/>
              <w:bottom w:w="0" w:type="dxa"/>
              <w:right w:w="70" w:type="dxa"/>
            </w:tcMar>
            <w:vAlign w:val="center"/>
          </w:tcPr>
          <w:p w14:paraId="4DA16F61"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3AC0DE"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Nákup externích služeb</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A05DC50" w14:textId="77777777" w:rsidR="00BC29B7" w:rsidRPr="00192C75" w:rsidRDefault="00BC29B7">
            <w:pPr>
              <w:spacing w:after="0" w:line="240" w:lineRule="auto"/>
              <w:jc w:val="center"/>
              <w:rPr>
                <w:rFonts w:eastAsia="Times New Roman" w:cs="Calibri"/>
                <w:sz w:val="20"/>
                <w:szCs w:val="20"/>
                <w:lang w:eastAsia="cs-CZ"/>
              </w:rPr>
            </w:pP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DE1D6D5"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500 000</w:t>
            </w:r>
          </w:p>
        </w:tc>
        <w:tc>
          <w:tcPr>
            <w:tcW w:w="184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BFB8743"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500 000</w:t>
            </w:r>
          </w:p>
        </w:tc>
        <w:tc>
          <w:tcPr>
            <w:tcW w:w="184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810609"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500 000</w:t>
            </w:r>
          </w:p>
        </w:tc>
      </w:tr>
      <w:tr w:rsidR="00BC29B7" w14:paraId="539BC8B1"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FFC000"/>
            <w:tcMar>
              <w:top w:w="0" w:type="dxa"/>
              <w:left w:w="70" w:type="dxa"/>
              <w:bottom w:w="0" w:type="dxa"/>
              <w:right w:w="70" w:type="dxa"/>
            </w:tcMar>
            <w:vAlign w:val="center"/>
          </w:tcPr>
          <w:p w14:paraId="69DB76A4"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3636558"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Celkem</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733ACCC" w14:textId="77777777" w:rsidR="00BC29B7" w:rsidRPr="00192C75" w:rsidRDefault="00BC29B7">
            <w:pPr>
              <w:spacing w:after="0" w:line="240" w:lineRule="auto"/>
              <w:jc w:val="center"/>
              <w:rPr>
                <w:rFonts w:eastAsia="Times New Roman" w:cs="Calibri"/>
                <w:sz w:val="20"/>
                <w:szCs w:val="20"/>
                <w:lang w:eastAsia="cs-CZ"/>
              </w:rPr>
            </w:pPr>
          </w:p>
        </w:tc>
        <w:tc>
          <w:tcPr>
            <w:tcW w:w="1701" w:type="dxa"/>
            <w:tcBorders>
              <w:bottom w:val="single" w:sz="4" w:space="0" w:color="000000"/>
              <w:right w:val="single" w:sz="4" w:space="0" w:color="000000"/>
            </w:tcBorders>
            <w:shd w:val="clear" w:color="auto" w:fill="FFC000"/>
            <w:noWrap/>
            <w:tcMar>
              <w:top w:w="0" w:type="dxa"/>
              <w:left w:w="70" w:type="dxa"/>
              <w:bottom w:w="0" w:type="dxa"/>
              <w:right w:w="70" w:type="dxa"/>
            </w:tcMar>
            <w:vAlign w:val="center"/>
          </w:tcPr>
          <w:p w14:paraId="5478E10E"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10 760 000</w:t>
            </w:r>
          </w:p>
        </w:tc>
        <w:tc>
          <w:tcPr>
            <w:tcW w:w="1842" w:type="dxa"/>
            <w:tcBorders>
              <w:bottom w:val="single" w:sz="4" w:space="0" w:color="000000"/>
              <w:right w:val="single" w:sz="4" w:space="0" w:color="000000"/>
            </w:tcBorders>
            <w:shd w:val="clear" w:color="auto" w:fill="FFC000"/>
            <w:noWrap/>
            <w:tcMar>
              <w:top w:w="0" w:type="dxa"/>
              <w:left w:w="70" w:type="dxa"/>
              <w:bottom w:w="0" w:type="dxa"/>
              <w:right w:w="70" w:type="dxa"/>
            </w:tcMar>
            <w:vAlign w:val="center"/>
          </w:tcPr>
          <w:p w14:paraId="3C5EB2D9"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10 150 000</w:t>
            </w:r>
          </w:p>
        </w:tc>
        <w:tc>
          <w:tcPr>
            <w:tcW w:w="1843" w:type="dxa"/>
            <w:tcBorders>
              <w:bottom w:val="single" w:sz="4" w:space="0" w:color="000000"/>
              <w:right w:val="single" w:sz="4" w:space="0" w:color="000000"/>
            </w:tcBorders>
            <w:shd w:val="clear" w:color="auto" w:fill="FFC000"/>
            <w:noWrap/>
            <w:tcMar>
              <w:top w:w="0" w:type="dxa"/>
              <w:left w:w="70" w:type="dxa"/>
              <w:bottom w:w="0" w:type="dxa"/>
              <w:right w:w="70" w:type="dxa"/>
            </w:tcMar>
            <w:vAlign w:val="center"/>
          </w:tcPr>
          <w:p w14:paraId="180003BB"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10 150 000</w:t>
            </w:r>
          </w:p>
        </w:tc>
      </w:tr>
      <w:tr w:rsidR="00BC29B7" w14:paraId="1D3A30F2" w14:textId="77777777" w:rsidTr="00192C75">
        <w:trPr>
          <w:trHeight w:val="170"/>
        </w:trPr>
        <w:tc>
          <w:tcPr>
            <w:tcW w:w="1842" w:type="dxa"/>
            <w:shd w:val="clear" w:color="auto" w:fill="auto"/>
            <w:noWrap/>
            <w:tcMar>
              <w:top w:w="0" w:type="dxa"/>
              <w:left w:w="70" w:type="dxa"/>
              <w:bottom w:w="0" w:type="dxa"/>
              <w:right w:w="70" w:type="dxa"/>
            </w:tcMar>
            <w:vAlign w:val="center"/>
          </w:tcPr>
          <w:p w14:paraId="1A6F0B24" w14:textId="77777777" w:rsidR="00BC29B7" w:rsidRDefault="00BC29B7">
            <w:pPr>
              <w:spacing w:after="0" w:line="240" w:lineRule="auto"/>
              <w:jc w:val="center"/>
              <w:rPr>
                <w:rFonts w:eastAsia="Times New Roman" w:cs="Calibri"/>
                <w:b/>
                <w:bCs/>
                <w:sz w:val="24"/>
                <w:szCs w:val="24"/>
                <w:lang w:eastAsia="cs-CZ"/>
              </w:rPr>
            </w:pPr>
          </w:p>
        </w:tc>
        <w:tc>
          <w:tcPr>
            <w:tcW w:w="1985" w:type="dxa"/>
            <w:shd w:val="clear" w:color="auto" w:fill="auto"/>
            <w:tcMar>
              <w:top w:w="0" w:type="dxa"/>
              <w:left w:w="70" w:type="dxa"/>
              <w:bottom w:w="0" w:type="dxa"/>
              <w:right w:w="70" w:type="dxa"/>
            </w:tcMar>
            <w:vAlign w:val="center"/>
          </w:tcPr>
          <w:p w14:paraId="310B1994" w14:textId="77777777" w:rsidR="00BC29B7" w:rsidRPr="00192C75" w:rsidRDefault="00BC29B7">
            <w:pPr>
              <w:spacing w:after="0" w:line="240" w:lineRule="auto"/>
              <w:jc w:val="center"/>
              <w:rPr>
                <w:rFonts w:eastAsia="Times New Roman" w:cs="Calibri"/>
                <w:color w:val="auto"/>
                <w:sz w:val="20"/>
                <w:szCs w:val="20"/>
                <w:lang w:eastAsia="cs-CZ"/>
              </w:rPr>
            </w:pPr>
          </w:p>
        </w:tc>
        <w:tc>
          <w:tcPr>
            <w:tcW w:w="1134" w:type="dxa"/>
            <w:shd w:val="clear" w:color="auto" w:fill="auto"/>
            <w:noWrap/>
            <w:tcMar>
              <w:top w:w="0" w:type="dxa"/>
              <w:left w:w="70" w:type="dxa"/>
              <w:bottom w:w="0" w:type="dxa"/>
              <w:right w:w="70" w:type="dxa"/>
            </w:tcMar>
            <w:vAlign w:val="center"/>
          </w:tcPr>
          <w:p w14:paraId="11E110C5" w14:textId="77777777" w:rsidR="00BC29B7" w:rsidRPr="00192C75" w:rsidRDefault="00BC29B7">
            <w:pPr>
              <w:spacing w:after="0" w:line="240" w:lineRule="auto"/>
              <w:jc w:val="center"/>
              <w:rPr>
                <w:rFonts w:eastAsia="Times New Roman" w:cs="Calibri"/>
                <w:color w:val="auto"/>
                <w:sz w:val="20"/>
                <w:szCs w:val="20"/>
                <w:lang w:eastAsia="cs-CZ"/>
              </w:rPr>
            </w:pPr>
          </w:p>
        </w:tc>
        <w:tc>
          <w:tcPr>
            <w:tcW w:w="1701" w:type="dxa"/>
            <w:shd w:val="clear" w:color="auto" w:fill="auto"/>
            <w:noWrap/>
            <w:tcMar>
              <w:top w:w="0" w:type="dxa"/>
              <w:left w:w="70" w:type="dxa"/>
              <w:bottom w:w="0" w:type="dxa"/>
              <w:right w:w="70" w:type="dxa"/>
            </w:tcMar>
            <w:vAlign w:val="center"/>
          </w:tcPr>
          <w:p w14:paraId="024D0C6B" w14:textId="77777777" w:rsidR="00BC29B7" w:rsidRPr="00192C75" w:rsidRDefault="00BC29B7">
            <w:pPr>
              <w:spacing w:after="0" w:line="240" w:lineRule="auto"/>
              <w:jc w:val="center"/>
              <w:rPr>
                <w:rFonts w:eastAsia="Times New Roman" w:cs="Calibri"/>
                <w:color w:val="auto"/>
                <w:sz w:val="20"/>
                <w:szCs w:val="20"/>
                <w:lang w:eastAsia="cs-CZ"/>
              </w:rPr>
            </w:pPr>
          </w:p>
        </w:tc>
        <w:tc>
          <w:tcPr>
            <w:tcW w:w="1842" w:type="dxa"/>
            <w:shd w:val="clear" w:color="auto" w:fill="auto"/>
            <w:noWrap/>
            <w:tcMar>
              <w:top w:w="0" w:type="dxa"/>
              <w:left w:w="70" w:type="dxa"/>
              <w:bottom w:w="0" w:type="dxa"/>
              <w:right w:w="70" w:type="dxa"/>
            </w:tcMar>
            <w:vAlign w:val="center"/>
          </w:tcPr>
          <w:p w14:paraId="60E216D9" w14:textId="77777777" w:rsidR="00BC29B7" w:rsidRPr="00192C75" w:rsidRDefault="00BC29B7">
            <w:pPr>
              <w:spacing w:after="0" w:line="240" w:lineRule="auto"/>
              <w:jc w:val="center"/>
              <w:rPr>
                <w:rFonts w:eastAsia="Times New Roman" w:cs="Calibri"/>
                <w:color w:val="auto"/>
                <w:sz w:val="20"/>
                <w:szCs w:val="20"/>
                <w:lang w:eastAsia="cs-CZ"/>
              </w:rPr>
            </w:pPr>
          </w:p>
        </w:tc>
        <w:tc>
          <w:tcPr>
            <w:tcW w:w="1843" w:type="dxa"/>
            <w:shd w:val="clear" w:color="auto" w:fill="auto"/>
            <w:noWrap/>
            <w:tcMar>
              <w:top w:w="0" w:type="dxa"/>
              <w:left w:w="70" w:type="dxa"/>
              <w:bottom w:w="0" w:type="dxa"/>
              <w:right w:w="70" w:type="dxa"/>
            </w:tcMar>
            <w:vAlign w:val="center"/>
          </w:tcPr>
          <w:p w14:paraId="5C936297" w14:textId="77777777" w:rsidR="00BC29B7" w:rsidRPr="00192C75" w:rsidRDefault="00BC29B7">
            <w:pPr>
              <w:spacing w:after="0" w:line="240" w:lineRule="auto"/>
              <w:jc w:val="center"/>
              <w:rPr>
                <w:rFonts w:eastAsia="Times New Roman" w:cs="Calibri"/>
                <w:color w:val="auto"/>
                <w:sz w:val="20"/>
                <w:szCs w:val="20"/>
                <w:lang w:eastAsia="cs-CZ"/>
              </w:rPr>
            </w:pPr>
          </w:p>
        </w:tc>
      </w:tr>
      <w:tr w:rsidR="00BC29B7" w14:paraId="1478C64C" w14:textId="77777777" w:rsidTr="00192C75">
        <w:trPr>
          <w:trHeight w:val="286"/>
        </w:trPr>
        <w:tc>
          <w:tcPr>
            <w:tcW w:w="1842" w:type="dxa"/>
            <w:vMerge w:val="restart"/>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vAlign w:val="center"/>
          </w:tcPr>
          <w:p w14:paraId="5C747194" w14:textId="32972782" w:rsidR="00BC29B7" w:rsidRDefault="00750B88">
            <w:pPr>
              <w:spacing w:after="0" w:line="240" w:lineRule="auto"/>
              <w:jc w:val="center"/>
            </w:pPr>
            <w:r>
              <w:rPr>
                <w:rFonts w:eastAsia="Times New Roman" w:cs="Calibri"/>
                <w:b/>
                <w:bCs/>
                <w:sz w:val="24"/>
                <w:szCs w:val="24"/>
                <w:lang w:eastAsia="cs-CZ"/>
              </w:rPr>
              <w:t>oznámen</w:t>
            </w:r>
            <w:r w:rsidR="00B842A1">
              <w:rPr>
                <w:rFonts w:eastAsia="Times New Roman" w:cs="Calibri"/>
                <w:b/>
                <w:bCs/>
                <w:sz w:val="24"/>
                <w:szCs w:val="24"/>
                <w:lang w:eastAsia="cs-CZ"/>
              </w:rPr>
              <w:t xml:space="preserve">ý </w:t>
            </w:r>
            <w:r>
              <w:rPr>
                <w:rFonts w:eastAsia="Times New Roman" w:cs="Calibri"/>
                <w:b/>
                <w:bCs/>
                <w:sz w:val="24"/>
                <w:szCs w:val="24"/>
                <w:lang w:eastAsia="cs-CZ"/>
              </w:rPr>
              <w:t>subjekt</w:t>
            </w:r>
          </w:p>
        </w:tc>
        <w:tc>
          <w:tcPr>
            <w:tcW w:w="198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362769"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Osobní náklady</w:t>
            </w:r>
          </w:p>
        </w:tc>
        <w:tc>
          <w:tcPr>
            <w:tcW w:w="1134"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A92CF86"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Úvazky</w:t>
            </w:r>
          </w:p>
        </w:tc>
        <w:tc>
          <w:tcPr>
            <w:tcW w:w="1701" w:type="dxa"/>
            <w:tcBorders>
              <w:top w:val="single" w:sz="4" w:space="0" w:color="000000"/>
              <w:bottom w:val="single" w:sz="4" w:space="0" w:color="000000"/>
              <w:right w:val="single" w:sz="4" w:space="0" w:color="000000"/>
            </w:tcBorders>
            <w:shd w:val="clear" w:color="auto" w:fill="92D050"/>
            <w:noWrap/>
            <w:tcMar>
              <w:top w:w="0" w:type="dxa"/>
              <w:left w:w="70" w:type="dxa"/>
              <w:bottom w:w="0" w:type="dxa"/>
              <w:right w:w="70" w:type="dxa"/>
            </w:tcMar>
            <w:vAlign w:val="center"/>
          </w:tcPr>
          <w:p w14:paraId="3D2FFC34"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4</w:t>
            </w:r>
          </w:p>
        </w:tc>
        <w:tc>
          <w:tcPr>
            <w:tcW w:w="1842" w:type="dxa"/>
            <w:tcBorders>
              <w:top w:val="single" w:sz="4" w:space="0" w:color="000000"/>
              <w:bottom w:val="single" w:sz="4" w:space="0" w:color="000000"/>
              <w:right w:val="single" w:sz="4" w:space="0" w:color="000000"/>
            </w:tcBorders>
            <w:shd w:val="clear" w:color="auto" w:fill="92D050"/>
            <w:noWrap/>
            <w:tcMar>
              <w:top w:w="0" w:type="dxa"/>
              <w:left w:w="70" w:type="dxa"/>
              <w:bottom w:w="0" w:type="dxa"/>
              <w:right w:w="70" w:type="dxa"/>
            </w:tcMar>
            <w:vAlign w:val="center"/>
          </w:tcPr>
          <w:p w14:paraId="74EB3D64"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4</w:t>
            </w:r>
          </w:p>
        </w:tc>
        <w:tc>
          <w:tcPr>
            <w:tcW w:w="1843" w:type="dxa"/>
            <w:tcBorders>
              <w:top w:val="single" w:sz="4" w:space="0" w:color="000000"/>
              <w:bottom w:val="single" w:sz="4" w:space="0" w:color="000000"/>
              <w:right w:val="single" w:sz="4" w:space="0" w:color="000000"/>
            </w:tcBorders>
            <w:shd w:val="clear" w:color="auto" w:fill="92D050"/>
            <w:noWrap/>
            <w:tcMar>
              <w:top w:w="0" w:type="dxa"/>
              <w:left w:w="70" w:type="dxa"/>
              <w:bottom w:w="0" w:type="dxa"/>
              <w:right w:w="70" w:type="dxa"/>
            </w:tcMar>
            <w:vAlign w:val="center"/>
          </w:tcPr>
          <w:p w14:paraId="7F9F11BF"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4</w:t>
            </w:r>
          </w:p>
        </w:tc>
      </w:tr>
      <w:tr w:rsidR="00BC29B7" w14:paraId="657CAB26"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vAlign w:val="center"/>
          </w:tcPr>
          <w:p w14:paraId="785C1976"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049CB7E" w14:textId="77777777" w:rsidR="00BC29B7" w:rsidRPr="00192C75" w:rsidRDefault="00BC29B7">
            <w:pPr>
              <w:spacing w:after="0" w:line="240" w:lineRule="auto"/>
              <w:jc w:val="center"/>
              <w:rPr>
                <w:rFonts w:eastAsia="Times New Roman" w:cs="Calibri"/>
                <w:b/>
                <w:bCs/>
                <w:sz w:val="20"/>
                <w:szCs w:val="20"/>
                <w:lang w:eastAsia="cs-CZ"/>
              </w:rPr>
            </w:pP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A104B8F"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DPP/DPČ</w:t>
            </w:r>
          </w:p>
        </w:tc>
        <w:tc>
          <w:tcPr>
            <w:tcW w:w="1701" w:type="dxa"/>
            <w:tcBorders>
              <w:bottom w:val="single" w:sz="4" w:space="0" w:color="000000"/>
              <w:right w:val="single" w:sz="4" w:space="0" w:color="000000"/>
            </w:tcBorders>
            <w:shd w:val="clear" w:color="auto" w:fill="92D050"/>
            <w:noWrap/>
            <w:tcMar>
              <w:top w:w="0" w:type="dxa"/>
              <w:left w:w="70" w:type="dxa"/>
              <w:bottom w:w="0" w:type="dxa"/>
              <w:right w:w="70" w:type="dxa"/>
            </w:tcMar>
            <w:vAlign w:val="center"/>
          </w:tcPr>
          <w:p w14:paraId="4E2F7BED"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4</w:t>
            </w:r>
          </w:p>
        </w:tc>
        <w:tc>
          <w:tcPr>
            <w:tcW w:w="1842" w:type="dxa"/>
            <w:tcBorders>
              <w:bottom w:val="single" w:sz="4" w:space="0" w:color="000000"/>
              <w:right w:val="single" w:sz="4" w:space="0" w:color="000000"/>
            </w:tcBorders>
            <w:shd w:val="clear" w:color="auto" w:fill="92D050"/>
            <w:noWrap/>
            <w:tcMar>
              <w:top w:w="0" w:type="dxa"/>
              <w:left w:w="70" w:type="dxa"/>
              <w:bottom w:w="0" w:type="dxa"/>
              <w:right w:w="70" w:type="dxa"/>
            </w:tcMar>
            <w:vAlign w:val="center"/>
          </w:tcPr>
          <w:p w14:paraId="0EB20632"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4</w:t>
            </w:r>
          </w:p>
        </w:tc>
        <w:tc>
          <w:tcPr>
            <w:tcW w:w="1843" w:type="dxa"/>
            <w:tcBorders>
              <w:bottom w:val="single" w:sz="4" w:space="0" w:color="000000"/>
              <w:right w:val="single" w:sz="4" w:space="0" w:color="000000"/>
            </w:tcBorders>
            <w:shd w:val="clear" w:color="auto" w:fill="92D050"/>
            <w:noWrap/>
            <w:tcMar>
              <w:top w:w="0" w:type="dxa"/>
              <w:left w:w="70" w:type="dxa"/>
              <w:bottom w:w="0" w:type="dxa"/>
              <w:right w:w="70" w:type="dxa"/>
            </w:tcMar>
            <w:vAlign w:val="center"/>
          </w:tcPr>
          <w:p w14:paraId="5EA4707F"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4</w:t>
            </w:r>
          </w:p>
        </w:tc>
      </w:tr>
      <w:tr w:rsidR="00BC29B7" w14:paraId="3225A67A"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vAlign w:val="center"/>
          </w:tcPr>
          <w:p w14:paraId="7ABECA09"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459B76E" w14:textId="77777777" w:rsidR="00BC29B7" w:rsidRPr="00192C75" w:rsidRDefault="00BC29B7">
            <w:pPr>
              <w:spacing w:after="0" w:line="240" w:lineRule="auto"/>
              <w:jc w:val="center"/>
              <w:rPr>
                <w:rFonts w:eastAsia="Times New Roman" w:cs="Calibri"/>
                <w:sz w:val="20"/>
                <w:szCs w:val="20"/>
                <w:lang w:eastAsia="cs-CZ"/>
              </w:rPr>
            </w:pP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DEA9B1"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Rozpočet Kč</w:t>
            </w: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209DA6"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6 500 000</w:t>
            </w:r>
          </w:p>
        </w:tc>
        <w:tc>
          <w:tcPr>
            <w:tcW w:w="184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34CEBE7"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5 000 000</w:t>
            </w:r>
          </w:p>
        </w:tc>
        <w:tc>
          <w:tcPr>
            <w:tcW w:w="184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02F95F"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r>
      <w:tr w:rsidR="00BC29B7" w14:paraId="482FE7F4"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vAlign w:val="center"/>
          </w:tcPr>
          <w:p w14:paraId="69705E8D"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6E824F6"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Náklady na odborné vybavení</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DEADC2" w14:textId="77777777" w:rsidR="00BC29B7" w:rsidRPr="00192C75" w:rsidRDefault="00BC29B7">
            <w:pPr>
              <w:spacing w:after="0" w:line="240" w:lineRule="auto"/>
              <w:jc w:val="center"/>
              <w:rPr>
                <w:rFonts w:eastAsia="Times New Roman" w:cs="Calibri"/>
                <w:sz w:val="20"/>
                <w:szCs w:val="20"/>
                <w:lang w:eastAsia="cs-CZ"/>
              </w:rPr>
            </w:pP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3BCD4C1"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11 200 000</w:t>
            </w:r>
          </w:p>
        </w:tc>
        <w:tc>
          <w:tcPr>
            <w:tcW w:w="184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3AAB75"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c>
          <w:tcPr>
            <w:tcW w:w="184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D07BF3"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r>
      <w:tr w:rsidR="00BC29B7" w14:paraId="3EC5BB53"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vAlign w:val="center"/>
          </w:tcPr>
          <w:p w14:paraId="70E24AD6"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45DF3B9"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Náklady na provoz</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35BBCFA" w14:textId="77777777" w:rsidR="00BC29B7" w:rsidRPr="00192C75" w:rsidRDefault="00BC29B7">
            <w:pPr>
              <w:spacing w:after="0" w:line="240" w:lineRule="auto"/>
              <w:jc w:val="center"/>
              <w:rPr>
                <w:rFonts w:eastAsia="Times New Roman" w:cs="Calibri"/>
                <w:sz w:val="20"/>
                <w:szCs w:val="20"/>
                <w:lang w:eastAsia="cs-CZ"/>
              </w:rPr>
            </w:pP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6D8236"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1 200 000</w:t>
            </w:r>
          </w:p>
        </w:tc>
        <w:tc>
          <w:tcPr>
            <w:tcW w:w="184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291EB8"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c>
          <w:tcPr>
            <w:tcW w:w="184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8C4F29"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r>
      <w:tr w:rsidR="00BC29B7" w14:paraId="722085BE"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vAlign w:val="center"/>
          </w:tcPr>
          <w:p w14:paraId="42B03A6A"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BDD77C"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Nákup externích služeb</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00AE39" w14:textId="77777777" w:rsidR="00BC29B7" w:rsidRPr="00192C75" w:rsidRDefault="00BC29B7">
            <w:pPr>
              <w:spacing w:after="0" w:line="240" w:lineRule="auto"/>
              <w:jc w:val="center"/>
              <w:rPr>
                <w:rFonts w:eastAsia="Times New Roman" w:cs="Calibri"/>
                <w:sz w:val="20"/>
                <w:szCs w:val="20"/>
                <w:lang w:eastAsia="cs-CZ"/>
              </w:rPr>
            </w:pP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28BC69"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1 400 000</w:t>
            </w:r>
          </w:p>
        </w:tc>
        <w:tc>
          <w:tcPr>
            <w:tcW w:w="184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5D10426"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c>
          <w:tcPr>
            <w:tcW w:w="184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991753"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r>
      <w:tr w:rsidR="00BC29B7" w14:paraId="7A65BC99"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vAlign w:val="center"/>
          </w:tcPr>
          <w:p w14:paraId="64B7CBDF"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A1521F8"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Celkem</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C51FE2" w14:textId="77777777" w:rsidR="00BC29B7" w:rsidRPr="00192C75" w:rsidRDefault="00BC29B7">
            <w:pPr>
              <w:spacing w:after="0" w:line="240" w:lineRule="auto"/>
              <w:jc w:val="center"/>
              <w:rPr>
                <w:rFonts w:eastAsia="Times New Roman" w:cs="Calibri"/>
                <w:sz w:val="20"/>
                <w:szCs w:val="20"/>
                <w:lang w:eastAsia="cs-CZ"/>
              </w:rPr>
            </w:pPr>
          </w:p>
        </w:tc>
        <w:tc>
          <w:tcPr>
            <w:tcW w:w="1701" w:type="dxa"/>
            <w:tcBorders>
              <w:bottom w:val="single" w:sz="4" w:space="0" w:color="000000"/>
              <w:right w:val="single" w:sz="4" w:space="0" w:color="000000"/>
            </w:tcBorders>
            <w:shd w:val="clear" w:color="auto" w:fill="92D050"/>
            <w:noWrap/>
            <w:tcMar>
              <w:top w:w="0" w:type="dxa"/>
              <w:left w:w="70" w:type="dxa"/>
              <w:bottom w:w="0" w:type="dxa"/>
              <w:right w:w="70" w:type="dxa"/>
            </w:tcMar>
            <w:vAlign w:val="center"/>
          </w:tcPr>
          <w:p w14:paraId="0064CD17"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20 300 000</w:t>
            </w:r>
          </w:p>
        </w:tc>
        <w:tc>
          <w:tcPr>
            <w:tcW w:w="1842" w:type="dxa"/>
            <w:tcBorders>
              <w:bottom w:val="single" w:sz="4" w:space="0" w:color="000000"/>
              <w:right w:val="single" w:sz="4" w:space="0" w:color="000000"/>
            </w:tcBorders>
            <w:shd w:val="clear" w:color="auto" w:fill="92D050"/>
            <w:noWrap/>
            <w:tcMar>
              <w:top w:w="0" w:type="dxa"/>
              <w:left w:w="70" w:type="dxa"/>
              <w:bottom w:w="0" w:type="dxa"/>
              <w:right w:w="70" w:type="dxa"/>
            </w:tcMar>
            <w:vAlign w:val="center"/>
          </w:tcPr>
          <w:p w14:paraId="361C905F"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5 000 000</w:t>
            </w:r>
          </w:p>
        </w:tc>
        <w:tc>
          <w:tcPr>
            <w:tcW w:w="1843" w:type="dxa"/>
            <w:tcBorders>
              <w:bottom w:val="single" w:sz="4" w:space="0" w:color="000000"/>
              <w:right w:val="single" w:sz="4" w:space="0" w:color="000000"/>
            </w:tcBorders>
            <w:shd w:val="clear" w:color="auto" w:fill="92D050"/>
            <w:noWrap/>
            <w:tcMar>
              <w:top w:w="0" w:type="dxa"/>
              <w:left w:w="70" w:type="dxa"/>
              <w:bottom w:w="0" w:type="dxa"/>
              <w:right w:w="70" w:type="dxa"/>
            </w:tcMar>
            <w:vAlign w:val="center"/>
          </w:tcPr>
          <w:p w14:paraId="00DB5C04"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w:t>
            </w:r>
          </w:p>
        </w:tc>
      </w:tr>
      <w:tr w:rsidR="00BC29B7" w14:paraId="114466AA" w14:textId="77777777" w:rsidTr="00192C75">
        <w:trPr>
          <w:trHeight w:val="170"/>
        </w:trPr>
        <w:tc>
          <w:tcPr>
            <w:tcW w:w="1842" w:type="dxa"/>
            <w:shd w:val="clear" w:color="auto" w:fill="auto"/>
            <w:noWrap/>
            <w:tcMar>
              <w:top w:w="0" w:type="dxa"/>
              <w:left w:w="70" w:type="dxa"/>
              <w:bottom w:w="0" w:type="dxa"/>
              <w:right w:w="70" w:type="dxa"/>
            </w:tcMar>
            <w:vAlign w:val="center"/>
          </w:tcPr>
          <w:p w14:paraId="2C012DCC" w14:textId="77777777" w:rsidR="00BC29B7" w:rsidRDefault="00BC29B7">
            <w:pPr>
              <w:spacing w:after="0" w:line="240" w:lineRule="auto"/>
              <w:jc w:val="center"/>
              <w:rPr>
                <w:rFonts w:eastAsia="Times New Roman" w:cs="Calibri"/>
                <w:b/>
                <w:bCs/>
                <w:sz w:val="24"/>
                <w:szCs w:val="24"/>
                <w:lang w:eastAsia="cs-CZ"/>
              </w:rPr>
            </w:pPr>
          </w:p>
        </w:tc>
        <w:tc>
          <w:tcPr>
            <w:tcW w:w="1985" w:type="dxa"/>
            <w:shd w:val="clear" w:color="auto" w:fill="auto"/>
            <w:tcMar>
              <w:top w:w="0" w:type="dxa"/>
              <w:left w:w="70" w:type="dxa"/>
              <w:bottom w:w="0" w:type="dxa"/>
              <w:right w:w="70" w:type="dxa"/>
            </w:tcMar>
            <w:vAlign w:val="center"/>
          </w:tcPr>
          <w:p w14:paraId="4446C5FF" w14:textId="77777777" w:rsidR="00BC29B7" w:rsidRPr="00192C75" w:rsidRDefault="00BC29B7">
            <w:pPr>
              <w:spacing w:after="0" w:line="240" w:lineRule="auto"/>
              <w:jc w:val="center"/>
              <w:rPr>
                <w:rFonts w:eastAsia="Times New Roman" w:cs="Calibri"/>
                <w:color w:val="auto"/>
                <w:sz w:val="20"/>
                <w:szCs w:val="20"/>
                <w:lang w:eastAsia="cs-CZ"/>
              </w:rPr>
            </w:pPr>
          </w:p>
        </w:tc>
        <w:tc>
          <w:tcPr>
            <w:tcW w:w="1134" w:type="dxa"/>
            <w:shd w:val="clear" w:color="auto" w:fill="auto"/>
            <w:noWrap/>
            <w:tcMar>
              <w:top w:w="0" w:type="dxa"/>
              <w:left w:w="70" w:type="dxa"/>
              <w:bottom w:w="0" w:type="dxa"/>
              <w:right w:w="70" w:type="dxa"/>
            </w:tcMar>
            <w:vAlign w:val="center"/>
          </w:tcPr>
          <w:p w14:paraId="6A26AE23" w14:textId="77777777" w:rsidR="00BC29B7" w:rsidRPr="00192C75" w:rsidRDefault="00BC29B7">
            <w:pPr>
              <w:spacing w:after="0" w:line="240" w:lineRule="auto"/>
              <w:jc w:val="center"/>
              <w:rPr>
                <w:rFonts w:eastAsia="Times New Roman" w:cs="Calibri"/>
                <w:color w:val="auto"/>
                <w:sz w:val="20"/>
                <w:szCs w:val="20"/>
                <w:lang w:eastAsia="cs-CZ"/>
              </w:rPr>
            </w:pPr>
          </w:p>
        </w:tc>
        <w:tc>
          <w:tcPr>
            <w:tcW w:w="1701" w:type="dxa"/>
            <w:shd w:val="clear" w:color="auto" w:fill="auto"/>
            <w:noWrap/>
            <w:tcMar>
              <w:top w:w="0" w:type="dxa"/>
              <w:left w:w="70" w:type="dxa"/>
              <w:bottom w:w="0" w:type="dxa"/>
              <w:right w:w="70" w:type="dxa"/>
            </w:tcMar>
            <w:vAlign w:val="center"/>
          </w:tcPr>
          <w:p w14:paraId="68F36122" w14:textId="77777777" w:rsidR="00BC29B7" w:rsidRPr="00192C75" w:rsidRDefault="00BC29B7">
            <w:pPr>
              <w:spacing w:after="0" w:line="240" w:lineRule="auto"/>
              <w:jc w:val="center"/>
              <w:rPr>
                <w:rFonts w:eastAsia="Times New Roman" w:cs="Calibri"/>
                <w:color w:val="auto"/>
                <w:sz w:val="20"/>
                <w:szCs w:val="20"/>
                <w:lang w:eastAsia="cs-CZ"/>
              </w:rPr>
            </w:pPr>
          </w:p>
        </w:tc>
        <w:tc>
          <w:tcPr>
            <w:tcW w:w="1842" w:type="dxa"/>
            <w:shd w:val="clear" w:color="auto" w:fill="auto"/>
            <w:noWrap/>
            <w:tcMar>
              <w:top w:w="0" w:type="dxa"/>
              <w:left w:w="70" w:type="dxa"/>
              <w:bottom w:w="0" w:type="dxa"/>
              <w:right w:w="70" w:type="dxa"/>
            </w:tcMar>
            <w:vAlign w:val="center"/>
          </w:tcPr>
          <w:p w14:paraId="5BE24F2F" w14:textId="77777777" w:rsidR="00BC29B7" w:rsidRPr="00192C75" w:rsidRDefault="00BC29B7">
            <w:pPr>
              <w:spacing w:after="0" w:line="240" w:lineRule="auto"/>
              <w:jc w:val="center"/>
              <w:rPr>
                <w:rFonts w:eastAsia="Times New Roman" w:cs="Calibri"/>
                <w:color w:val="auto"/>
                <w:sz w:val="20"/>
                <w:szCs w:val="20"/>
                <w:lang w:eastAsia="cs-CZ"/>
              </w:rPr>
            </w:pPr>
          </w:p>
        </w:tc>
        <w:tc>
          <w:tcPr>
            <w:tcW w:w="1843" w:type="dxa"/>
            <w:shd w:val="clear" w:color="auto" w:fill="auto"/>
            <w:noWrap/>
            <w:tcMar>
              <w:top w:w="0" w:type="dxa"/>
              <w:left w:w="70" w:type="dxa"/>
              <w:bottom w:w="0" w:type="dxa"/>
              <w:right w:w="70" w:type="dxa"/>
            </w:tcMar>
            <w:vAlign w:val="center"/>
          </w:tcPr>
          <w:p w14:paraId="1404A541" w14:textId="77777777" w:rsidR="00BC29B7" w:rsidRPr="00192C75" w:rsidRDefault="00BC29B7">
            <w:pPr>
              <w:spacing w:after="0" w:line="240" w:lineRule="auto"/>
              <w:jc w:val="center"/>
              <w:rPr>
                <w:rFonts w:eastAsia="Times New Roman" w:cs="Calibri"/>
                <w:color w:val="auto"/>
                <w:sz w:val="20"/>
                <w:szCs w:val="20"/>
                <w:lang w:eastAsia="cs-CZ"/>
              </w:rPr>
            </w:pPr>
          </w:p>
        </w:tc>
      </w:tr>
      <w:tr w:rsidR="00BC29B7" w14:paraId="7C0D8699" w14:textId="77777777" w:rsidTr="00192C75">
        <w:trPr>
          <w:trHeight w:val="286"/>
        </w:trPr>
        <w:tc>
          <w:tcPr>
            <w:tcW w:w="1842" w:type="dxa"/>
            <w:vMerge w:val="restart"/>
            <w:tcBorders>
              <w:top w:val="single" w:sz="4" w:space="0" w:color="000000"/>
              <w:left w:val="single" w:sz="4" w:space="0" w:color="000000"/>
              <w:bottom w:val="single" w:sz="4" w:space="0" w:color="000000"/>
              <w:right w:val="single" w:sz="4" w:space="0" w:color="000000"/>
            </w:tcBorders>
            <w:shd w:val="clear" w:color="auto" w:fill="B4C6E7"/>
            <w:tcMar>
              <w:top w:w="0" w:type="dxa"/>
              <w:left w:w="70" w:type="dxa"/>
              <w:bottom w:w="0" w:type="dxa"/>
              <w:right w:w="70" w:type="dxa"/>
            </w:tcMar>
            <w:vAlign w:val="center"/>
          </w:tcPr>
          <w:p w14:paraId="08233624"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Česká agentura pro standardizaci</w:t>
            </w:r>
          </w:p>
        </w:tc>
        <w:tc>
          <w:tcPr>
            <w:tcW w:w="198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9E0C743"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Osobní náklady</w:t>
            </w:r>
          </w:p>
        </w:tc>
        <w:tc>
          <w:tcPr>
            <w:tcW w:w="1134"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F493A6B"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Úvazky</w:t>
            </w:r>
          </w:p>
        </w:tc>
        <w:tc>
          <w:tcPr>
            <w:tcW w:w="1701" w:type="dxa"/>
            <w:tcBorders>
              <w:top w:val="single" w:sz="4" w:space="0" w:color="000000"/>
              <w:bottom w:val="single" w:sz="4" w:space="0" w:color="000000"/>
              <w:right w:val="single" w:sz="4" w:space="0" w:color="000000"/>
            </w:tcBorders>
            <w:shd w:val="clear" w:color="auto" w:fill="B4C6E7"/>
            <w:tcMar>
              <w:top w:w="0" w:type="dxa"/>
              <w:left w:w="70" w:type="dxa"/>
              <w:bottom w:w="0" w:type="dxa"/>
              <w:right w:w="70" w:type="dxa"/>
            </w:tcMar>
            <w:vAlign w:val="center"/>
          </w:tcPr>
          <w:p w14:paraId="4752F5FC"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5</w:t>
            </w:r>
          </w:p>
        </w:tc>
        <w:tc>
          <w:tcPr>
            <w:tcW w:w="1842" w:type="dxa"/>
            <w:tcBorders>
              <w:top w:val="single" w:sz="4" w:space="0" w:color="000000"/>
              <w:bottom w:val="single" w:sz="4" w:space="0" w:color="000000"/>
              <w:right w:val="single" w:sz="4" w:space="0" w:color="000000"/>
            </w:tcBorders>
            <w:shd w:val="clear" w:color="auto" w:fill="B4C6E7"/>
            <w:tcMar>
              <w:top w:w="0" w:type="dxa"/>
              <w:left w:w="70" w:type="dxa"/>
              <w:bottom w:w="0" w:type="dxa"/>
              <w:right w:w="70" w:type="dxa"/>
            </w:tcMar>
            <w:vAlign w:val="center"/>
          </w:tcPr>
          <w:p w14:paraId="54B39997"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5</w:t>
            </w:r>
          </w:p>
        </w:tc>
        <w:tc>
          <w:tcPr>
            <w:tcW w:w="1843" w:type="dxa"/>
            <w:tcBorders>
              <w:top w:val="single" w:sz="4" w:space="0" w:color="000000"/>
              <w:bottom w:val="single" w:sz="4" w:space="0" w:color="000000"/>
              <w:right w:val="single" w:sz="4" w:space="0" w:color="000000"/>
            </w:tcBorders>
            <w:shd w:val="clear" w:color="auto" w:fill="B4C6E7"/>
            <w:tcMar>
              <w:top w:w="0" w:type="dxa"/>
              <w:left w:w="70" w:type="dxa"/>
              <w:bottom w:w="0" w:type="dxa"/>
              <w:right w:w="70" w:type="dxa"/>
            </w:tcMar>
            <w:vAlign w:val="center"/>
          </w:tcPr>
          <w:p w14:paraId="091815EB"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5</w:t>
            </w:r>
          </w:p>
        </w:tc>
      </w:tr>
      <w:tr w:rsidR="00BC29B7" w14:paraId="5C6B5497" w14:textId="77777777" w:rsidTr="00F36206">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B4C6E7"/>
            <w:tcMar>
              <w:top w:w="0" w:type="dxa"/>
              <w:left w:w="70" w:type="dxa"/>
              <w:bottom w:w="0" w:type="dxa"/>
              <w:right w:w="70" w:type="dxa"/>
            </w:tcMar>
            <w:vAlign w:val="center"/>
          </w:tcPr>
          <w:p w14:paraId="2DF19E8F" w14:textId="77777777" w:rsidR="00BC29B7" w:rsidRDefault="00BC29B7">
            <w:pPr>
              <w:spacing w:after="0" w:line="240" w:lineRule="auto"/>
              <w:jc w:val="center"/>
              <w:rPr>
                <w:rFonts w:eastAsia="Times New Roman" w:cs="Calibri"/>
                <w:b/>
                <w:bCs/>
                <w:sz w:val="24"/>
                <w:szCs w:val="24"/>
                <w:lang w:eastAsia="cs-CZ"/>
              </w:rPr>
            </w:pPr>
          </w:p>
        </w:tc>
        <w:tc>
          <w:tcPr>
            <w:tcW w:w="1985" w:type="dxa"/>
            <w:tcBorders>
              <w:bottom w:val="single" w:sz="4" w:space="0" w:color="auto"/>
              <w:right w:val="single" w:sz="4" w:space="0" w:color="000000"/>
            </w:tcBorders>
            <w:shd w:val="clear" w:color="auto" w:fill="auto"/>
            <w:tcMar>
              <w:top w:w="0" w:type="dxa"/>
              <w:left w:w="70" w:type="dxa"/>
              <w:bottom w:w="0" w:type="dxa"/>
              <w:right w:w="70" w:type="dxa"/>
            </w:tcMar>
            <w:vAlign w:val="center"/>
          </w:tcPr>
          <w:p w14:paraId="295C9AE8" w14:textId="77777777" w:rsidR="00BC29B7" w:rsidRPr="00192C75" w:rsidRDefault="00BC29B7">
            <w:pPr>
              <w:spacing w:after="0" w:line="240" w:lineRule="auto"/>
              <w:jc w:val="center"/>
              <w:rPr>
                <w:rFonts w:eastAsia="Times New Roman" w:cs="Calibri"/>
                <w:sz w:val="20"/>
                <w:szCs w:val="20"/>
                <w:lang w:eastAsia="cs-CZ"/>
              </w:rPr>
            </w:pPr>
          </w:p>
        </w:tc>
        <w:tc>
          <w:tcPr>
            <w:tcW w:w="1134"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14:paraId="60AF90A5"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Rozpočet Kč</w:t>
            </w:r>
          </w:p>
        </w:tc>
        <w:tc>
          <w:tcPr>
            <w:tcW w:w="1701"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14:paraId="4A4CE607"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9 031 500</w:t>
            </w:r>
          </w:p>
        </w:tc>
        <w:tc>
          <w:tcPr>
            <w:tcW w:w="1842"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14:paraId="03217D74"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6 021 000</w:t>
            </w:r>
          </w:p>
        </w:tc>
        <w:tc>
          <w:tcPr>
            <w:tcW w:w="1843" w:type="dxa"/>
            <w:tcBorders>
              <w:bottom w:val="single" w:sz="4" w:space="0" w:color="auto"/>
              <w:right w:val="single" w:sz="4" w:space="0" w:color="000000"/>
            </w:tcBorders>
            <w:shd w:val="clear" w:color="auto" w:fill="auto"/>
            <w:noWrap/>
            <w:tcMar>
              <w:top w:w="0" w:type="dxa"/>
              <w:left w:w="70" w:type="dxa"/>
              <w:bottom w:w="0" w:type="dxa"/>
              <w:right w:w="70" w:type="dxa"/>
            </w:tcMar>
            <w:vAlign w:val="center"/>
          </w:tcPr>
          <w:p w14:paraId="36D675A0"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6 021 000</w:t>
            </w:r>
          </w:p>
        </w:tc>
      </w:tr>
      <w:tr w:rsidR="00BC29B7" w14:paraId="3B0A6D79" w14:textId="77777777" w:rsidTr="00F36206">
        <w:trPr>
          <w:trHeight w:val="286"/>
        </w:trPr>
        <w:tc>
          <w:tcPr>
            <w:tcW w:w="1842" w:type="dxa"/>
            <w:vMerge/>
            <w:tcBorders>
              <w:top w:val="single" w:sz="4" w:space="0" w:color="000000"/>
              <w:left w:val="single" w:sz="4" w:space="0" w:color="000000"/>
              <w:bottom w:val="single" w:sz="4" w:space="0" w:color="000000"/>
              <w:right w:val="single" w:sz="4" w:space="0" w:color="auto"/>
            </w:tcBorders>
            <w:shd w:val="clear" w:color="auto" w:fill="B4C6E7"/>
            <w:tcMar>
              <w:top w:w="0" w:type="dxa"/>
              <w:left w:w="70" w:type="dxa"/>
              <w:bottom w:w="0" w:type="dxa"/>
              <w:right w:w="70" w:type="dxa"/>
            </w:tcMar>
            <w:vAlign w:val="center"/>
          </w:tcPr>
          <w:p w14:paraId="1C99110E" w14:textId="77777777" w:rsidR="00BC29B7" w:rsidRDefault="00BC29B7">
            <w:pPr>
              <w:spacing w:after="0" w:line="240" w:lineRule="auto"/>
              <w:jc w:val="center"/>
              <w:rPr>
                <w:rFonts w:eastAsia="Times New Roman" w:cs="Calibri"/>
                <w:b/>
                <w:bCs/>
                <w:sz w:val="24"/>
                <w:szCs w:val="24"/>
                <w:lang w:eastAsia="cs-CZ"/>
              </w:rPr>
            </w:pPr>
          </w:p>
        </w:tc>
        <w:tc>
          <w:tcPr>
            <w:tcW w:w="1985" w:type="dxa"/>
            <w:tcBorders>
              <w:top w:val="single" w:sz="4" w:space="0" w:color="auto"/>
              <w:left w:val="single" w:sz="4" w:space="0" w:color="auto"/>
              <w:bottom w:val="single" w:sz="4" w:space="0" w:color="auto"/>
              <w:right w:val="single" w:sz="4" w:space="0" w:color="000000"/>
            </w:tcBorders>
            <w:shd w:val="clear" w:color="auto" w:fill="auto"/>
            <w:tcMar>
              <w:top w:w="0" w:type="dxa"/>
              <w:left w:w="70" w:type="dxa"/>
              <w:bottom w:w="0" w:type="dxa"/>
              <w:right w:w="70" w:type="dxa"/>
            </w:tcMar>
            <w:vAlign w:val="center"/>
          </w:tcPr>
          <w:p w14:paraId="373004A7"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Náklady na odborné vybavení</w:t>
            </w:r>
          </w:p>
        </w:tc>
        <w:tc>
          <w:tcPr>
            <w:tcW w:w="1134" w:type="dxa"/>
            <w:tcBorders>
              <w:top w:val="single" w:sz="4" w:space="0" w:color="auto"/>
              <w:bottom w:val="single" w:sz="4" w:space="0" w:color="auto"/>
              <w:right w:val="single" w:sz="4" w:space="0" w:color="000000"/>
            </w:tcBorders>
            <w:shd w:val="clear" w:color="auto" w:fill="auto"/>
            <w:noWrap/>
            <w:tcMar>
              <w:top w:w="0" w:type="dxa"/>
              <w:left w:w="70" w:type="dxa"/>
              <w:bottom w:w="0" w:type="dxa"/>
              <w:right w:w="70" w:type="dxa"/>
            </w:tcMar>
            <w:vAlign w:val="center"/>
          </w:tcPr>
          <w:p w14:paraId="482F47D8" w14:textId="77777777" w:rsidR="00BC29B7" w:rsidRPr="00192C75" w:rsidRDefault="00BC29B7">
            <w:pPr>
              <w:spacing w:after="0" w:line="240" w:lineRule="auto"/>
              <w:jc w:val="center"/>
              <w:rPr>
                <w:rFonts w:eastAsia="Times New Roman" w:cs="Calibri"/>
                <w:sz w:val="20"/>
                <w:szCs w:val="20"/>
                <w:lang w:eastAsia="cs-CZ"/>
              </w:rPr>
            </w:pPr>
          </w:p>
        </w:tc>
        <w:tc>
          <w:tcPr>
            <w:tcW w:w="1701" w:type="dxa"/>
            <w:tcBorders>
              <w:top w:val="single" w:sz="4" w:space="0" w:color="auto"/>
              <w:bottom w:val="single" w:sz="4" w:space="0" w:color="auto"/>
              <w:right w:val="single" w:sz="4" w:space="0" w:color="000000"/>
            </w:tcBorders>
            <w:shd w:val="clear" w:color="auto" w:fill="auto"/>
            <w:noWrap/>
            <w:tcMar>
              <w:top w:w="0" w:type="dxa"/>
              <w:left w:w="70" w:type="dxa"/>
              <w:bottom w:w="0" w:type="dxa"/>
              <w:right w:w="70" w:type="dxa"/>
            </w:tcMar>
            <w:vAlign w:val="center"/>
          </w:tcPr>
          <w:p w14:paraId="58E406C1"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650 000</w:t>
            </w:r>
          </w:p>
        </w:tc>
        <w:tc>
          <w:tcPr>
            <w:tcW w:w="1842" w:type="dxa"/>
            <w:tcBorders>
              <w:top w:val="single" w:sz="4" w:space="0" w:color="auto"/>
              <w:bottom w:val="single" w:sz="4" w:space="0" w:color="auto"/>
              <w:right w:val="single" w:sz="4" w:space="0" w:color="000000"/>
            </w:tcBorders>
            <w:shd w:val="clear" w:color="auto" w:fill="auto"/>
            <w:noWrap/>
            <w:tcMar>
              <w:top w:w="0" w:type="dxa"/>
              <w:left w:w="70" w:type="dxa"/>
              <w:bottom w:w="0" w:type="dxa"/>
              <w:right w:w="70" w:type="dxa"/>
            </w:tcMar>
            <w:vAlign w:val="center"/>
          </w:tcPr>
          <w:p w14:paraId="3EE3F96C"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150 000</w:t>
            </w:r>
          </w:p>
        </w:tc>
        <w:tc>
          <w:tcPr>
            <w:tcW w:w="1843" w:type="dxa"/>
            <w:tcBorders>
              <w:top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AE47FDF"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150 000</w:t>
            </w:r>
          </w:p>
        </w:tc>
      </w:tr>
      <w:tr w:rsidR="00BC29B7" w14:paraId="3FBAF1B9" w14:textId="77777777" w:rsidTr="00F36206">
        <w:trPr>
          <w:trHeight w:val="286"/>
        </w:trPr>
        <w:tc>
          <w:tcPr>
            <w:tcW w:w="1842" w:type="dxa"/>
            <w:vMerge/>
            <w:tcBorders>
              <w:top w:val="single" w:sz="4" w:space="0" w:color="000000"/>
              <w:left w:val="single" w:sz="4" w:space="0" w:color="000000"/>
              <w:bottom w:val="single" w:sz="4" w:space="0" w:color="000000"/>
              <w:right w:val="single" w:sz="4" w:space="0" w:color="auto"/>
            </w:tcBorders>
            <w:shd w:val="clear" w:color="auto" w:fill="B4C6E7"/>
            <w:tcMar>
              <w:top w:w="0" w:type="dxa"/>
              <w:left w:w="70" w:type="dxa"/>
              <w:bottom w:w="0" w:type="dxa"/>
              <w:right w:w="70" w:type="dxa"/>
            </w:tcMar>
            <w:vAlign w:val="center"/>
          </w:tcPr>
          <w:p w14:paraId="1A167E2C" w14:textId="77777777" w:rsidR="00BC29B7" w:rsidRDefault="00BC29B7">
            <w:pPr>
              <w:spacing w:after="0" w:line="240" w:lineRule="auto"/>
              <w:jc w:val="center"/>
              <w:rPr>
                <w:rFonts w:eastAsia="Times New Roman" w:cs="Calibri"/>
                <w:b/>
                <w:bCs/>
                <w:sz w:val="24"/>
                <w:szCs w:val="24"/>
                <w:lang w:eastAsia="cs-CZ"/>
              </w:rPr>
            </w:pPr>
          </w:p>
        </w:tc>
        <w:tc>
          <w:tcPr>
            <w:tcW w:w="1985" w:type="dxa"/>
            <w:tcBorders>
              <w:top w:val="single" w:sz="4" w:space="0" w:color="auto"/>
              <w:left w:val="single" w:sz="4" w:space="0" w:color="auto"/>
              <w:bottom w:val="single" w:sz="4" w:space="0" w:color="000000"/>
              <w:right w:val="single" w:sz="4" w:space="0" w:color="auto"/>
            </w:tcBorders>
            <w:shd w:val="clear" w:color="auto" w:fill="auto"/>
            <w:tcMar>
              <w:top w:w="0" w:type="dxa"/>
              <w:left w:w="70" w:type="dxa"/>
              <w:bottom w:w="0" w:type="dxa"/>
              <w:right w:w="70" w:type="dxa"/>
            </w:tcMar>
            <w:vAlign w:val="center"/>
          </w:tcPr>
          <w:p w14:paraId="6BF30ED6"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Náklady na provoz</w:t>
            </w:r>
          </w:p>
        </w:tc>
        <w:tc>
          <w:tcPr>
            <w:tcW w:w="1134" w:type="dxa"/>
            <w:tcBorders>
              <w:top w:val="single" w:sz="4" w:space="0" w:color="auto"/>
              <w:left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14:paraId="668D1210" w14:textId="77777777" w:rsidR="00BC29B7" w:rsidRPr="00192C75" w:rsidRDefault="00BC29B7">
            <w:pPr>
              <w:spacing w:after="0" w:line="240" w:lineRule="auto"/>
              <w:jc w:val="center"/>
              <w:rPr>
                <w:rFonts w:eastAsia="Times New Roman" w:cs="Calibri"/>
                <w:sz w:val="20"/>
                <w:szCs w:val="20"/>
                <w:lang w:eastAsia="cs-CZ"/>
              </w:rPr>
            </w:pPr>
          </w:p>
        </w:tc>
        <w:tc>
          <w:tcPr>
            <w:tcW w:w="1701" w:type="dxa"/>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14:paraId="4CFAE66C"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2 970 000</w:t>
            </w:r>
          </w:p>
        </w:tc>
        <w:tc>
          <w:tcPr>
            <w:tcW w:w="1842" w:type="dxa"/>
            <w:tcBorders>
              <w:top w:val="single" w:sz="4" w:space="0" w:color="auto"/>
              <w:bottom w:val="single" w:sz="4" w:space="0" w:color="000000"/>
              <w:right w:val="single" w:sz="4" w:space="0" w:color="000000"/>
            </w:tcBorders>
            <w:shd w:val="clear" w:color="auto" w:fill="auto"/>
            <w:noWrap/>
            <w:tcMar>
              <w:top w:w="0" w:type="dxa"/>
              <w:left w:w="70" w:type="dxa"/>
              <w:bottom w:w="0" w:type="dxa"/>
              <w:right w:w="70" w:type="dxa"/>
            </w:tcMar>
            <w:vAlign w:val="center"/>
          </w:tcPr>
          <w:p w14:paraId="5066ABAE"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1 980 000</w:t>
            </w:r>
          </w:p>
        </w:tc>
        <w:tc>
          <w:tcPr>
            <w:tcW w:w="1843" w:type="dxa"/>
            <w:tcBorders>
              <w:top w:val="single" w:sz="4" w:space="0" w:color="auto"/>
              <w:bottom w:val="single" w:sz="4" w:space="0" w:color="000000"/>
              <w:right w:val="single" w:sz="4" w:space="0" w:color="auto"/>
            </w:tcBorders>
            <w:shd w:val="clear" w:color="auto" w:fill="auto"/>
            <w:noWrap/>
            <w:tcMar>
              <w:top w:w="0" w:type="dxa"/>
              <w:left w:w="70" w:type="dxa"/>
              <w:bottom w:w="0" w:type="dxa"/>
              <w:right w:w="70" w:type="dxa"/>
            </w:tcMar>
            <w:vAlign w:val="center"/>
          </w:tcPr>
          <w:p w14:paraId="0DD50203"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1 980 000</w:t>
            </w:r>
          </w:p>
        </w:tc>
      </w:tr>
      <w:tr w:rsidR="00BC29B7" w14:paraId="48E19FD5" w14:textId="77777777" w:rsidTr="00F36206">
        <w:trPr>
          <w:trHeight w:val="286"/>
        </w:trPr>
        <w:tc>
          <w:tcPr>
            <w:tcW w:w="1842" w:type="dxa"/>
            <w:vMerge/>
            <w:tcBorders>
              <w:top w:val="single" w:sz="4" w:space="0" w:color="000000"/>
              <w:left w:val="single" w:sz="4" w:space="0" w:color="000000"/>
              <w:bottom w:val="single" w:sz="4" w:space="0" w:color="000000"/>
              <w:right w:val="single" w:sz="4" w:space="0" w:color="auto"/>
            </w:tcBorders>
            <w:shd w:val="clear" w:color="auto" w:fill="B4C6E7"/>
            <w:tcMar>
              <w:top w:w="0" w:type="dxa"/>
              <w:left w:w="70" w:type="dxa"/>
              <w:bottom w:w="0" w:type="dxa"/>
              <w:right w:w="70" w:type="dxa"/>
            </w:tcMar>
            <w:vAlign w:val="center"/>
          </w:tcPr>
          <w:p w14:paraId="01D82EBC" w14:textId="77777777" w:rsidR="00BC29B7" w:rsidRDefault="00BC29B7">
            <w:pPr>
              <w:spacing w:after="0" w:line="240" w:lineRule="auto"/>
              <w:jc w:val="center"/>
              <w:rPr>
                <w:rFonts w:eastAsia="Times New Roman" w:cs="Calibri"/>
                <w:b/>
                <w:bCs/>
                <w:sz w:val="24"/>
                <w:szCs w:val="24"/>
                <w:lang w:eastAsia="cs-CZ"/>
              </w:rPr>
            </w:pPr>
          </w:p>
        </w:tc>
        <w:tc>
          <w:tcPr>
            <w:tcW w:w="1985" w:type="dxa"/>
            <w:tcBorders>
              <w:top w:val="single" w:sz="4" w:space="0" w:color="000000"/>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85A4AF"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Nákup externích služeb</w:t>
            </w:r>
          </w:p>
        </w:tc>
        <w:tc>
          <w:tcPr>
            <w:tcW w:w="1134" w:type="dxa"/>
            <w:tcBorders>
              <w:top w:val="single" w:sz="4" w:space="0" w:color="000000"/>
              <w:left w:val="single" w:sz="4" w:space="0" w:color="auto"/>
              <w:bottom w:val="single" w:sz="4" w:space="0" w:color="auto"/>
              <w:right w:val="single" w:sz="4" w:space="0" w:color="000000"/>
            </w:tcBorders>
            <w:shd w:val="clear" w:color="auto" w:fill="auto"/>
            <w:noWrap/>
            <w:tcMar>
              <w:top w:w="0" w:type="dxa"/>
              <w:left w:w="70" w:type="dxa"/>
              <w:bottom w:w="0" w:type="dxa"/>
              <w:right w:w="70" w:type="dxa"/>
            </w:tcMar>
            <w:vAlign w:val="center"/>
          </w:tcPr>
          <w:p w14:paraId="6B0BA4DE" w14:textId="77777777" w:rsidR="00BC29B7" w:rsidRPr="00192C75" w:rsidRDefault="00BC29B7">
            <w:pPr>
              <w:spacing w:after="0" w:line="240" w:lineRule="auto"/>
              <w:jc w:val="center"/>
              <w:rPr>
                <w:rFonts w:eastAsia="Times New Roman" w:cs="Calibri"/>
                <w:sz w:val="20"/>
                <w:szCs w:val="20"/>
                <w:lang w:eastAsia="cs-CZ"/>
              </w:rPr>
            </w:pPr>
          </w:p>
        </w:tc>
        <w:tc>
          <w:tcPr>
            <w:tcW w:w="1701" w:type="dxa"/>
            <w:tcBorders>
              <w:top w:val="single" w:sz="4" w:space="0" w:color="000000"/>
              <w:bottom w:val="single" w:sz="4" w:space="0" w:color="auto"/>
              <w:right w:val="single" w:sz="4" w:space="0" w:color="000000"/>
            </w:tcBorders>
            <w:shd w:val="clear" w:color="auto" w:fill="auto"/>
            <w:noWrap/>
            <w:tcMar>
              <w:top w:w="0" w:type="dxa"/>
              <w:left w:w="70" w:type="dxa"/>
              <w:bottom w:w="0" w:type="dxa"/>
              <w:right w:w="70" w:type="dxa"/>
            </w:tcMar>
            <w:vAlign w:val="center"/>
          </w:tcPr>
          <w:p w14:paraId="38C0BA95"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7 800 000</w:t>
            </w:r>
          </w:p>
        </w:tc>
        <w:tc>
          <w:tcPr>
            <w:tcW w:w="1842" w:type="dxa"/>
            <w:tcBorders>
              <w:top w:val="single" w:sz="4" w:space="0" w:color="000000"/>
              <w:bottom w:val="single" w:sz="4" w:space="0" w:color="auto"/>
              <w:right w:val="single" w:sz="4" w:space="0" w:color="000000"/>
            </w:tcBorders>
            <w:shd w:val="clear" w:color="auto" w:fill="auto"/>
            <w:noWrap/>
            <w:tcMar>
              <w:top w:w="0" w:type="dxa"/>
              <w:left w:w="70" w:type="dxa"/>
              <w:bottom w:w="0" w:type="dxa"/>
              <w:right w:w="70" w:type="dxa"/>
            </w:tcMar>
            <w:vAlign w:val="center"/>
          </w:tcPr>
          <w:p w14:paraId="54C2A930"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4 200 000</w:t>
            </w:r>
          </w:p>
        </w:tc>
        <w:tc>
          <w:tcPr>
            <w:tcW w:w="1843" w:type="dxa"/>
            <w:tcBorders>
              <w:top w:val="single" w:sz="4" w:space="0" w:color="000000"/>
              <w:bottom w:val="single" w:sz="4" w:space="0" w:color="auto"/>
              <w:right w:val="single" w:sz="4" w:space="0" w:color="auto"/>
            </w:tcBorders>
            <w:shd w:val="clear" w:color="auto" w:fill="auto"/>
            <w:noWrap/>
            <w:tcMar>
              <w:top w:w="0" w:type="dxa"/>
              <w:left w:w="70" w:type="dxa"/>
              <w:bottom w:w="0" w:type="dxa"/>
              <w:right w:w="70" w:type="dxa"/>
            </w:tcMar>
            <w:vAlign w:val="center"/>
          </w:tcPr>
          <w:p w14:paraId="4AE18615"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4 200 000</w:t>
            </w:r>
          </w:p>
        </w:tc>
      </w:tr>
      <w:tr w:rsidR="00BC29B7" w14:paraId="0FD68053" w14:textId="77777777" w:rsidTr="00F36206">
        <w:trPr>
          <w:trHeight w:val="286"/>
        </w:trPr>
        <w:tc>
          <w:tcPr>
            <w:tcW w:w="1842" w:type="dxa"/>
            <w:vMerge/>
            <w:tcBorders>
              <w:top w:val="single" w:sz="4" w:space="0" w:color="000000"/>
              <w:left w:val="single" w:sz="4" w:space="0" w:color="000000"/>
              <w:bottom w:val="single" w:sz="4" w:space="0" w:color="000000"/>
              <w:right w:val="single" w:sz="4" w:space="0" w:color="auto"/>
            </w:tcBorders>
            <w:shd w:val="clear" w:color="auto" w:fill="B4C6E7"/>
            <w:tcMar>
              <w:top w:w="0" w:type="dxa"/>
              <w:left w:w="70" w:type="dxa"/>
              <w:bottom w:w="0" w:type="dxa"/>
              <w:right w:w="70" w:type="dxa"/>
            </w:tcMar>
            <w:vAlign w:val="center"/>
          </w:tcPr>
          <w:p w14:paraId="12BD7DCE" w14:textId="77777777" w:rsidR="00BC29B7" w:rsidRDefault="00BC29B7">
            <w:pPr>
              <w:spacing w:after="0" w:line="240" w:lineRule="auto"/>
              <w:jc w:val="center"/>
              <w:rPr>
                <w:rFonts w:eastAsia="Times New Roman" w:cs="Calibri"/>
                <w:b/>
                <w:bCs/>
                <w:sz w:val="24"/>
                <w:szCs w:val="24"/>
                <w:lang w:eastAsia="cs-CZ"/>
              </w:rPr>
            </w:pPr>
          </w:p>
        </w:tc>
        <w:tc>
          <w:tcPr>
            <w:tcW w:w="1985" w:type="dxa"/>
            <w:tcBorders>
              <w:top w:val="single" w:sz="4" w:space="0" w:color="auto"/>
              <w:left w:val="single" w:sz="4" w:space="0" w:color="auto"/>
              <w:bottom w:val="single" w:sz="4" w:space="0" w:color="auto"/>
              <w:right w:val="single" w:sz="4" w:space="0" w:color="000000"/>
            </w:tcBorders>
            <w:shd w:val="clear" w:color="auto" w:fill="auto"/>
            <w:tcMar>
              <w:top w:w="0" w:type="dxa"/>
              <w:left w:w="70" w:type="dxa"/>
              <w:bottom w:w="0" w:type="dxa"/>
              <w:right w:w="70" w:type="dxa"/>
            </w:tcMar>
            <w:vAlign w:val="center"/>
          </w:tcPr>
          <w:p w14:paraId="0A900FFF"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Celkem</w:t>
            </w:r>
          </w:p>
        </w:tc>
        <w:tc>
          <w:tcPr>
            <w:tcW w:w="1134" w:type="dxa"/>
            <w:tcBorders>
              <w:top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3C25A0A" w14:textId="77777777" w:rsidR="00BC29B7" w:rsidRPr="00192C75" w:rsidRDefault="00BC29B7" w:rsidP="00192C75">
            <w:pPr>
              <w:spacing w:after="0" w:line="240" w:lineRule="auto"/>
              <w:rPr>
                <w:rFonts w:eastAsia="Times New Roman" w:cs="Calibri"/>
                <w:sz w:val="20"/>
                <w:szCs w:val="20"/>
                <w:lang w:eastAsia="cs-CZ"/>
              </w:rPr>
            </w:pPr>
          </w:p>
        </w:tc>
        <w:tc>
          <w:tcPr>
            <w:tcW w:w="1701" w:type="dxa"/>
            <w:tcBorders>
              <w:top w:val="single" w:sz="4" w:space="0" w:color="auto"/>
              <w:left w:val="single" w:sz="4" w:space="0" w:color="auto"/>
              <w:bottom w:val="single" w:sz="4" w:space="0" w:color="auto"/>
              <w:right w:val="single" w:sz="4" w:space="0" w:color="000000"/>
            </w:tcBorders>
            <w:shd w:val="clear" w:color="auto" w:fill="B4C6E7"/>
            <w:tcMar>
              <w:top w:w="0" w:type="dxa"/>
              <w:left w:w="70" w:type="dxa"/>
              <w:bottom w:w="0" w:type="dxa"/>
              <w:right w:w="70" w:type="dxa"/>
            </w:tcMar>
            <w:vAlign w:val="center"/>
          </w:tcPr>
          <w:p w14:paraId="62051882"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20 451 500</w:t>
            </w:r>
          </w:p>
        </w:tc>
        <w:tc>
          <w:tcPr>
            <w:tcW w:w="1842" w:type="dxa"/>
            <w:tcBorders>
              <w:top w:val="single" w:sz="4" w:space="0" w:color="auto"/>
              <w:bottom w:val="single" w:sz="4" w:space="0" w:color="auto"/>
              <w:right w:val="single" w:sz="4" w:space="0" w:color="000000"/>
            </w:tcBorders>
            <w:shd w:val="clear" w:color="auto" w:fill="B4C6E7"/>
            <w:tcMar>
              <w:top w:w="0" w:type="dxa"/>
              <w:left w:w="70" w:type="dxa"/>
              <w:bottom w:w="0" w:type="dxa"/>
              <w:right w:w="70" w:type="dxa"/>
            </w:tcMar>
            <w:vAlign w:val="center"/>
          </w:tcPr>
          <w:p w14:paraId="788A1C1F"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12 351 000</w:t>
            </w:r>
          </w:p>
        </w:tc>
        <w:tc>
          <w:tcPr>
            <w:tcW w:w="1843" w:type="dxa"/>
            <w:tcBorders>
              <w:top w:val="single" w:sz="4" w:space="0" w:color="auto"/>
              <w:bottom w:val="single" w:sz="4" w:space="0" w:color="auto"/>
              <w:right w:val="single" w:sz="4" w:space="0" w:color="auto"/>
            </w:tcBorders>
            <w:shd w:val="clear" w:color="auto" w:fill="B4C6E7"/>
            <w:tcMar>
              <w:top w:w="0" w:type="dxa"/>
              <w:left w:w="70" w:type="dxa"/>
              <w:bottom w:w="0" w:type="dxa"/>
              <w:right w:w="70" w:type="dxa"/>
            </w:tcMar>
            <w:vAlign w:val="center"/>
          </w:tcPr>
          <w:p w14:paraId="6565DCDA" w14:textId="77777777" w:rsidR="00BC29B7" w:rsidRPr="00192C75" w:rsidRDefault="00B842A1">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12 351 000</w:t>
            </w:r>
          </w:p>
        </w:tc>
      </w:tr>
      <w:tr w:rsidR="00BC29B7" w14:paraId="19670676" w14:textId="77777777" w:rsidTr="00F36206">
        <w:trPr>
          <w:trHeight w:val="170"/>
        </w:trPr>
        <w:tc>
          <w:tcPr>
            <w:tcW w:w="1842" w:type="dxa"/>
            <w:shd w:val="clear" w:color="auto" w:fill="auto"/>
            <w:noWrap/>
            <w:tcMar>
              <w:top w:w="0" w:type="dxa"/>
              <w:left w:w="70" w:type="dxa"/>
              <w:bottom w:w="0" w:type="dxa"/>
              <w:right w:w="70" w:type="dxa"/>
            </w:tcMar>
            <w:vAlign w:val="center"/>
          </w:tcPr>
          <w:p w14:paraId="33059D8F" w14:textId="77777777" w:rsidR="00BC29B7" w:rsidRDefault="00BC29B7">
            <w:pPr>
              <w:spacing w:after="0" w:line="240" w:lineRule="auto"/>
              <w:jc w:val="center"/>
              <w:rPr>
                <w:rFonts w:eastAsia="Times New Roman" w:cs="Calibri"/>
                <w:b/>
                <w:bCs/>
                <w:sz w:val="24"/>
                <w:szCs w:val="24"/>
                <w:lang w:eastAsia="cs-CZ"/>
              </w:rPr>
            </w:pPr>
          </w:p>
        </w:tc>
        <w:tc>
          <w:tcPr>
            <w:tcW w:w="1985" w:type="dxa"/>
            <w:tcBorders>
              <w:top w:val="single" w:sz="4" w:space="0" w:color="auto"/>
            </w:tcBorders>
            <w:shd w:val="clear" w:color="auto" w:fill="auto"/>
            <w:tcMar>
              <w:top w:w="0" w:type="dxa"/>
              <w:left w:w="70" w:type="dxa"/>
              <w:bottom w:w="0" w:type="dxa"/>
              <w:right w:w="70" w:type="dxa"/>
            </w:tcMar>
            <w:vAlign w:val="center"/>
          </w:tcPr>
          <w:p w14:paraId="797A53A2" w14:textId="77777777" w:rsidR="00BC29B7" w:rsidRPr="00192C75" w:rsidRDefault="00BC29B7">
            <w:pPr>
              <w:spacing w:after="0" w:line="240" w:lineRule="auto"/>
              <w:jc w:val="center"/>
              <w:rPr>
                <w:rFonts w:eastAsia="Times New Roman" w:cs="Calibri"/>
                <w:color w:val="auto"/>
                <w:sz w:val="20"/>
                <w:szCs w:val="20"/>
                <w:lang w:eastAsia="cs-CZ"/>
              </w:rPr>
            </w:pPr>
          </w:p>
        </w:tc>
        <w:tc>
          <w:tcPr>
            <w:tcW w:w="1134" w:type="dxa"/>
            <w:tcBorders>
              <w:top w:val="single" w:sz="4" w:space="0" w:color="auto"/>
            </w:tcBorders>
            <w:shd w:val="clear" w:color="auto" w:fill="auto"/>
            <w:noWrap/>
            <w:tcMar>
              <w:top w:w="0" w:type="dxa"/>
              <w:left w:w="70" w:type="dxa"/>
              <w:bottom w:w="0" w:type="dxa"/>
              <w:right w:w="70" w:type="dxa"/>
            </w:tcMar>
            <w:vAlign w:val="center"/>
          </w:tcPr>
          <w:p w14:paraId="64E76223" w14:textId="77777777" w:rsidR="00BC29B7" w:rsidRPr="00192C75" w:rsidRDefault="00BC29B7">
            <w:pPr>
              <w:spacing w:after="0" w:line="240" w:lineRule="auto"/>
              <w:jc w:val="center"/>
              <w:rPr>
                <w:rFonts w:eastAsia="Times New Roman" w:cs="Calibri"/>
                <w:color w:val="auto"/>
                <w:sz w:val="20"/>
                <w:szCs w:val="20"/>
                <w:lang w:eastAsia="cs-CZ"/>
              </w:rPr>
            </w:pPr>
          </w:p>
        </w:tc>
        <w:tc>
          <w:tcPr>
            <w:tcW w:w="1701" w:type="dxa"/>
            <w:tcBorders>
              <w:top w:val="single" w:sz="4" w:space="0" w:color="auto"/>
            </w:tcBorders>
            <w:shd w:val="clear" w:color="auto" w:fill="auto"/>
            <w:noWrap/>
            <w:tcMar>
              <w:top w:w="0" w:type="dxa"/>
              <w:left w:w="70" w:type="dxa"/>
              <w:bottom w:w="0" w:type="dxa"/>
              <w:right w:w="70" w:type="dxa"/>
            </w:tcMar>
            <w:vAlign w:val="center"/>
          </w:tcPr>
          <w:p w14:paraId="1BACD553" w14:textId="77777777" w:rsidR="00BC29B7" w:rsidRPr="00192C75" w:rsidRDefault="00BC29B7">
            <w:pPr>
              <w:spacing w:after="0" w:line="240" w:lineRule="auto"/>
              <w:jc w:val="center"/>
              <w:rPr>
                <w:rFonts w:eastAsia="Times New Roman" w:cs="Calibri"/>
                <w:color w:val="auto"/>
                <w:sz w:val="20"/>
                <w:szCs w:val="20"/>
                <w:lang w:eastAsia="cs-CZ"/>
              </w:rPr>
            </w:pPr>
          </w:p>
        </w:tc>
        <w:tc>
          <w:tcPr>
            <w:tcW w:w="1842" w:type="dxa"/>
            <w:tcBorders>
              <w:top w:val="single" w:sz="4" w:space="0" w:color="auto"/>
            </w:tcBorders>
            <w:shd w:val="clear" w:color="auto" w:fill="auto"/>
            <w:noWrap/>
            <w:tcMar>
              <w:top w:w="0" w:type="dxa"/>
              <w:left w:w="70" w:type="dxa"/>
              <w:bottom w:w="0" w:type="dxa"/>
              <w:right w:w="70" w:type="dxa"/>
            </w:tcMar>
            <w:vAlign w:val="center"/>
          </w:tcPr>
          <w:p w14:paraId="50808740" w14:textId="77777777" w:rsidR="00BC29B7" w:rsidRPr="00192C75" w:rsidRDefault="00BC29B7">
            <w:pPr>
              <w:spacing w:after="0" w:line="240" w:lineRule="auto"/>
              <w:jc w:val="center"/>
              <w:rPr>
                <w:rFonts w:eastAsia="Times New Roman" w:cs="Calibri"/>
                <w:color w:val="auto"/>
                <w:sz w:val="20"/>
                <w:szCs w:val="20"/>
                <w:lang w:eastAsia="cs-CZ"/>
              </w:rPr>
            </w:pPr>
          </w:p>
        </w:tc>
        <w:tc>
          <w:tcPr>
            <w:tcW w:w="1843" w:type="dxa"/>
            <w:tcBorders>
              <w:top w:val="single" w:sz="4" w:space="0" w:color="auto"/>
            </w:tcBorders>
            <w:shd w:val="clear" w:color="auto" w:fill="auto"/>
            <w:noWrap/>
            <w:tcMar>
              <w:top w:w="0" w:type="dxa"/>
              <w:left w:w="70" w:type="dxa"/>
              <w:bottom w:w="0" w:type="dxa"/>
              <w:right w:w="70" w:type="dxa"/>
            </w:tcMar>
            <w:vAlign w:val="center"/>
          </w:tcPr>
          <w:p w14:paraId="6DD181A2" w14:textId="77777777" w:rsidR="00BC29B7" w:rsidRPr="00192C75" w:rsidRDefault="00BC29B7">
            <w:pPr>
              <w:spacing w:after="0" w:line="240" w:lineRule="auto"/>
              <w:jc w:val="center"/>
              <w:rPr>
                <w:rFonts w:eastAsia="Times New Roman" w:cs="Calibri"/>
                <w:color w:val="auto"/>
                <w:sz w:val="20"/>
                <w:szCs w:val="20"/>
                <w:lang w:eastAsia="cs-CZ"/>
              </w:rPr>
            </w:pPr>
          </w:p>
        </w:tc>
      </w:tr>
      <w:tr w:rsidR="00BC29B7" w14:paraId="3AA2F435" w14:textId="77777777" w:rsidTr="00192C75">
        <w:trPr>
          <w:trHeight w:val="286"/>
        </w:trPr>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06F91D8" w14:textId="77777777" w:rsidR="00BC29B7" w:rsidRDefault="00B842A1">
            <w:pPr>
              <w:spacing w:after="0" w:line="240" w:lineRule="auto"/>
              <w:jc w:val="center"/>
              <w:rPr>
                <w:rFonts w:eastAsia="Times New Roman" w:cs="Calibri"/>
                <w:sz w:val="24"/>
                <w:szCs w:val="24"/>
                <w:lang w:eastAsia="cs-CZ"/>
              </w:rPr>
            </w:pPr>
            <w:r>
              <w:rPr>
                <w:rFonts w:eastAsia="Times New Roman" w:cs="Calibri"/>
                <w:sz w:val="24"/>
                <w:szCs w:val="24"/>
                <w:lang w:eastAsia="cs-CZ"/>
              </w:rPr>
              <w:lastRenderedPageBreak/>
              <w:t>MPO</w:t>
            </w:r>
          </w:p>
        </w:tc>
        <w:tc>
          <w:tcPr>
            <w:tcW w:w="198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3ACF0D" w14:textId="7777777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Osobní náklady</w:t>
            </w:r>
          </w:p>
        </w:tc>
        <w:tc>
          <w:tcPr>
            <w:tcW w:w="1134"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2261FC8" w14:textId="06216CB7"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Úvazky</w:t>
            </w:r>
            <w:r w:rsidR="00E537DA">
              <w:rPr>
                <w:rFonts w:eastAsia="Times New Roman" w:cs="Calibri"/>
                <w:sz w:val="20"/>
                <w:szCs w:val="20"/>
                <w:lang w:eastAsia="cs-CZ"/>
              </w:rPr>
              <w:t xml:space="preserve"> </w:t>
            </w:r>
            <w:r w:rsidR="00362A4C">
              <w:rPr>
                <w:rFonts w:eastAsia="Times New Roman" w:cs="Calibri"/>
                <w:sz w:val="20"/>
                <w:szCs w:val="20"/>
                <w:lang w:eastAsia="cs-CZ"/>
              </w:rPr>
              <w:t xml:space="preserve">ze stávajících kapacit </w:t>
            </w:r>
          </w:p>
        </w:tc>
        <w:tc>
          <w:tcPr>
            <w:tcW w:w="170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B9E1172" w14:textId="2A0BD0F3" w:rsidR="00BC29B7" w:rsidRPr="00192C75" w:rsidRDefault="001514B8">
            <w:pPr>
              <w:spacing w:after="0" w:line="240" w:lineRule="auto"/>
              <w:jc w:val="center"/>
              <w:rPr>
                <w:rFonts w:eastAsia="Times New Roman" w:cs="Calibri"/>
                <w:sz w:val="20"/>
                <w:szCs w:val="20"/>
                <w:lang w:eastAsia="cs-CZ"/>
              </w:rPr>
            </w:pPr>
            <w:r>
              <w:rPr>
                <w:rFonts w:eastAsia="Times New Roman" w:cs="Calibri"/>
                <w:sz w:val="20"/>
                <w:szCs w:val="20"/>
                <w:lang w:eastAsia="cs-CZ"/>
              </w:rPr>
              <w:t>12</w:t>
            </w:r>
          </w:p>
        </w:tc>
        <w:tc>
          <w:tcPr>
            <w:tcW w:w="184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A1041CA" w14:textId="46974692" w:rsidR="00BC29B7" w:rsidRPr="00192C75" w:rsidRDefault="001514B8">
            <w:pPr>
              <w:spacing w:after="0" w:line="240" w:lineRule="auto"/>
              <w:jc w:val="center"/>
              <w:rPr>
                <w:rFonts w:eastAsia="Times New Roman" w:cs="Calibri"/>
                <w:sz w:val="20"/>
                <w:szCs w:val="20"/>
                <w:lang w:eastAsia="cs-CZ"/>
              </w:rPr>
            </w:pPr>
            <w:r>
              <w:rPr>
                <w:rFonts w:eastAsia="Times New Roman" w:cs="Calibri"/>
                <w:sz w:val="20"/>
                <w:szCs w:val="20"/>
                <w:lang w:eastAsia="cs-CZ"/>
              </w:rPr>
              <w:t>12</w:t>
            </w:r>
          </w:p>
        </w:tc>
        <w:tc>
          <w:tcPr>
            <w:tcW w:w="184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CB8DA7E" w14:textId="3553CE30" w:rsidR="00BC29B7" w:rsidRPr="00192C75" w:rsidRDefault="001514B8">
            <w:pPr>
              <w:spacing w:after="0" w:line="240" w:lineRule="auto"/>
              <w:jc w:val="center"/>
              <w:rPr>
                <w:rFonts w:eastAsia="Times New Roman" w:cs="Calibri"/>
                <w:sz w:val="20"/>
                <w:szCs w:val="20"/>
                <w:lang w:eastAsia="cs-CZ"/>
              </w:rPr>
            </w:pPr>
            <w:r>
              <w:rPr>
                <w:rFonts w:eastAsia="Times New Roman" w:cs="Calibri"/>
                <w:sz w:val="20"/>
                <w:szCs w:val="20"/>
                <w:lang w:eastAsia="cs-CZ"/>
              </w:rPr>
              <w:t>12</w:t>
            </w:r>
          </w:p>
        </w:tc>
      </w:tr>
      <w:tr w:rsidR="00750B88" w14:paraId="31848F85"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87F6654" w14:textId="77777777" w:rsidR="00750B88" w:rsidRDefault="00750B88" w:rsidP="00750B88">
            <w:pPr>
              <w:spacing w:after="0" w:line="240" w:lineRule="auto"/>
              <w:jc w:val="center"/>
              <w:rPr>
                <w:rFonts w:eastAsia="Times New Roman" w:cs="Calibri"/>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A856C85" w14:textId="77777777" w:rsidR="00750B88" w:rsidRPr="00192C75" w:rsidRDefault="00750B88" w:rsidP="00750B88">
            <w:pPr>
              <w:spacing w:after="0" w:line="240" w:lineRule="auto"/>
              <w:jc w:val="center"/>
              <w:rPr>
                <w:rFonts w:eastAsia="Times New Roman" w:cs="Calibri"/>
                <w:sz w:val="20"/>
                <w:szCs w:val="20"/>
                <w:lang w:eastAsia="cs-CZ"/>
              </w:rPr>
            </w:pP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A11983" w14:textId="77777777" w:rsidR="00750B88" w:rsidRPr="00192C75" w:rsidRDefault="00750B88" w:rsidP="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Rozpočet Kč</w:t>
            </w: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tcPr>
          <w:p w14:paraId="0E5C7F59" w14:textId="177995B6" w:rsidR="00750B88" w:rsidRPr="00192C75" w:rsidRDefault="00750B88" w:rsidP="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c>
          <w:tcPr>
            <w:tcW w:w="1842" w:type="dxa"/>
            <w:tcBorders>
              <w:bottom w:val="single" w:sz="4" w:space="0" w:color="000000"/>
              <w:right w:val="single" w:sz="4" w:space="0" w:color="000000"/>
            </w:tcBorders>
            <w:shd w:val="clear" w:color="auto" w:fill="auto"/>
            <w:noWrap/>
            <w:tcMar>
              <w:top w:w="0" w:type="dxa"/>
              <w:left w:w="70" w:type="dxa"/>
              <w:bottom w:w="0" w:type="dxa"/>
              <w:right w:w="70" w:type="dxa"/>
            </w:tcMar>
          </w:tcPr>
          <w:p w14:paraId="0D8E3B1F" w14:textId="2E711546" w:rsidR="00750B88" w:rsidRPr="00192C75" w:rsidRDefault="00750B88" w:rsidP="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c>
          <w:tcPr>
            <w:tcW w:w="1843" w:type="dxa"/>
            <w:tcBorders>
              <w:bottom w:val="single" w:sz="4" w:space="0" w:color="000000"/>
              <w:right w:val="single" w:sz="4" w:space="0" w:color="000000"/>
            </w:tcBorders>
            <w:shd w:val="clear" w:color="auto" w:fill="auto"/>
            <w:noWrap/>
            <w:tcMar>
              <w:top w:w="0" w:type="dxa"/>
              <w:left w:w="70" w:type="dxa"/>
              <w:bottom w:w="0" w:type="dxa"/>
              <w:right w:w="70" w:type="dxa"/>
            </w:tcMar>
          </w:tcPr>
          <w:p w14:paraId="247EDA2C" w14:textId="4349F413" w:rsidR="00750B88" w:rsidRPr="00192C75" w:rsidRDefault="00750B88" w:rsidP="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r>
      <w:tr w:rsidR="00750B88" w14:paraId="1747AC8E"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582AA5F" w14:textId="77777777" w:rsidR="00750B88" w:rsidRDefault="00750B88" w:rsidP="00750B88">
            <w:pPr>
              <w:spacing w:after="0" w:line="240" w:lineRule="auto"/>
              <w:jc w:val="center"/>
              <w:rPr>
                <w:rFonts w:eastAsia="Times New Roman" w:cs="Calibri"/>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0CEDC2C" w14:textId="77777777" w:rsidR="00750B88" w:rsidRPr="00192C75" w:rsidRDefault="00750B88" w:rsidP="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Náklady na odborné vybavení</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AE15FC5" w14:textId="77777777" w:rsidR="00750B88" w:rsidRPr="00192C75" w:rsidRDefault="00750B88" w:rsidP="00750B88">
            <w:pPr>
              <w:spacing w:after="0" w:line="240" w:lineRule="auto"/>
              <w:jc w:val="center"/>
              <w:rPr>
                <w:rFonts w:eastAsia="Times New Roman" w:cs="Calibri"/>
                <w:sz w:val="20"/>
                <w:szCs w:val="20"/>
                <w:lang w:eastAsia="cs-CZ"/>
              </w:rPr>
            </w:pP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tcPr>
          <w:p w14:paraId="1323F5F7" w14:textId="0758F56D" w:rsidR="00750B88" w:rsidRPr="00192C75" w:rsidRDefault="00750B88" w:rsidP="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c>
          <w:tcPr>
            <w:tcW w:w="1842" w:type="dxa"/>
            <w:tcBorders>
              <w:bottom w:val="single" w:sz="4" w:space="0" w:color="000000"/>
              <w:right w:val="single" w:sz="4" w:space="0" w:color="000000"/>
            </w:tcBorders>
            <w:shd w:val="clear" w:color="auto" w:fill="auto"/>
            <w:noWrap/>
            <w:tcMar>
              <w:top w:w="0" w:type="dxa"/>
              <w:left w:w="70" w:type="dxa"/>
              <w:bottom w:w="0" w:type="dxa"/>
              <w:right w:w="70" w:type="dxa"/>
            </w:tcMar>
          </w:tcPr>
          <w:p w14:paraId="659FBFB2" w14:textId="690907E3" w:rsidR="00750B88" w:rsidRPr="00192C75" w:rsidRDefault="00750B88" w:rsidP="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c>
          <w:tcPr>
            <w:tcW w:w="1843" w:type="dxa"/>
            <w:tcBorders>
              <w:bottom w:val="single" w:sz="4" w:space="0" w:color="000000"/>
              <w:right w:val="single" w:sz="4" w:space="0" w:color="000000"/>
            </w:tcBorders>
            <w:shd w:val="clear" w:color="auto" w:fill="auto"/>
            <w:noWrap/>
            <w:tcMar>
              <w:top w:w="0" w:type="dxa"/>
              <w:left w:w="70" w:type="dxa"/>
              <w:bottom w:w="0" w:type="dxa"/>
              <w:right w:w="70" w:type="dxa"/>
            </w:tcMar>
          </w:tcPr>
          <w:p w14:paraId="3C8A0DFE" w14:textId="3BB5F2E6" w:rsidR="00750B88" w:rsidRPr="00192C75" w:rsidRDefault="00750B88" w:rsidP="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r>
      <w:tr w:rsidR="00750B88" w14:paraId="035D9E1A"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3B390EA" w14:textId="77777777" w:rsidR="00750B88" w:rsidRDefault="00750B88" w:rsidP="00750B88">
            <w:pPr>
              <w:spacing w:after="0" w:line="240" w:lineRule="auto"/>
              <w:jc w:val="center"/>
              <w:rPr>
                <w:rFonts w:eastAsia="Times New Roman" w:cs="Calibri"/>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ACB25DF" w14:textId="77777777" w:rsidR="00750B88" w:rsidRPr="00192C75" w:rsidRDefault="00750B88" w:rsidP="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Náklady na provoz</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E788CB7" w14:textId="77777777" w:rsidR="00750B88" w:rsidRPr="00192C75" w:rsidRDefault="00750B88" w:rsidP="00750B88">
            <w:pPr>
              <w:spacing w:after="0" w:line="240" w:lineRule="auto"/>
              <w:jc w:val="center"/>
              <w:rPr>
                <w:rFonts w:eastAsia="Times New Roman" w:cs="Calibri"/>
                <w:sz w:val="20"/>
                <w:szCs w:val="20"/>
                <w:lang w:eastAsia="cs-CZ"/>
              </w:rPr>
            </w:pP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tcPr>
          <w:p w14:paraId="61BB24DE" w14:textId="7ACBF910" w:rsidR="00750B88" w:rsidRPr="00192C75" w:rsidRDefault="00750B88" w:rsidP="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c>
          <w:tcPr>
            <w:tcW w:w="1842" w:type="dxa"/>
            <w:tcBorders>
              <w:bottom w:val="single" w:sz="4" w:space="0" w:color="000000"/>
              <w:right w:val="single" w:sz="4" w:space="0" w:color="000000"/>
            </w:tcBorders>
            <w:shd w:val="clear" w:color="auto" w:fill="auto"/>
            <w:noWrap/>
            <w:tcMar>
              <w:top w:w="0" w:type="dxa"/>
              <w:left w:w="70" w:type="dxa"/>
              <w:bottom w:w="0" w:type="dxa"/>
              <w:right w:w="70" w:type="dxa"/>
            </w:tcMar>
          </w:tcPr>
          <w:p w14:paraId="63823110" w14:textId="1A807E49" w:rsidR="00750B88" w:rsidRPr="00192C75" w:rsidRDefault="00750B88" w:rsidP="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c>
          <w:tcPr>
            <w:tcW w:w="1843" w:type="dxa"/>
            <w:tcBorders>
              <w:bottom w:val="single" w:sz="4" w:space="0" w:color="000000"/>
              <w:right w:val="single" w:sz="4" w:space="0" w:color="000000"/>
            </w:tcBorders>
            <w:shd w:val="clear" w:color="auto" w:fill="auto"/>
            <w:noWrap/>
            <w:tcMar>
              <w:top w:w="0" w:type="dxa"/>
              <w:left w:w="70" w:type="dxa"/>
              <w:bottom w:w="0" w:type="dxa"/>
              <w:right w:w="70" w:type="dxa"/>
            </w:tcMar>
          </w:tcPr>
          <w:p w14:paraId="14A1198B" w14:textId="4E3438B2" w:rsidR="00750B88" w:rsidRPr="00192C75" w:rsidRDefault="00750B88" w:rsidP="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r>
      <w:tr w:rsidR="00750B88" w14:paraId="477A06AE"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986EC31" w14:textId="77777777" w:rsidR="00750B88" w:rsidRDefault="00750B88" w:rsidP="00750B88">
            <w:pPr>
              <w:spacing w:after="0" w:line="240" w:lineRule="auto"/>
              <w:jc w:val="center"/>
              <w:rPr>
                <w:rFonts w:eastAsia="Times New Roman" w:cs="Calibri"/>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1FD5BE" w14:textId="77777777" w:rsidR="00750B88" w:rsidRPr="00192C75" w:rsidRDefault="00750B88" w:rsidP="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Nákup externích služeb</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8578781" w14:textId="77777777" w:rsidR="00750B88" w:rsidRPr="00192C75" w:rsidRDefault="00750B88" w:rsidP="00750B88">
            <w:pPr>
              <w:spacing w:after="0" w:line="240" w:lineRule="auto"/>
              <w:jc w:val="center"/>
              <w:rPr>
                <w:rFonts w:eastAsia="Times New Roman" w:cs="Calibri"/>
                <w:sz w:val="20"/>
                <w:szCs w:val="20"/>
                <w:lang w:eastAsia="cs-CZ"/>
              </w:rPr>
            </w:pPr>
          </w:p>
        </w:tc>
        <w:tc>
          <w:tcPr>
            <w:tcW w:w="1701" w:type="dxa"/>
            <w:tcBorders>
              <w:bottom w:val="single" w:sz="4" w:space="0" w:color="000000"/>
              <w:right w:val="single" w:sz="4" w:space="0" w:color="000000"/>
            </w:tcBorders>
            <w:shd w:val="clear" w:color="auto" w:fill="auto"/>
            <w:noWrap/>
            <w:tcMar>
              <w:top w:w="0" w:type="dxa"/>
              <w:left w:w="70" w:type="dxa"/>
              <w:bottom w:w="0" w:type="dxa"/>
              <w:right w:w="70" w:type="dxa"/>
            </w:tcMar>
          </w:tcPr>
          <w:p w14:paraId="60F64384" w14:textId="7E1EC9ED" w:rsidR="00750B88" w:rsidRPr="00192C75" w:rsidRDefault="00750B88" w:rsidP="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c>
          <w:tcPr>
            <w:tcW w:w="1842" w:type="dxa"/>
            <w:tcBorders>
              <w:bottom w:val="single" w:sz="4" w:space="0" w:color="000000"/>
              <w:right w:val="single" w:sz="4" w:space="0" w:color="000000"/>
            </w:tcBorders>
            <w:shd w:val="clear" w:color="auto" w:fill="auto"/>
            <w:noWrap/>
            <w:tcMar>
              <w:top w:w="0" w:type="dxa"/>
              <w:left w:w="70" w:type="dxa"/>
              <w:bottom w:w="0" w:type="dxa"/>
              <w:right w:w="70" w:type="dxa"/>
            </w:tcMar>
          </w:tcPr>
          <w:p w14:paraId="62890F1E" w14:textId="4E7982CC" w:rsidR="00750B88" w:rsidRPr="00192C75" w:rsidRDefault="00750B88" w:rsidP="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c>
          <w:tcPr>
            <w:tcW w:w="1843" w:type="dxa"/>
            <w:tcBorders>
              <w:bottom w:val="single" w:sz="4" w:space="0" w:color="000000"/>
              <w:right w:val="single" w:sz="4" w:space="0" w:color="000000"/>
            </w:tcBorders>
            <w:shd w:val="clear" w:color="auto" w:fill="auto"/>
            <w:noWrap/>
            <w:tcMar>
              <w:top w:w="0" w:type="dxa"/>
              <w:left w:w="70" w:type="dxa"/>
              <w:bottom w:w="0" w:type="dxa"/>
              <w:right w:w="70" w:type="dxa"/>
            </w:tcMar>
          </w:tcPr>
          <w:p w14:paraId="3F15EEE1" w14:textId="446FE805" w:rsidR="00750B88" w:rsidRPr="00192C75" w:rsidRDefault="00750B88" w:rsidP="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r>
      <w:tr w:rsidR="00750B88" w14:paraId="588D5D8B" w14:textId="77777777" w:rsidTr="00192C75">
        <w:trPr>
          <w:trHeight w:val="286"/>
        </w:trPr>
        <w:tc>
          <w:tcPr>
            <w:tcW w:w="1842"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F5F0BFE" w14:textId="77777777" w:rsidR="00750B88" w:rsidRDefault="00750B88" w:rsidP="00750B88">
            <w:pPr>
              <w:spacing w:after="0" w:line="240" w:lineRule="auto"/>
              <w:jc w:val="center"/>
              <w:rPr>
                <w:rFonts w:eastAsia="Times New Roman" w:cs="Calibri"/>
                <w:sz w:val="24"/>
                <w:szCs w:val="24"/>
                <w:lang w:eastAsia="cs-CZ"/>
              </w:rPr>
            </w:pPr>
          </w:p>
        </w:tc>
        <w:tc>
          <w:tcPr>
            <w:tcW w:w="198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C5BCD63" w14:textId="77777777" w:rsidR="00750B88" w:rsidRPr="00192C75" w:rsidRDefault="00750B88" w:rsidP="00750B88">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Celkem</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8E33F0F" w14:textId="77777777" w:rsidR="00750B88" w:rsidRPr="00192C75" w:rsidRDefault="00750B88" w:rsidP="00750B88">
            <w:pPr>
              <w:spacing w:after="0" w:line="240" w:lineRule="auto"/>
              <w:jc w:val="center"/>
              <w:rPr>
                <w:rFonts w:eastAsia="Times New Roman" w:cs="Calibri"/>
                <w:sz w:val="20"/>
                <w:szCs w:val="20"/>
                <w:lang w:eastAsia="cs-CZ"/>
              </w:rPr>
            </w:pPr>
          </w:p>
        </w:tc>
        <w:tc>
          <w:tcPr>
            <w:tcW w:w="1701" w:type="dxa"/>
            <w:tcBorders>
              <w:bottom w:val="single" w:sz="4" w:space="0" w:color="000000"/>
              <w:right w:val="single" w:sz="4" w:space="0" w:color="000000"/>
            </w:tcBorders>
            <w:shd w:val="clear" w:color="auto" w:fill="auto"/>
            <w:tcMar>
              <w:top w:w="0" w:type="dxa"/>
              <w:left w:w="70" w:type="dxa"/>
              <w:bottom w:w="0" w:type="dxa"/>
              <w:right w:w="70" w:type="dxa"/>
            </w:tcMar>
          </w:tcPr>
          <w:p w14:paraId="60F6F219" w14:textId="3C47422C" w:rsidR="00750B88" w:rsidRPr="00192C75" w:rsidRDefault="00750B88" w:rsidP="00750B88">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w:t>
            </w:r>
          </w:p>
        </w:tc>
        <w:tc>
          <w:tcPr>
            <w:tcW w:w="1842" w:type="dxa"/>
            <w:tcBorders>
              <w:bottom w:val="single" w:sz="4" w:space="0" w:color="000000"/>
              <w:right w:val="single" w:sz="4" w:space="0" w:color="000000"/>
            </w:tcBorders>
            <w:shd w:val="clear" w:color="auto" w:fill="auto"/>
            <w:tcMar>
              <w:top w:w="0" w:type="dxa"/>
              <w:left w:w="70" w:type="dxa"/>
              <w:bottom w:w="0" w:type="dxa"/>
              <w:right w:w="70" w:type="dxa"/>
            </w:tcMar>
          </w:tcPr>
          <w:p w14:paraId="7CB28624" w14:textId="14C27199" w:rsidR="00750B88" w:rsidRPr="00192C75" w:rsidRDefault="00750B88" w:rsidP="00750B88">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w:t>
            </w:r>
          </w:p>
        </w:tc>
        <w:tc>
          <w:tcPr>
            <w:tcW w:w="1843" w:type="dxa"/>
            <w:tcBorders>
              <w:bottom w:val="single" w:sz="4" w:space="0" w:color="000000"/>
              <w:right w:val="single" w:sz="4" w:space="0" w:color="000000"/>
            </w:tcBorders>
            <w:shd w:val="clear" w:color="auto" w:fill="auto"/>
            <w:tcMar>
              <w:top w:w="0" w:type="dxa"/>
              <w:left w:w="70" w:type="dxa"/>
              <w:bottom w:w="0" w:type="dxa"/>
              <w:right w:w="70" w:type="dxa"/>
            </w:tcMar>
          </w:tcPr>
          <w:p w14:paraId="67D103D8" w14:textId="028CA55F" w:rsidR="00750B88" w:rsidRPr="00192C75" w:rsidRDefault="00750B88" w:rsidP="00750B88">
            <w:pPr>
              <w:spacing w:after="0" w:line="240" w:lineRule="auto"/>
              <w:jc w:val="center"/>
              <w:rPr>
                <w:rFonts w:eastAsia="Times New Roman" w:cs="Calibri"/>
                <w:b/>
                <w:bCs/>
                <w:sz w:val="20"/>
                <w:szCs w:val="20"/>
                <w:lang w:eastAsia="cs-CZ"/>
              </w:rPr>
            </w:pPr>
            <w:r w:rsidRPr="00192C75">
              <w:rPr>
                <w:rFonts w:eastAsia="Times New Roman" w:cs="Calibri"/>
                <w:b/>
                <w:bCs/>
                <w:sz w:val="20"/>
                <w:szCs w:val="20"/>
                <w:lang w:eastAsia="cs-CZ"/>
              </w:rPr>
              <w:t>-</w:t>
            </w:r>
          </w:p>
        </w:tc>
      </w:tr>
      <w:tr w:rsidR="00BC29B7" w14:paraId="2B69D12B" w14:textId="77777777" w:rsidTr="00192C75">
        <w:trPr>
          <w:trHeight w:val="170"/>
        </w:trPr>
        <w:tc>
          <w:tcPr>
            <w:tcW w:w="1842" w:type="dxa"/>
            <w:shd w:val="clear" w:color="auto" w:fill="auto"/>
            <w:noWrap/>
            <w:tcMar>
              <w:top w:w="0" w:type="dxa"/>
              <w:left w:w="70" w:type="dxa"/>
              <w:bottom w:w="0" w:type="dxa"/>
              <w:right w:w="70" w:type="dxa"/>
            </w:tcMar>
            <w:vAlign w:val="center"/>
          </w:tcPr>
          <w:p w14:paraId="424A82CD" w14:textId="77777777" w:rsidR="00BC29B7" w:rsidRDefault="00BC29B7">
            <w:pPr>
              <w:spacing w:after="0" w:line="240" w:lineRule="auto"/>
              <w:jc w:val="center"/>
              <w:rPr>
                <w:rFonts w:eastAsia="Times New Roman" w:cs="Calibri"/>
                <w:b/>
                <w:bCs/>
                <w:sz w:val="24"/>
                <w:szCs w:val="24"/>
                <w:lang w:eastAsia="cs-CZ"/>
              </w:rPr>
            </w:pPr>
          </w:p>
        </w:tc>
        <w:tc>
          <w:tcPr>
            <w:tcW w:w="1985" w:type="dxa"/>
            <w:shd w:val="clear" w:color="auto" w:fill="auto"/>
            <w:noWrap/>
            <w:tcMar>
              <w:top w:w="0" w:type="dxa"/>
              <w:left w:w="70" w:type="dxa"/>
              <w:bottom w:w="0" w:type="dxa"/>
              <w:right w:w="70" w:type="dxa"/>
            </w:tcMar>
            <w:vAlign w:val="center"/>
          </w:tcPr>
          <w:p w14:paraId="3F88BC21" w14:textId="77777777" w:rsidR="00BC29B7" w:rsidRPr="00192C75" w:rsidRDefault="00BC29B7">
            <w:pPr>
              <w:spacing w:after="0" w:line="240" w:lineRule="auto"/>
              <w:jc w:val="center"/>
              <w:rPr>
                <w:rFonts w:eastAsia="Times New Roman" w:cs="Calibri"/>
                <w:color w:val="auto"/>
                <w:sz w:val="20"/>
                <w:szCs w:val="20"/>
                <w:lang w:eastAsia="cs-CZ"/>
              </w:rPr>
            </w:pPr>
          </w:p>
        </w:tc>
        <w:tc>
          <w:tcPr>
            <w:tcW w:w="1134" w:type="dxa"/>
            <w:shd w:val="clear" w:color="auto" w:fill="auto"/>
            <w:noWrap/>
            <w:tcMar>
              <w:top w:w="0" w:type="dxa"/>
              <w:left w:w="70" w:type="dxa"/>
              <w:bottom w:w="0" w:type="dxa"/>
              <w:right w:w="70" w:type="dxa"/>
            </w:tcMar>
            <w:vAlign w:val="center"/>
          </w:tcPr>
          <w:p w14:paraId="7BA606AA" w14:textId="77777777" w:rsidR="00BC29B7" w:rsidRPr="00192C75" w:rsidRDefault="00BC29B7">
            <w:pPr>
              <w:spacing w:after="0" w:line="240" w:lineRule="auto"/>
              <w:jc w:val="center"/>
              <w:rPr>
                <w:rFonts w:eastAsia="Times New Roman" w:cs="Calibri"/>
                <w:color w:val="auto"/>
                <w:sz w:val="20"/>
                <w:szCs w:val="20"/>
                <w:lang w:eastAsia="cs-CZ"/>
              </w:rPr>
            </w:pPr>
          </w:p>
        </w:tc>
        <w:tc>
          <w:tcPr>
            <w:tcW w:w="1701" w:type="dxa"/>
            <w:shd w:val="clear" w:color="auto" w:fill="auto"/>
            <w:noWrap/>
            <w:tcMar>
              <w:top w:w="0" w:type="dxa"/>
              <w:left w:w="70" w:type="dxa"/>
              <w:bottom w:w="0" w:type="dxa"/>
              <w:right w:w="70" w:type="dxa"/>
            </w:tcMar>
            <w:vAlign w:val="center"/>
          </w:tcPr>
          <w:p w14:paraId="2B5AAF4E" w14:textId="77777777" w:rsidR="00BC29B7" w:rsidRPr="00192C75" w:rsidRDefault="00BC29B7">
            <w:pPr>
              <w:spacing w:after="0" w:line="240" w:lineRule="auto"/>
              <w:jc w:val="center"/>
              <w:rPr>
                <w:rFonts w:eastAsia="Times New Roman" w:cs="Calibri"/>
                <w:color w:val="auto"/>
                <w:sz w:val="20"/>
                <w:szCs w:val="20"/>
                <w:lang w:eastAsia="cs-CZ"/>
              </w:rPr>
            </w:pPr>
          </w:p>
        </w:tc>
        <w:tc>
          <w:tcPr>
            <w:tcW w:w="1842" w:type="dxa"/>
            <w:shd w:val="clear" w:color="auto" w:fill="auto"/>
            <w:noWrap/>
            <w:tcMar>
              <w:top w:w="0" w:type="dxa"/>
              <w:left w:w="70" w:type="dxa"/>
              <w:bottom w:w="0" w:type="dxa"/>
              <w:right w:w="70" w:type="dxa"/>
            </w:tcMar>
            <w:vAlign w:val="center"/>
          </w:tcPr>
          <w:p w14:paraId="51040D70" w14:textId="77777777" w:rsidR="00BC29B7" w:rsidRPr="00192C75" w:rsidRDefault="00BC29B7">
            <w:pPr>
              <w:spacing w:after="0" w:line="240" w:lineRule="auto"/>
              <w:jc w:val="center"/>
              <w:rPr>
                <w:rFonts w:eastAsia="Times New Roman" w:cs="Calibri"/>
                <w:color w:val="auto"/>
                <w:sz w:val="20"/>
                <w:szCs w:val="20"/>
                <w:lang w:eastAsia="cs-CZ"/>
              </w:rPr>
            </w:pPr>
          </w:p>
        </w:tc>
        <w:tc>
          <w:tcPr>
            <w:tcW w:w="1843" w:type="dxa"/>
            <w:shd w:val="clear" w:color="auto" w:fill="auto"/>
            <w:noWrap/>
            <w:tcMar>
              <w:top w:w="0" w:type="dxa"/>
              <w:left w:w="70" w:type="dxa"/>
              <w:bottom w:w="0" w:type="dxa"/>
              <w:right w:w="70" w:type="dxa"/>
            </w:tcMar>
            <w:vAlign w:val="center"/>
          </w:tcPr>
          <w:p w14:paraId="2384742E" w14:textId="77777777" w:rsidR="00BC29B7" w:rsidRPr="00192C75" w:rsidRDefault="00BC29B7">
            <w:pPr>
              <w:spacing w:after="0" w:line="240" w:lineRule="auto"/>
              <w:jc w:val="center"/>
              <w:rPr>
                <w:rFonts w:eastAsia="Times New Roman" w:cs="Calibri"/>
                <w:color w:val="auto"/>
                <w:sz w:val="20"/>
                <w:szCs w:val="20"/>
                <w:lang w:eastAsia="cs-CZ"/>
              </w:rPr>
            </w:pPr>
          </w:p>
        </w:tc>
      </w:tr>
      <w:tr w:rsidR="00BC29B7" w14:paraId="75AF9454" w14:textId="77777777" w:rsidTr="00192C75">
        <w:trPr>
          <w:trHeight w:val="283"/>
        </w:trPr>
        <w:tc>
          <w:tcPr>
            <w:tcW w:w="1842" w:type="dxa"/>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vAlign w:val="center"/>
          </w:tcPr>
          <w:p w14:paraId="158A2AE7"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Celkem ročně</w:t>
            </w:r>
          </w:p>
        </w:tc>
        <w:tc>
          <w:tcPr>
            <w:tcW w:w="3119" w:type="dxa"/>
            <w:gridSpan w:val="2"/>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709C8FF2" w14:textId="1B7C7F98"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p>
        </w:tc>
        <w:tc>
          <w:tcPr>
            <w:tcW w:w="1701"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414B2150" w14:textId="03275371"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7</w:t>
            </w:r>
            <w:r w:rsidR="00750B88" w:rsidRPr="00192C75">
              <w:rPr>
                <w:rFonts w:eastAsia="Times New Roman" w:cs="Calibri"/>
                <w:sz w:val="20"/>
                <w:szCs w:val="20"/>
                <w:lang w:eastAsia="cs-CZ"/>
              </w:rPr>
              <w:t>3</w:t>
            </w:r>
            <w:r w:rsidRPr="00192C75">
              <w:rPr>
                <w:rFonts w:eastAsia="Times New Roman" w:cs="Calibri"/>
                <w:sz w:val="20"/>
                <w:szCs w:val="20"/>
                <w:lang w:eastAsia="cs-CZ"/>
              </w:rPr>
              <w:t xml:space="preserve"> </w:t>
            </w:r>
            <w:r w:rsidR="00750B88" w:rsidRPr="00192C75">
              <w:rPr>
                <w:rFonts w:eastAsia="Times New Roman" w:cs="Calibri"/>
                <w:sz w:val="20"/>
                <w:szCs w:val="20"/>
                <w:lang w:eastAsia="cs-CZ"/>
              </w:rPr>
              <w:t>15</w:t>
            </w:r>
            <w:r w:rsidRPr="00192C75">
              <w:rPr>
                <w:rFonts w:eastAsia="Times New Roman" w:cs="Calibri"/>
                <w:sz w:val="20"/>
                <w:szCs w:val="20"/>
                <w:lang w:eastAsia="cs-CZ"/>
              </w:rPr>
              <w:t>6 300</w:t>
            </w:r>
          </w:p>
        </w:tc>
        <w:tc>
          <w:tcPr>
            <w:tcW w:w="1842"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7A49D133" w14:textId="622D184A" w:rsidR="00BC29B7" w:rsidRPr="00192C75" w:rsidRDefault="00750B88">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58</w:t>
            </w:r>
            <w:r w:rsidR="00B842A1" w:rsidRPr="00192C75">
              <w:rPr>
                <w:rFonts w:eastAsia="Times New Roman" w:cs="Calibri"/>
                <w:sz w:val="20"/>
                <w:szCs w:val="20"/>
                <w:lang w:eastAsia="cs-CZ"/>
              </w:rPr>
              <w:t xml:space="preserve"> </w:t>
            </w:r>
            <w:r w:rsidRPr="00192C75">
              <w:rPr>
                <w:rFonts w:eastAsia="Times New Roman" w:cs="Calibri"/>
                <w:sz w:val="20"/>
                <w:szCs w:val="20"/>
                <w:lang w:eastAsia="cs-CZ"/>
              </w:rPr>
              <w:t>190</w:t>
            </w:r>
            <w:r w:rsidR="00B842A1" w:rsidRPr="00192C75">
              <w:rPr>
                <w:rFonts w:eastAsia="Times New Roman" w:cs="Calibri"/>
                <w:sz w:val="20"/>
                <w:szCs w:val="20"/>
                <w:lang w:eastAsia="cs-CZ"/>
              </w:rPr>
              <w:t xml:space="preserve"> 600</w:t>
            </w:r>
          </w:p>
        </w:tc>
        <w:tc>
          <w:tcPr>
            <w:tcW w:w="1843"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7CEB9B3E" w14:textId="4173ABDC"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10</w:t>
            </w:r>
            <w:r w:rsidR="00750B88" w:rsidRPr="00192C75">
              <w:rPr>
                <w:rFonts w:eastAsia="Times New Roman" w:cs="Calibri"/>
                <w:sz w:val="20"/>
                <w:szCs w:val="20"/>
                <w:lang w:eastAsia="cs-CZ"/>
              </w:rPr>
              <w:t>1</w:t>
            </w:r>
            <w:r w:rsidRPr="00192C75">
              <w:rPr>
                <w:rFonts w:eastAsia="Times New Roman" w:cs="Calibri"/>
                <w:sz w:val="20"/>
                <w:szCs w:val="20"/>
                <w:lang w:eastAsia="cs-CZ"/>
              </w:rPr>
              <w:t xml:space="preserve"> </w:t>
            </w:r>
            <w:r w:rsidR="00750B88" w:rsidRPr="00192C75">
              <w:rPr>
                <w:rFonts w:eastAsia="Times New Roman" w:cs="Calibri"/>
                <w:sz w:val="20"/>
                <w:szCs w:val="20"/>
                <w:lang w:eastAsia="cs-CZ"/>
              </w:rPr>
              <w:t>180</w:t>
            </w:r>
            <w:r w:rsidRPr="00192C75">
              <w:rPr>
                <w:rFonts w:eastAsia="Times New Roman" w:cs="Calibri"/>
                <w:sz w:val="20"/>
                <w:szCs w:val="20"/>
                <w:lang w:eastAsia="cs-CZ"/>
              </w:rPr>
              <w:t xml:space="preserve"> 200</w:t>
            </w:r>
          </w:p>
        </w:tc>
      </w:tr>
      <w:tr w:rsidR="00BC29B7" w14:paraId="7423ACF1" w14:textId="77777777" w:rsidTr="00192C75">
        <w:trPr>
          <w:trHeight w:val="54"/>
        </w:trPr>
        <w:tc>
          <w:tcPr>
            <w:tcW w:w="1842" w:type="dxa"/>
            <w:tcBorders>
              <w:left w:val="single" w:sz="8" w:space="0" w:color="000000"/>
              <w:bottom w:val="single" w:sz="8" w:space="0" w:color="000000"/>
            </w:tcBorders>
            <w:shd w:val="clear" w:color="auto" w:fill="auto"/>
            <w:noWrap/>
            <w:tcMar>
              <w:top w:w="0" w:type="dxa"/>
              <w:left w:w="70" w:type="dxa"/>
              <w:bottom w:w="0" w:type="dxa"/>
              <w:right w:w="70" w:type="dxa"/>
            </w:tcMar>
            <w:vAlign w:val="center"/>
          </w:tcPr>
          <w:p w14:paraId="6BDA4FA0" w14:textId="77777777" w:rsidR="00BC29B7" w:rsidRDefault="00B842A1">
            <w:pPr>
              <w:spacing w:after="0" w:line="240" w:lineRule="auto"/>
              <w:jc w:val="center"/>
              <w:rPr>
                <w:rFonts w:eastAsia="Times New Roman" w:cs="Calibri"/>
                <w:b/>
                <w:bCs/>
                <w:sz w:val="24"/>
                <w:szCs w:val="24"/>
                <w:lang w:eastAsia="cs-CZ"/>
              </w:rPr>
            </w:pPr>
            <w:r>
              <w:rPr>
                <w:rFonts w:eastAsia="Times New Roman" w:cs="Calibri"/>
                <w:b/>
                <w:bCs/>
                <w:sz w:val="24"/>
                <w:szCs w:val="24"/>
                <w:lang w:eastAsia="cs-CZ"/>
              </w:rPr>
              <w:t>Celkem</w:t>
            </w:r>
          </w:p>
        </w:tc>
        <w:tc>
          <w:tcPr>
            <w:tcW w:w="6662" w:type="dxa"/>
            <w:gridSpan w:val="4"/>
            <w:tcBorders>
              <w:top w:val="single" w:sz="8" w:space="0" w:color="000000"/>
              <w:bottom w:val="single" w:sz="8" w:space="0" w:color="000000"/>
            </w:tcBorders>
            <w:shd w:val="clear" w:color="auto" w:fill="auto"/>
            <w:noWrap/>
            <w:tcMar>
              <w:top w:w="0" w:type="dxa"/>
              <w:left w:w="70" w:type="dxa"/>
              <w:bottom w:w="0" w:type="dxa"/>
              <w:right w:w="70" w:type="dxa"/>
            </w:tcMar>
            <w:vAlign w:val="center"/>
          </w:tcPr>
          <w:p w14:paraId="312DA9BB" w14:textId="4CD3DAA7" w:rsidR="00BC29B7" w:rsidRPr="00192C75" w:rsidRDefault="00ED6764">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w:t>
            </w:r>
            <w:r w:rsidR="00B842A1" w:rsidRPr="00192C75">
              <w:rPr>
                <w:rFonts w:eastAsia="Times New Roman" w:cs="Calibri"/>
                <w:sz w:val="20"/>
                <w:szCs w:val="20"/>
                <w:lang w:eastAsia="cs-CZ"/>
              </w:rPr>
              <w:t>…................................................................................................</w:t>
            </w:r>
          </w:p>
        </w:tc>
        <w:tc>
          <w:tcPr>
            <w:tcW w:w="1843"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3FD54778" w14:textId="7ABC4630" w:rsidR="00BC29B7" w:rsidRPr="00192C75" w:rsidRDefault="00B842A1">
            <w:pPr>
              <w:spacing w:after="0" w:line="240" w:lineRule="auto"/>
              <w:jc w:val="center"/>
              <w:rPr>
                <w:rFonts w:eastAsia="Times New Roman" w:cs="Calibri"/>
                <w:sz w:val="20"/>
                <w:szCs w:val="20"/>
                <w:lang w:eastAsia="cs-CZ"/>
              </w:rPr>
            </w:pPr>
            <w:r w:rsidRPr="00192C75">
              <w:rPr>
                <w:rFonts w:eastAsia="Times New Roman" w:cs="Calibri"/>
                <w:sz w:val="20"/>
                <w:szCs w:val="20"/>
                <w:lang w:eastAsia="cs-CZ"/>
              </w:rPr>
              <w:t>2</w:t>
            </w:r>
            <w:r w:rsidR="00750B88" w:rsidRPr="00192C75">
              <w:rPr>
                <w:rFonts w:eastAsia="Times New Roman" w:cs="Calibri"/>
                <w:sz w:val="20"/>
                <w:szCs w:val="20"/>
                <w:lang w:eastAsia="cs-CZ"/>
              </w:rPr>
              <w:t>32</w:t>
            </w:r>
            <w:r w:rsidRPr="00192C75">
              <w:rPr>
                <w:rFonts w:eastAsia="Times New Roman" w:cs="Calibri"/>
                <w:sz w:val="20"/>
                <w:szCs w:val="20"/>
                <w:lang w:eastAsia="cs-CZ"/>
              </w:rPr>
              <w:t xml:space="preserve"> </w:t>
            </w:r>
            <w:r w:rsidR="00750B88" w:rsidRPr="00192C75">
              <w:rPr>
                <w:rFonts w:eastAsia="Times New Roman" w:cs="Calibri"/>
                <w:sz w:val="20"/>
                <w:szCs w:val="20"/>
                <w:lang w:eastAsia="cs-CZ"/>
              </w:rPr>
              <w:t>52</w:t>
            </w:r>
            <w:r w:rsidRPr="00192C75">
              <w:rPr>
                <w:rFonts w:eastAsia="Times New Roman" w:cs="Calibri"/>
                <w:sz w:val="20"/>
                <w:szCs w:val="20"/>
                <w:lang w:eastAsia="cs-CZ"/>
              </w:rPr>
              <w:t>7 100</w:t>
            </w:r>
          </w:p>
        </w:tc>
      </w:tr>
    </w:tbl>
    <w:p w14:paraId="17AE9E67" w14:textId="77777777" w:rsidR="00BC29B7" w:rsidRDefault="00BC29B7">
      <w:pPr>
        <w:autoSpaceDE w:val="0"/>
        <w:jc w:val="both"/>
        <w:rPr>
          <w:rFonts w:cs="Calibri"/>
          <w:sz w:val="24"/>
          <w:szCs w:val="24"/>
        </w:rPr>
      </w:pPr>
    </w:p>
    <w:p w14:paraId="3589DAD5" w14:textId="48E01458" w:rsidR="00BC29B7" w:rsidRPr="00153D8D" w:rsidRDefault="00B842A1" w:rsidP="005B0B2C">
      <w:pPr>
        <w:pBdr>
          <w:top w:val="single" w:sz="4" w:space="1" w:color="auto"/>
          <w:left w:val="single" w:sz="4" w:space="4" w:color="auto"/>
          <w:bottom w:val="single" w:sz="4" w:space="1" w:color="auto"/>
          <w:right w:val="single" w:sz="4" w:space="4" w:color="auto"/>
        </w:pBdr>
        <w:spacing w:after="0" w:line="240" w:lineRule="auto"/>
        <w:jc w:val="both"/>
        <w:rPr>
          <w:rFonts w:cs="Calibri"/>
          <w:b/>
          <w:bCs/>
          <w:color w:val="44546A" w:themeColor="text2"/>
          <w:sz w:val="24"/>
          <w:szCs w:val="24"/>
        </w:rPr>
      </w:pPr>
      <w:r w:rsidRPr="00153D8D">
        <w:rPr>
          <w:rFonts w:eastAsia="Arial" w:cs="Calibri"/>
          <w:b/>
          <w:bCs/>
          <w:color w:val="44546A" w:themeColor="text2"/>
          <w:sz w:val="24"/>
          <w:szCs w:val="24"/>
        </w:rPr>
        <w:t xml:space="preserve">Pro efektivní zajištění implementace AI Aktu MPO požaduje, aby byly alokovány ze státního rozpočtu prostředky pro MPO a jednotlivé úřady pro </w:t>
      </w:r>
      <w:r w:rsidR="007B7C57">
        <w:rPr>
          <w:rFonts w:eastAsia="Arial" w:cs="Calibri"/>
          <w:b/>
          <w:bCs/>
          <w:color w:val="44546A" w:themeColor="text2"/>
          <w:sz w:val="24"/>
          <w:szCs w:val="24"/>
        </w:rPr>
        <w:t xml:space="preserve">období 2026 – 2028 </w:t>
      </w:r>
      <w:r w:rsidR="007B7C57" w:rsidRPr="00153D8D">
        <w:rPr>
          <w:rFonts w:cs="Calibri"/>
          <w:b/>
          <w:bCs/>
          <w:color w:val="44546A" w:themeColor="text2"/>
          <w:sz w:val="24"/>
          <w:szCs w:val="24"/>
        </w:rPr>
        <w:t>celkově 2</w:t>
      </w:r>
      <w:r w:rsidR="007B7C57">
        <w:rPr>
          <w:rFonts w:cs="Calibri"/>
          <w:b/>
          <w:bCs/>
          <w:color w:val="44546A" w:themeColor="text2"/>
          <w:sz w:val="24"/>
          <w:szCs w:val="24"/>
        </w:rPr>
        <w:t>32</w:t>
      </w:r>
      <w:r w:rsidR="007B7C57" w:rsidRPr="00153D8D">
        <w:rPr>
          <w:rFonts w:cs="Calibri"/>
          <w:b/>
          <w:bCs/>
          <w:color w:val="44546A" w:themeColor="text2"/>
          <w:sz w:val="24"/>
          <w:szCs w:val="24"/>
        </w:rPr>
        <w:t xml:space="preserve"> </w:t>
      </w:r>
      <w:r w:rsidR="007B7C57">
        <w:rPr>
          <w:rFonts w:cs="Calibri"/>
          <w:b/>
          <w:bCs/>
          <w:color w:val="44546A" w:themeColor="text2"/>
          <w:sz w:val="24"/>
          <w:szCs w:val="24"/>
        </w:rPr>
        <w:t>52</w:t>
      </w:r>
      <w:r w:rsidR="007B7C57" w:rsidRPr="00153D8D">
        <w:rPr>
          <w:rFonts w:cs="Calibri"/>
          <w:b/>
          <w:bCs/>
          <w:color w:val="44546A" w:themeColor="text2"/>
          <w:sz w:val="24"/>
          <w:szCs w:val="24"/>
        </w:rPr>
        <w:t>7 100 Kč</w:t>
      </w:r>
      <w:r w:rsidR="007B7C57">
        <w:rPr>
          <w:rFonts w:eastAsia="Arial" w:cs="Calibri"/>
          <w:b/>
          <w:bCs/>
          <w:color w:val="44546A" w:themeColor="text2"/>
          <w:sz w:val="24"/>
          <w:szCs w:val="24"/>
        </w:rPr>
        <w:t xml:space="preserve"> (</w:t>
      </w:r>
      <w:r w:rsidRPr="00153D8D">
        <w:rPr>
          <w:rFonts w:eastAsia="Arial" w:cs="Calibri"/>
          <w:b/>
          <w:bCs/>
          <w:color w:val="44546A" w:themeColor="text2"/>
          <w:sz w:val="24"/>
          <w:szCs w:val="24"/>
        </w:rPr>
        <w:t xml:space="preserve">rok </w:t>
      </w:r>
      <w:r w:rsidRPr="00153D8D">
        <w:rPr>
          <w:rFonts w:cs="Calibri"/>
          <w:b/>
          <w:bCs/>
          <w:color w:val="44546A" w:themeColor="text2"/>
          <w:sz w:val="24"/>
          <w:szCs w:val="24"/>
        </w:rPr>
        <w:t>2026 - 7</w:t>
      </w:r>
      <w:r w:rsidR="00750B88">
        <w:rPr>
          <w:rFonts w:cs="Calibri"/>
          <w:b/>
          <w:bCs/>
          <w:color w:val="44546A" w:themeColor="text2"/>
          <w:sz w:val="24"/>
          <w:szCs w:val="24"/>
        </w:rPr>
        <w:t>3</w:t>
      </w:r>
      <w:r w:rsidRPr="00153D8D">
        <w:rPr>
          <w:rFonts w:cs="Calibri"/>
          <w:b/>
          <w:bCs/>
          <w:color w:val="44546A" w:themeColor="text2"/>
          <w:sz w:val="24"/>
          <w:szCs w:val="24"/>
        </w:rPr>
        <w:t xml:space="preserve"> </w:t>
      </w:r>
      <w:r w:rsidR="00750B88">
        <w:rPr>
          <w:rFonts w:cs="Calibri"/>
          <w:b/>
          <w:bCs/>
          <w:color w:val="44546A" w:themeColor="text2"/>
          <w:sz w:val="24"/>
          <w:szCs w:val="24"/>
        </w:rPr>
        <w:t>15</w:t>
      </w:r>
      <w:r w:rsidR="00750B88" w:rsidRPr="00153D8D">
        <w:rPr>
          <w:rFonts w:cs="Calibri"/>
          <w:b/>
          <w:bCs/>
          <w:color w:val="44546A" w:themeColor="text2"/>
          <w:sz w:val="24"/>
          <w:szCs w:val="24"/>
        </w:rPr>
        <w:t>6 </w:t>
      </w:r>
      <w:r w:rsidRPr="00153D8D">
        <w:rPr>
          <w:rFonts w:cs="Calibri"/>
          <w:b/>
          <w:bCs/>
          <w:color w:val="44546A" w:themeColor="text2"/>
          <w:sz w:val="24"/>
          <w:szCs w:val="24"/>
        </w:rPr>
        <w:t xml:space="preserve">300 Kč, pro rok 2027 - </w:t>
      </w:r>
      <w:r w:rsidR="00750B88">
        <w:rPr>
          <w:rFonts w:cs="Calibri"/>
          <w:b/>
          <w:bCs/>
          <w:color w:val="44546A" w:themeColor="text2"/>
          <w:sz w:val="24"/>
          <w:szCs w:val="24"/>
        </w:rPr>
        <w:t>58</w:t>
      </w:r>
      <w:r w:rsidRPr="00153D8D">
        <w:rPr>
          <w:rFonts w:cs="Calibri"/>
          <w:b/>
          <w:bCs/>
          <w:color w:val="44546A" w:themeColor="text2"/>
          <w:sz w:val="24"/>
          <w:szCs w:val="24"/>
        </w:rPr>
        <w:t xml:space="preserve"> </w:t>
      </w:r>
      <w:r w:rsidR="00750B88">
        <w:rPr>
          <w:rFonts w:cs="Calibri"/>
          <w:b/>
          <w:bCs/>
          <w:color w:val="44546A" w:themeColor="text2"/>
          <w:sz w:val="24"/>
          <w:szCs w:val="24"/>
        </w:rPr>
        <w:t>19</w:t>
      </w:r>
      <w:r w:rsidRPr="00153D8D">
        <w:rPr>
          <w:rFonts w:cs="Calibri"/>
          <w:b/>
          <w:bCs/>
          <w:color w:val="44546A" w:themeColor="text2"/>
          <w:sz w:val="24"/>
          <w:szCs w:val="24"/>
        </w:rPr>
        <w:t>0 600 Kč,</w:t>
      </w:r>
      <w:r w:rsidR="00153D8D" w:rsidRPr="00153D8D">
        <w:rPr>
          <w:rFonts w:cs="Calibri"/>
          <w:b/>
          <w:bCs/>
          <w:color w:val="44546A" w:themeColor="text2"/>
          <w:sz w:val="24"/>
          <w:szCs w:val="24"/>
        </w:rPr>
        <w:t xml:space="preserve"> </w:t>
      </w:r>
      <w:r w:rsidRPr="00153D8D">
        <w:rPr>
          <w:rFonts w:cs="Calibri"/>
          <w:b/>
          <w:bCs/>
          <w:color w:val="44546A" w:themeColor="text2"/>
          <w:sz w:val="24"/>
          <w:szCs w:val="24"/>
        </w:rPr>
        <w:t>pro rok 2028 - 10</w:t>
      </w:r>
      <w:r w:rsidR="00750B88">
        <w:rPr>
          <w:rFonts w:cs="Calibri"/>
          <w:b/>
          <w:bCs/>
          <w:color w:val="44546A" w:themeColor="text2"/>
          <w:sz w:val="24"/>
          <w:szCs w:val="24"/>
        </w:rPr>
        <w:t>1</w:t>
      </w:r>
      <w:r w:rsidRPr="00153D8D">
        <w:rPr>
          <w:rFonts w:cs="Calibri"/>
          <w:b/>
          <w:bCs/>
          <w:color w:val="44546A" w:themeColor="text2"/>
          <w:sz w:val="24"/>
          <w:szCs w:val="24"/>
        </w:rPr>
        <w:t xml:space="preserve"> </w:t>
      </w:r>
      <w:r w:rsidR="00750B88">
        <w:rPr>
          <w:rFonts w:cs="Calibri"/>
          <w:b/>
          <w:bCs/>
          <w:color w:val="44546A" w:themeColor="text2"/>
          <w:sz w:val="24"/>
          <w:szCs w:val="24"/>
        </w:rPr>
        <w:t>18</w:t>
      </w:r>
      <w:r w:rsidRPr="00153D8D">
        <w:rPr>
          <w:rFonts w:cs="Calibri"/>
          <w:b/>
          <w:bCs/>
          <w:color w:val="44546A" w:themeColor="text2"/>
          <w:sz w:val="24"/>
          <w:szCs w:val="24"/>
        </w:rPr>
        <w:t>0 200 Kč)</w:t>
      </w:r>
      <w:r w:rsidR="007B7C57">
        <w:rPr>
          <w:rFonts w:cs="Calibri"/>
          <w:b/>
          <w:bCs/>
          <w:color w:val="44546A" w:themeColor="text2"/>
          <w:sz w:val="24"/>
          <w:szCs w:val="24"/>
        </w:rPr>
        <w:t xml:space="preserve">. A dalším odpovídajícím navýšením v následujících letech. </w:t>
      </w:r>
    </w:p>
    <w:p w14:paraId="147D1440" w14:textId="2B73EE69" w:rsidR="00BC29B7" w:rsidRDefault="00BC29B7">
      <w:pPr>
        <w:jc w:val="both"/>
        <w:rPr>
          <w:rFonts w:eastAsia="Arial" w:cs="Calibri"/>
          <w:sz w:val="24"/>
          <w:szCs w:val="24"/>
        </w:rPr>
      </w:pPr>
    </w:p>
    <w:p w14:paraId="1F15FAA1" w14:textId="3D6F50B5" w:rsidR="00BC29B7" w:rsidRDefault="00B842A1">
      <w:pPr>
        <w:pStyle w:val="Nadpis1"/>
      </w:pPr>
      <w:bookmarkStart w:id="25" w:name="_Toc193380592"/>
      <w:bookmarkStart w:id="26" w:name="_Toc194654527"/>
      <w:r>
        <w:t>Implementace AI Aktu v jiných členských státech EU</w:t>
      </w:r>
      <w:bookmarkEnd w:id="25"/>
      <w:bookmarkEnd w:id="26"/>
    </w:p>
    <w:p w14:paraId="293CA332" w14:textId="56890886" w:rsidR="00BC29B7" w:rsidRDefault="00B842A1" w:rsidP="00CC5963">
      <w:pPr>
        <w:autoSpaceDE w:val="0"/>
        <w:jc w:val="both"/>
        <w:rPr>
          <w:rFonts w:eastAsia="Arial" w:cs="Calibri"/>
          <w:sz w:val="24"/>
          <w:szCs w:val="24"/>
        </w:rPr>
      </w:pPr>
      <w:r>
        <w:rPr>
          <w:rFonts w:eastAsia="Arial" w:cs="Calibri"/>
          <w:sz w:val="24"/>
          <w:szCs w:val="24"/>
        </w:rPr>
        <w:t>Implementace AI Aktu se v jednotlivých členských státech Evropské unie liší v závislosti na jejich právních a institucionálních strukturách.</w:t>
      </w:r>
      <w:r w:rsidR="008163C6">
        <w:rPr>
          <w:rFonts w:eastAsia="Arial" w:cs="Calibri"/>
          <w:sz w:val="24"/>
          <w:szCs w:val="24"/>
        </w:rPr>
        <w:t xml:space="preserve"> Na</w:t>
      </w:r>
      <w:r w:rsidR="002F6FE5">
        <w:rPr>
          <w:rFonts w:eastAsia="Arial" w:cs="Calibri"/>
          <w:sz w:val="24"/>
          <w:szCs w:val="24"/>
        </w:rPr>
        <w:t xml:space="preserve"> jednání AI Boardu, které se uskutečnilo dne 24. 3. 2025</w:t>
      </w:r>
      <w:r w:rsidR="008163C6">
        <w:rPr>
          <w:rFonts w:eastAsia="Arial" w:cs="Calibri"/>
          <w:sz w:val="24"/>
          <w:szCs w:val="24"/>
        </w:rPr>
        <w:t xml:space="preserve"> v</w:t>
      </w:r>
      <w:r w:rsidR="00D56C0F">
        <w:rPr>
          <w:rFonts w:eastAsia="Arial" w:cs="Calibri"/>
          <w:sz w:val="24"/>
          <w:szCs w:val="24"/>
        </w:rPr>
        <w:t> </w:t>
      </w:r>
      <w:r w:rsidR="008163C6">
        <w:rPr>
          <w:rFonts w:eastAsia="Arial" w:cs="Calibri"/>
          <w:sz w:val="24"/>
          <w:szCs w:val="24"/>
        </w:rPr>
        <w:t>Bruselu</w:t>
      </w:r>
      <w:r w:rsidR="00D56C0F">
        <w:rPr>
          <w:rFonts w:eastAsia="Arial" w:cs="Calibri"/>
          <w:sz w:val="24"/>
          <w:szCs w:val="24"/>
        </w:rPr>
        <w:t>,</w:t>
      </w:r>
      <w:r w:rsidR="008163C6">
        <w:rPr>
          <w:rFonts w:eastAsia="Arial" w:cs="Calibri"/>
          <w:sz w:val="24"/>
          <w:szCs w:val="24"/>
        </w:rPr>
        <w:t xml:space="preserve"> byla prezentována informace o tom, která národ</w:t>
      </w:r>
      <w:r w:rsidR="002F6FE5" w:rsidRPr="002F6FE5">
        <w:rPr>
          <w:rFonts w:eastAsia="Arial" w:cs="Calibri"/>
          <w:sz w:val="24"/>
          <w:szCs w:val="24"/>
        </w:rPr>
        <w:t>ní autorita nebo úřad bude odpovědný za prosazování AI A</w:t>
      </w:r>
      <w:r w:rsidR="00D56C0F">
        <w:rPr>
          <w:rFonts w:eastAsia="Arial" w:cs="Calibri"/>
          <w:sz w:val="24"/>
          <w:szCs w:val="24"/>
        </w:rPr>
        <w:t>k</w:t>
      </w:r>
      <w:r w:rsidR="002F6FE5" w:rsidRPr="002F6FE5">
        <w:rPr>
          <w:rFonts w:eastAsia="Arial" w:cs="Calibri"/>
          <w:sz w:val="24"/>
          <w:szCs w:val="24"/>
        </w:rPr>
        <w:t>t</w:t>
      </w:r>
      <w:r w:rsidR="00D56C0F">
        <w:rPr>
          <w:rFonts w:eastAsia="Arial" w:cs="Calibri"/>
          <w:sz w:val="24"/>
          <w:szCs w:val="24"/>
        </w:rPr>
        <w:t>u</w:t>
      </w:r>
      <w:r w:rsidR="002F6FE5" w:rsidRPr="002F6FE5">
        <w:rPr>
          <w:rFonts w:eastAsia="Arial" w:cs="Calibri"/>
          <w:sz w:val="24"/>
          <w:szCs w:val="24"/>
        </w:rPr>
        <w:t xml:space="preserve"> a bude fungovat jako jednotné kontaktní místo.</w:t>
      </w:r>
      <w:r w:rsidR="008163C6">
        <w:rPr>
          <w:rFonts w:eastAsia="Arial" w:cs="Calibri"/>
          <w:sz w:val="24"/>
          <w:szCs w:val="24"/>
        </w:rPr>
        <w:t xml:space="preserve"> Čtyři</w:t>
      </w:r>
      <w:r w:rsidR="002F6FE5" w:rsidRPr="002F6FE5">
        <w:rPr>
          <w:rFonts w:eastAsia="Arial" w:cs="Calibri"/>
          <w:sz w:val="24"/>
          <w:szCs w:val="24"/>
        </w:rPr>
        <w:t xml:space="preserve"> členské státy plánují vytvořit nový úřad nebo agenturu.</w:t>
      </w:r>
      <w:r w:rsidR="008163C6">
        <w:rPr>
          <w:rFonts w:eastAsia="Arial" w:cs="Calibri"/>
          <w:sz w:val="24"/>
          <w:szCs w:val="24"/>
        </w:rPr>
        <w:t xml:space="preserve"> Šest </w:t>
      </w:r>
      <w:r w:rsidR="008163C6" w:rsidRPr="002F6FE5">
        <w:rPr>
          <w:rFonts w:eastAsia="Arial" w:cs="Calibri"/>
          <w:sz w:val="24"/>
          <w:szCs w:val="24"/>
        </w:rPr>
        <w:t>členských</w:t>
      </w:r>
      <w:r w:rsidR="002F6FE5" w:rsidRPr="002F6FE5">
        <w:rPr>
          <w:rFonts w:eastAsia="Arial" w:cs="Calibri"/>
          <w:sz w:val="24"/>
          <w:szCs w:val="24"/>
        </w:rPr>
        <w:t xml:space="preserve"> států určí jako hlavní autoritu regulátora pro média, telekomunikace, komunikaci nebo dopravu.</w:t>
      </w:r>
      <w:r w:rsidR="008163C6">
        <w:rPr>
          <w:rFonts w:eastAsia="Arial" w:cs="Calibri"/>
          <w:sz w:val="24"/>
          <w:szCs w:val="24"/>
        </w:rPr>
        <w:t xml:space="preserve"> Jeden </w:t>
      </w:r>
      <w:r w:rsidR="002F6FE5" w:rsidRPr="002F6FE5">
        <w:rPr>
          <w:rFonts w:eastAsia="Arial" w:cs="Calibri"/>
          <w:sz w:val="24"/>
          <w:szCs w:val="24"/>
        </w:rPr>
        <w:t>členský stát zvolí digitální agenturu</w:t>
      </w:r>
      <w:r w:rsidR="008163C6">
        <w:rPr>
          <w:rFonts w:eastAsia="Arial" w:cs="Calibri"/>
          <w:sz w:val="24"/>
          <w:szCs w:val="24"/>
        </w:rPr>
        <w:t xml:space="preserve"> a také jeden</w:t>
      </w:r>
      <w:r w:rsidR="002F6FE5" w:rsidRPr="002F6FE5">
        <w:rPr>
          <w:rFonts w:eastAsia="Arial" w:cs="Calibri"/>
          <w:sz w:val="24"/>
          <w:szCs w:val="24"/>
        </w:rPr>
        <w:t xml:space="preserve"> členský stát pověří touto rolí kyberbezpečnostní agenturu.</w:t>
      </w:r>
      <w:r w:rsidR="008163C6">
        <w:rPr>
          <w:rFonts w:eastAsia="Arial" w:cs="Calibri"/>
          <w:sz w:val="24"/>
          <w:szCs w:val="24"/>
        </w:rPr>
        <w:t xml:space="preserve"> Dva</w:t>
      </w:r>
      <w:r w:rsidR="002F6FE5" w:rsidRPr="002F6FE5">
        <w:rPr>
          <w:rFonts w:eastAsia="Arial" w:cs="Calibri"/>
          <w:sz w:val="24"/>
          <w:szCs w:val="24"/>
        </w:rPr>
        <w:t xml:space="preserve"> členské státy určí jako hlavní autoritu úřad na ochranu spotřebitele</w:t>
      </w:r>
      <w:r w:rsidR="008163C6">
        <w:rPr>
          <w:rFonts w:eastAsia="Arial" w:cs="Calibri"/>
          <w:sz w:val="24"/>
          <w:szCs w:val="24"/>
        </w:rPr>
        <w:t xml:space="preserve"> a dva </w:t>
      </w:r>
      <w:r w:rsidR="008163C6" w:rsidRPr="002F6FE5">
        <w:rPr>
          <w:rFonts w:eastAsia="Arial" w:cs="Calibri"/>
          <w:sz w:val="24"/>
          <w:szCs w:val="24"/>
        </w:rPr>
        <w:t>členské</w:t>
      </w:r>
      <w:r w:rsidR="002F6FE5" w:rsidRPr="002F6FE5">
        <w:rPr>
          <w:rFonts w:eastAsia="Arial" w:cs="Calibri"/>
          <w:sz w:val="24"/>
          <w:szCs w:val="24"/>
        </w:rPr>
        <w:t xml:space="preserve"> státy pověří touto rolí úřad na ochranu osobních údajů.</w:t>
      </w:r>
    </w:p>
    <w:p w14:paraId="164D6B31" w14:textId="7CF2CF55" w:rsidR="00BC29B7" w:rsidRDefault="00B842A1">
      <w:pPr>
        <w:autoSpaceDE w:val="0"/>
        <w:jc w:val="both"/>
        <w:rPr>
          <w:rFonts w:eastAsia="Arial" w:cs="Calibri"/>
          <w:sz w:val="24"/>
          <w:szCs w:val="24"/>
        </w:rPr>
      </w:pPr>
      <w:r>
        <w:rPr>
          <w:rFonts w:eastAsia="Arial" w:cs="Calibri"/>
          <w:sz w:val="24"/>
          <w:szCs w:val="24"/>
        </w:rPr>
        <w:t>Některé členské státy EU jsou již blíže k plné implementaci AI Aktu. Jedná se o Maltu, která již určila kompetentní orgány: Malta Digital Innovation Authority (MDIA) a Informační komise pro ochranu údajů</w:t>
      </w:r>
      <w:r w:rsidR="00AA7D7B">
        <w:rPr>
          <w:rFonts w:eastAsia="Arial" w:cs="Calibri"/>
          <w:sz w:val="24"/>
          <w:szCs w:val="24"/>
        </w:rPr>
        <w:t>, které</w:t>
      </w:r>
      <w:r>
        <w:rPr>
          <w:rFonts w:eastAsia="Arial" w:cs="Calibri"/>
          <w:sz w:val="24"/>
          <w:szCs w:val="24"/>
        </w:rPr>
        <w:t xml:space="preserve"> budou společně fungovat jako orgány dohledu nad trhem. MDIA je také určena jako oznamující orgán spolu s Národní akreditační radou. </w:t>
      </w:r>
      <w:r w:rsidR="00C96888">
        <w:rPr>
          <w:rStyle w:val="Znakapoznpodarou"/>
          <w:rFonts w:eastAsia="Arial" w:cs="Calibri"/>
          <w:sz w:val="24"/>
          <w:szCs w:val="24"/>
        </w:rPr>
        <w:footnoteReference w:id="11"/>
      </w:r>
    </w:p>
    <w:p w14:paraId="3315E8DB" w14:textId="6218E069" w:rsidR="00BC29B7" w:rsidRDefault="00B842A1">
      <w:pPr>
        <w:autoSpaceDE w:val="0"/>
        <w:jc w:val="both"/>
        <w:rPr>
          <w:rFonts w:eastAsia="Arial" w:cs="Calibri"/>
          <w:sz w:val="24"/>
          <w:szCs w:val="24"/>
        </w:rPr>
      </w:pPr>
      <w:r>
        <w:rPr>
          <w:rFonts w:eastAsia="Arial" w:cs="Calibri"/>
          <w:sz w:val="24"/>
          <w:szCs w:val="24"/>
        </w:rPr>
        <w:t>Itálie má již připravený návrh zákona implementující AI Akt. Národní agentura pro kybernetickou bezpečnost (Agenzia per la Cybersicurezza Nazionale, ACN) je navržena jako orgán do</w:t>
      </w:r>
      <w:r w:rsidR="00192C75">
        <w:rPr>
          <w:rFonts w:eastAsia="Arial" w:cs="Calibri"/>
          <w:sz w:val="24"/>
          <w:szCs w:val="24"/>
        </w:rPr>
        <w:t>zoru</w:t>
      </w:r>
      <w:r>
        <w:rPr>
          <w:rFonts w:eastAsia="Arial" w:cs="Calibri"/>
          <w:sz w:val="24"/>
          <w:szCs w:val="24"/>
        </w:rPr>
        <w:t xml:space="preserve"> nad trhem, zatímco Agentura pro digitální Itálii (Agenzia per l'Italia Digitale, AgID) bude oznamující</w:t>
      </w:r>
      <w:r w:rsidR="00192C75">
        <w:rPr>
          <w:rFonts w:eastAsia="Arial" w:cs="Calibri"/>
          <w:sz w:val="24"/>
          <w:szCs w:val="24"/>
        </w:rPr>
        <w:t>m</w:t>
      </w:r>
      <w:r>
        <w:rPr>
          <w:rFonts w:eastAsia="Arial" w:cs="Calibri"/>
          <w:sz w:val="24"/>
          <w:szCs w:val="24"/>
        </w:rPr>
        <w:t xml:space="preserve"> </w:t>
      </w:r>
      <w:r>
        <w:rPr>
          <w:rFonts w:eastAsia="Arial" w:cs="Calibri"/>
          <w:sz w:val="24"/>
          <w:szCs w:val="24"/>
        </w:rPr>
        <w:lastRenderedPageBreak/>
        <w:t>orgánem.</w:t>
      </w:r>
      <w:r w:rsidR="00C96888">
        <w:rPr>
          <w:rStyle w:val="Znakapoznpodarou"/>
          <w:rFonts w:eastAsia="Arial" w:cs="Calibri"/>
          <w:sz w:val="24"/>
          <w:szCs w:val="24"/>
        </w:rPr>
        <w:footnoteReference w:id="12"/>
      </w:r>
      <w:r>
        <w:rPr>
          <w:rFonts w:eastAsia="Arial" w:cs="Calibri"/>
          <w:sz w:val="24"/>
          <w:szCs w:val="24"/>
        </w:rPr>
        <w:t xml:space="preserve"> Litva ve svém návrhu zákona navrhuje Inovační agenturu jako oznamující orgán a Regulační komunikační úřad jako orgán </w:t>
      </w:r>
      <w:r w:rsidR="00192C75">
        <w:rPr>
          <w:rFonts w:eastAsia="Arial" w:cs="Calibri"/>
          <w:sz w:val="24"/>
          <w:szCs w:val="24"/>
        </w:rPr>
        <w:t xml:space="preserve">dozoru </w:t>
      </w:r>
      <w:r>
        <w:rPr>
          <w:rFonts w:eastAsia="Arial" w:cs="Calibri"/>
          <w:sz w:val="24"/>
          <w:szCs w:val="24"/>
        </w:rPr>
        <w:t xml:space="preserve">nad trhem a </w:t>
      </w:r>
      <w:r w:rsidR="00192C75">
        <w:rPr>
          <w:rFonts w:eastAsia="Arial" w:cs="Calibri"/>
          <w:sz w:val="24"/>
          <w:szCs w:val="24"/>
        </w:rPr>
        <w:t xml:space="preserve">jednotný </w:t>
      </w:r>
      <w:r>
        <w:rPr>
          <w:rFonts w:eastAsia="Arial" w:cs="Calibri"/>
          <w:sz w:val="24"/>
          <w:szCs w:val="24"/>
        </w:rPr>
        <w:t xml:space="preserve">kontaktní bod. </w:t>
      </w:r>
      <w:r w:rsidR="00C96888">
        <w:rPr>
          <w:rStyle w:val="Znakapoznpodarou"/>
          <w:rFonts w:eastAsia="Arial" w:cs="Calibri"/>
          <w:sz w:val="24"/>
          <w:szCs w:val="24"/>
        </w:rPr>
        <w:footnoteReference w:id="13"/>
      </w:r>
    </w:p>
    <w:p w14:paraId="6A92D9EB" w14:textId="6F65F861" w:rsidR="00BC29B7" w:rsidRDefault="00B842A1">
      <w:pPr>
        <w:autoSpaceDE w:val="0"/>
        <w:jc w:val="both"/>
        <w:rPr>
          <w:rFonts w:eastAsia="Arial" w:cs="Calibri"/>
          <w:sz w:val="24"/>
          <w:szCs w:val="24"/>
        </w:rPr>
      </w:pPr>
      <w:r>
        <w:rPr>
          <w:rFonts w:eastAsia="Arial" w:cs="Calibri"/>
          <w:sz w:val="24"/>
          <w:szCs w:val="24"/>
        </w:rPr>
        <w:t>Polsko má částečně jasno o návrhu zákona, který zřídí nový orgán</w:t>
      </w:r>
      <w:r w:rsidR="008163C6">
        <w:rPr>
          <w:rFonts w:eastAsia="Arial" w:cs="Calibri"/>
          <w:sz w:val="24"/>
          <w:szCs w:val="24"/>
        </w:rPr>
        <w:t xml:space="preserve"> se </w:t>
      </w:r>
      <w:r w:rsidR="00514022">
        <w:rPr>
          <w:rFonts w:eastAsia="Arial" w:cs="Calibri"/>
          <w:sz w:val="24"/>
          <w:szCs w:val="24"/>
        </w:rPr>
        <w:t>sedmdesáti</w:t>
      </w:r>
      <w:r w:rsidR="008163C6">
        <w:rPr>
          <w:rFonts w:eastAsia="Arial" w:cs="Calibri"/>
          <w:sz w:val="24"/>
          <w:szCs w:val="24"/>
        </w:rPr>
        <w:t xml:space="preserve"> zaměstnanci.</w:t>
      </w:r>
      <w:r>
        <w:rPr>
          <w:rFonts w:eastAsia="Arial" w:cs="Calibri"/>
          <w:sz w:val="24"/>
          <w:szCs w:val="24"/>
        </w:rPr>
        <w:t xml:space="preserve"> Výbor pro rozvoj a bezpečnost AI</w:t>
      </w:r>
      <w:r w:rsidR="008163C6">
        <w:rPr>
          <w:rFonts w:eastAsia="Arial" w:cs="Calibri"/>
          <w:sz w:val="24"/>
          <w:szCs w:val="24"/>
        </w:rPr>
        <w:t xml:space="preserve"> bude </w:t>
      </w:r>
      <w:r>
        <w:rPr>
          <w:rFonts w:eastAsia="Arial" w:cs="Calibri"/>
          <w:sz w:val="24"/>
          <w:szCs w:val="24"/>
        </w:rPr>
        <w:t>jako orgán do</w:t>
      </w:r>
      <w:r w:rsidR="00192C75">
        <w:rPr>
          <w:rFonts w:eastAsia="Arial" w:cs="Calibri"/>
          <w:sz w:val="24"/>
          <w:szCs w:val="24"/>
        </w:rPr>
        <w:t>zoru</w:t>
      </w:r>
      <w:r>
        <w:rPr>
          <w:rFonts w:eastAsia="Arial" w:cs="Calibri"/>
          <w:sz w:val="24"/>
          <w:szCs w:val="24"/>
        </w:rPr>
        <w:t xml:space="preserve"> nad trhem a jednotný kontaktní bod. Ministerstvo digitalizace je navrženo jako oznamující orgán.</w:t>
      </w:r>
      <w:r w:rsidR="00C96888">
        <w:rPr>
          <w:rStyle w:val="Znakapoznpodarou"/>
          <w:rFonts w:eastAsia="Arial" w:cs="Calibri"/>
          <w:sz w:val="24"/>
          <w:szCs w:val="24"/>
        </w:rPr>
        <w:footnoteReference w:id="14"/>
      </w:r>
      <w:r>
        <w:rPr>
          <w:rFonts w:eastAsia="Arial" w:cs="Calibri"/>
          <w:sz w:val="24"/>
          <w:szCs w:val="24"/>
        </w:rPr>
        <w:t xml:space="preserve"> </w:t>
      </w:r>
    </w:p>
    <w:p w14:paraId="1EBF0DB3" w14:textId="4F4EF862" w:rsidR="00BC29B7" w:rsidRDefault="00B842A1">
      <w:pPr>
        <w:autoSpaceDE w:val="0"/>
        <w:jc w:val="both"/>
        <w:rPr>
          <w:rFonts w:cs="Calibri"/>
          <w:sz w:val="24"/>
          <w:szCs w:val="24"/>
        </w:rPr>
      </w:pPr>
      <w:r>
        <w:rPr>
          <w:rFonts w:eastAsia="Arial" w:cs="Calibri"/>
          <w:sz w:val="24"/>
          <w:szCs w:val="24"/>
        </w:rPr>
        <w:t xml:space="preserve">Španělsko zřídilo Španělskou agenturu pro dohled nad umělou inteligencí (AESIA), která funguje jako jediná autorita pro </w:t>
      </w:r>
      <w:r w:rsidR="00192C75">
        <w:rPr>
          <w:rFonts w:eastAsia="Arial" w:cs="Calibri"/>
          <w:sz w:val="24"/>
          <w:szCs w:val="24"/>
        </w:rPr>
        <w:t>dozor</w:t>
      </w:r>
      <w:r>
        <w:rPr>
          <w:rFonts w:eastAsia="Arial" w:cs="Calibri"/>
          <w:sz w:val="24"/>
          <w:szCs w:val="24"/>
        </w:rPr>
        <w:t xml:space="preserve"> nad trhem pod španělským ministerstvem digitální transformace, s počátečním rozpočtem 5 milionů EUR. </w:t>
      </w:r>
      <w:r w:rsidR="008163C6">
        <w:rPr>
          <w:rFonts w:eastAsia="Arial" w:cs="Calibri"/>
          <w:sz w:val="24"/>
          <w:szCs w:val="24"/>
        </w:rPr>
        <w:t xml:space="preserve">Ve Španělsku má mít tento úřad přes </w:t>
      </w:r>
      <w:r w:rsidR="00514022">
        <w:rPr>
          <w:rFonts w:eastAsia="Arial" w:cs="Calibri"/>
          <w:sz w:val="24"/>
          <w:szCs w:val="24"/>
        </w:rPr>
        <w:t>sto</w:t>
      </w:r>
      <w:r w:rsidR="008163C6">
        <w:rPr>
          <w:rFonts w:eastAsia="Arial" w:cs="Calibri"/>
          <w:sz w:val="24"/>
          <w:szCs w:val="24"/>
        </w:rPr>
        <w:t xml:space="preserve"> zaměstnanců. </w:t>
      </w:r>
      <w:r>
        <w:rPr>
          <w:rFonts w:eastAsia="Arial" w:cs="Calibri"/>
          <w:sz w:val="24"/>
          <w:szCs w:val="24"/>
        </w:rPr>
        <w:t>Španělsko spustilo první regulační sandbox v Evropské unii pro implementaci AI regulace s rozpočtem 4,3 milionu EUR, financovaný z</w:t>
      </w:r>
      <w:r w:rsidR="00192C75">
        <w:rPr>
          <w:rFonts w:eastAsia="Arial" w:cs="Calibri"/>
          <w:sz w:val="24"/>
          <w:szCs w:val="24"/>
        </w:rPr>
        <w:t>e španělského Nástroje pro oživení a obnovu (RRF)</w:t>
      </w:r>
      <w:r>
        <w:rPr>
          <w:rFonts w:eastAsia="Arial" w:cs="Calibri"/>
          <w:sz w:val="24"/>
          <w:szCs w:val="24"/>
        </w:rPr>
        <w:t>.</w:t>
      </w:r>
      <w:r w:rsidR="00C96888">
        <w:rPr>
          <w:rStyle w:val="Znakapoznpodarou"/>
          <w:rFonts w:cs="Calibri"/>
          <w:sz w:val="24"/>
          <w:szCs w:val="24"/>
        </w:rPr>
        <w:footnoteReference w:id="15"/>
      </w:r>
    </w:p>
    <w:p w14:paraId="1FA9563F" w14:textId="2395ABFC" w:rsidR="00BC29B7" w:rsidRDefault="00B842A1">
      <w:pPr>
        <w:pStyle w:val="Nadpis1"/>
      </w:pPr>
      <w:bookmarkStart w:id="27" w:name="_Toc194411633"/>
      <w:bookmarkStart w:id="28" w:name="_Toc194411819"/>
      <w:bookmarkStart w:id="29" w:name="_Toc193380593"/>
      <w:bookmarkStart w:id="30" w:name="_Toc194654528"/>
      <w:bookmarkEnd w:id="27"/>
      <w:bookmarkEnd w:id="28"/>
      <w:r>
        <w:t>Závěry</w:t>
      </w:r>
      <w:bookmarkEnd w:id="29"/>
      <w:bookmarkEnd w:id="30"/>
    </w:p>
    <w:p w14:paraId="6B13A25B" w14:textId="77777777" w:rsidR="0015735C" w:rsidRDefault="008163C6" w:rsidP="0015735C">
      <w:pPr>
        <w:autoSpaceDE w:val="0"/>
        <w:jc w:val="both"/>
        <w:rPr>
          <w:sz w:val="24"/>
          <w:szCs w:val="24"/>
        </w:rPr>
      </w:pPr>
      <w:r w:rsidRPr="008163C6">
        <w:rPr>
          <w:sz w:val="24"/>
          <w:szCs w:val="24"/>
        </w:rPr>
        <w:t xml:space="preserve">Jak je uvedeno v Národní strategii umělé inteligence ČR, AI má potenciál transformovat mnoho odvětví, včetně životního prostředí, vzdělávání, turismu, dopravy, a veřejné správy. Strategie také zdůrazňuje potřebu rozvoje AI v klíčových oblastech, jako je bezpečnost, zdravotnictví, obrana a </w:t>
      </w:r>
      <w:r w:rsidRPr="00CC5963">
        <w:rPr>
          <w:rFonts w:eastAsia="Arial" w:cs="Calibri"/>
          <w:sz w:val="24"/>
          <w:szCs w:val="24"/>
        </w:rPr>
        <w:t>výroba</w:t>
      </w:r>
      <w:r w:rsidRPr="008163C6">
        <w:rPr>
          <w:sz w:val="24"/>
          <w:szCs w:val="24"/>
        </w:rPr>
        <w:t>, s důrazem na etické standardy a lidsky orientovanou AI. Implementace Aktu o umělé inteligenci bude mít zásadní vliv na to, aby AI přispívala k prosperitě a konkurenceschopnosti</w:t>
      </w:r>
      <w:r w:rsidR="00FE7193">
        <w:rPr>
          <w:sz w:val="24"/>
          <w:szCs w:val="24"/>
        </w:rPr>
        <w:t xml:space="preserve"> ČR</w:t>
      </w:r>
      <w:r w:rsidRPr="008163C6">
        <w:rPr>
          <w:sz w:val="24"/>
          <w:szCs w:val="24"/>
        </w:rPr>
        <w:t>. Ministerstvo průmyslu a obchodu ČR je velmi aktivní v oblasti podpory umělé inteligence. Jeho rolí je koordinace Národní strategie umělé inteligence ČR 2030. MPO zpracovalo ve spolupráci se spolugestory Národní strategi</w:t>
      </w:r>
      <w:r w:rsidR="00C73954">
        <w:rPr>
          <w:sz w:val="24"/>
          <w:szCs w:val="24"/>
        </w:rPr>
        <w:t>i</w:t>
      </w:r>
      <w:r w:rsidRPr="008163C6">
        <w:rPr>
          <w:sz w:val="24"/>
          <w:szCs w:val="24"/>
        </w:rPr>
        <w:t xml:space="preserve"> umělé inteligence ČR 2030 Akční plán pro její plnění, který byl předložen vládě v rámci Implementačních plánů Digitálního Česka dne 26. března 2025. Akční plán obsahuje investice na projekty ve výši přibližně 19 miliard korun. Akční plán bude každoročně aktualizován, aby reagoval na měnící se prostředí. Součástí budoucího Akčního plánu pro rok 2026 budou projektové záměry týkající se implementace AI Aktu. MPO rovněž intenzivně finančně podporuje </w:t>
      </w:r>
      <w:r w:rsidR="00492FC8">
        <w:rPr>
          <w:sz w:val="24"/>
          <w:szCs w:val="24"/>
        </w:rPr>
        <w:t xml:space="preserve">rozvoj AI v ČR </w:t>
      </w:r>
      <w:r w:rsidRPr="008163C6">
        <w:rPr>
          <w:sz w:val="24"/>
          <w:szCs w:val="24"/>
        </w:rPr>
        <w:t xml:space="preserve">skrze své dotační </w:t>
      </w:r>
      <w:r w:rsidR="00492FC8">
        <w:rPr>
          <w:sz w:val="24"/>
          <w:szCs w:val="24"/>
        </w:rPr>
        <w:t>tituly,</w:t>
      </w:r>
      <w:r w:rsidR="00492FC8" w:rsidRPr="008163C6">
        <w:rPr>
          <w:sz w:val="24"/>
          <w:szCs w:val="24"/>
        </w:rPr>
        <w:t xml:space="preserve"> </w:t>
      </w:r>
      <w:r w:rsidRPr="008163C6">
        <w:rPr>
          <w:sz w:val="24"/>
          <w:szCs w:val="24"/>
        </w:rPr>
        <w:t>např. program TWIST (Transfer, Výzkum, Vývoj a Inovace pro Strategické Technologie), Národní plán obnovy nebo Operační program Technologie a aplikace pro konkurenceschopnost</w:t>
      </w:r>
      <w:r w:rsidR="00492FC8">
        <w:rPr>
          <w:sz w:val="24"/>
          <w:szCs w:val="24"/>
        </w:rPr>
        <w:t xml:space="preserve"> (OP TAK</w:t>
      </w:r>
      <w:r w:rsidRPr="008163C6">
        <w:rPr>
          <w:sz w:val="24"/>
          <w:szCs w:val="24"/>
        </w:rPr>
        <w:t xml:space="preserve">) (viz blíže </w:t>
      </w:r>
      <w:r w:rsidR="003D693A">
        <w:rPr>
          <w:sz w:val="24"/>
          <w:szCs w:val="24"/>
        </w:rPr>
        <w:t>P</w:t>
      </w:r>
      <w:r w:rsidRPr="008163C6">
        <w:rPr>
          <w:sz w:val="24"/>
          <w:szCs w:val="24"/>
        </w:rPr>
        <w:t>říloha I. Materiálu).</w:t>
      </w:r>
      <w:r w:rsidR="0015735C">
        <w:rPr>
          <w:sz w:val="24"/>
          <w:szCs w:val="24"/>
        </w:rPr>
        <w:t xml:space="preserve"> </w:t>
      </w:r>
    </w:p>
    <w:p w14:paraId="4AD8E8AB" w14:textId="3F4C3ED7" w:rsidR="00404718" w:rsidRDefault="00B842A1" w:rsidP="0015735C">
      <w:pPr>
        <w:autoSpaceDE w:val="0"/>
        <w:jc w:val="both"/>
        <w:rPr>
          <w:rFonts w:eastAsia="Arial" w:cs="Calibri"/>
          <w:sz w:val="24"/>
          <w:szCs w:val="24"/>
        </w:rPr>
      </w:pPr>
      <w:r>
        <w:rPr>
          <w:rFonts w:eastAsia="Arial" w:cs="Calibri"/>
          <w:sz w:val="24"/>
          <w:szCs w:val="24"/>
        </w:rPr>
        <w:t xml:space="preserve">Schválením tohoto materiálu dojde k vyřešení dlouhotrvajícího problému s implementací AI Aktu a k podpoře konkurenceschopnosti ČR v AI. </w:t>
      </w:r>
      <w:r w:rsidR="002D4DEA">
        <w:rPr>
          <w:rFonts w:eastAsia="Arial" w:cs="Calibri"/>
          <w:sz w:val="24"/>
          <w:szCs w:val="24"/>
        </w:rPr>
        <w:t xml:space="preserve">Bude také zaručen </w:t>
      </w:r>
      <w:r w:rsidR="002D4DEA" w:rsidRPr="00153D8D">
        <w:rPr>
          <w:rFonts w:eastAsia="Arial" w:cs="Calibri"/>
          <w:sz w:val="24"/>
          <w:szCs w:val="24"/>
        </w:rPr>
        <w:t xml:space="preserve">soulad systémů AI používaných v ČR s AI Aktem, což </w:t>
      </w:r>
      <w:r w:rsidR="002D4DEA">
        <w:rPr>
          <w:rFonts w:eastAsia="Arial" w:cs="Calibri"/>
          <w:sz w:val="24"/>
          <w:szCs w:val="24"/>
        </w:rPr>
        <w:t xml:space="preserve">povede k dostatečné </w:t>
      </w:r>
      <w:r w:rsidR="002D4DEA" w:rsidRPr="00153D8D">
        <w:rPr>
          <w:rFonts w:eastAsia="Arial" w:cs="Calibri"/>
          <w:sz w:val="24"/>
          <w:szCs w:val="24"/>
        </w:rPr>
        <w:t xml:space="preserve">ochraně práv občanů </w:t>
      </w:r>
      <w:r w:rsidR="002D4DEA">
        <w:rPr>
          <w:rFonts w:eastAsia="Arial" w:cs="Calibri"/>
          <w:sz w:val="24"/>
          <w:szCs w:val="24"/>
        </w:rPr>
        <w:t>a firem v České republice</w:t>
      </w:r>
      <w:r w:rsidR="002D4DEA" w:rsidRPr="00153D8D">
        <w:rPr>
          <w:rFonts w:eastAsia="Arial" w:cs="Calibri"/>
          <w:sz w:val="24"/>
          <w:szCs w:val="24"/>
        </w:rPr>
        <w:t>.</w:t>
      </w:r>
    </w:p>
    <w:p w14:paraId="4B0A4691" w14:textId="33182872" w:rsidR="009F072E" w:rsidRDefault="00C862B1" w:rsidP="00CC5963">
      <w:pPr>
        <w:spacing w:line="290" w:lineRule="auto"/>
        <w:jc w:val="both"/>
        <w:rPr>
          <w:rFonts w:eastAsia="Arial" w:cs="Calibri"/>
          <w:sz w:val="24"/>
          <w:szCs w:val="24"/>
        </w:rPr>
      </w:pPr>
      <w:r>
        <w:rPr>
          <w:rFonts w:eastAsia="Arial" w:cs="Calibri"/>
          <w:sz w:val="24"/>
          <w:szCs w:val="24"/>
        </w:rPr>
        <w:lastRenderedPageBreak/>
        <w:t xml:space="preserve">Gesce za vyjednávání AI Aktu a následná implementace měla být </w:t>
      </w:r>
      <w:r w:rsidRPr="00C862B1">
        <w:rPr>
          <w:rFonts w:eastAsia="Arial" w:cs="Calibri"/>
          <w:sz w:val="24"/>
          <w:szCs w:val="24"/>
        </w:rPr>
        <w:t xml:space="preserve">svěřena vicepremiérovi pro digitalizaci </w:t>
      </w:r>
      <w:r w:rsidR="00C678C7">
        <w:rPr>
          <w:rFonts w:eastAsia="Arial" w:cs="Calibri"/>
          <w:sz w:val="24"/>
          <w:szCs w:val="24"/>
        </w:rPr>
        <w:t xml:space="preserve">panu </w:t>
      </w:r>
      <w:r>
        <w:rPr>
          <w:rFonts w:eastAsia="Arial" w:cs="Calibri"/>
          <w:sz w:val="24"/>
          <w:szCs w:val="24"/>
        </w:rPr>
        <w:t>I</w:t>
      </w:r>
      <w:r w:rsidR="00C678C7">
        <w:rPr>
          <w:rFonts w:eastAsia="Arial" w:cs="Calibri"/>
          <w:sz w:val="24"/>
          <w:szCs w:val="24"/>
        </w:rPr>
        <w:t>.</w:t>
      </w:r>
      <w:r>
        <w:rPr>
          <w:rFonts w:eastAsia="Arial" w:cs="Calibri"/>
          <w:sz w:val="24"/>
          <w:szCs w:val="24"/>
        </w:rPr>
        <w:t xml:space="preserve"> Bartošovi. </w:t>
      </w:r>
      <w:r w:rsidR="002D4DEA">
        <w:rPr>
          <w:rFonts w:eastAsia="Arial" w:cs="Calibri"/>
          <w:sz w:val="24"/>
          <w:szCs w:val="24"/>
        </w:rPr>
        <w:t>V prosinci 2024 byla gesce přidělena</w:t>
      </w:r>
      <w:r>
        <w:rPr>
          <w:rFonts w:eastAsia="Arial" w:cs="Calibri"/>
          <w:sz w:val="24"/>
          <w:szCs w:val="24"/>
        </w:rPr>
        <w:t xml:space="preserve"> </w:t>
      </w:r>
      <w:r w:rsidR="002D4DEA">
        <w:rPr>
          <w:rFonts w:eastAsia="Arial" w:cs="Calibri"/>
          <w:sz w:val="24"/>
          <w:szCs w:val="24"/>
        </w:rPr>
        <w:t xml:space="preserve">vicepremiérovi </w:t>
      </w:r>
      <w:r w:rsidR="009F072E">
        <w:rPr>
          <w:rFonts w:eastAsia="Arial" w:cs="Calibri"/>
          <w:sz w:val="24"/>
          <w:szCs w:val="24"/>
        </w:rPr>
        <w:t xml:space="preserve">a ministrovi práce a sociálních věcí </w:t>
      </w:r>
      <w:r w:rsidR="00C678C7">
        <w:rPr>
          <w:rFonts w:eastAsia="Arial" w:cs="Calibri"/>
          <w:sz w:val="24"/>
          <w:szCs w:val="24"/>
        </w:rPr>
        <w:t xml:space="preserve">panu </w:t>
      </w:r>
      <w:r w:rsidR="002D4DEA">
        <w:rPr>
          <w:rFonts w:eastAsia="Arial" w:cs="Calibri"/>
          <w:sz w:val="24"/>
          <w:szCs w:val="24"/>
        </w:rPr>
        <w:t>M. Jurečkovi.</w:t>
      </w:r>
      <w:r w:rsidRPr="00C862B1">
        <w:rPr>
          <w:rFonts w:eastAsia="Arial" w:cs="Calibri"/>
          <w:sz w:val="24"/>
          <w:szCs w:val="24"/>
        </w:rPr>
        <w:t xml:space="preserve"> </w:t>
      </w:r>
      <w:r w:rsidR="009F072E">
        <w:rPr>
          <w:rFonts w:eastAsia="Arial" w:cs="Calibri"/>
          <w:sz w:val="24"/>
          <w:szCs w:val="24"/>
        </w:rPr>
        <w:t>S ohledem na urgentnost situac</w:t>
      </w:r>
      <w:r w:rsidR="009F064D">
        <w:rPr>
          <w:rFonts w:eastAsia="Arial" w:cs="Calibri"/>
          <w:sz w:val="24"/>
          <w:szCs w:val="24"/>
        </w:rPr>
        <w:t>e</w:t>
      </w:r>
      <w:r w:rsidR="009F072E">
        <w:rPr>
          <w:rFonts w:eastAsia="Arial" w:cs="Calibri"/>
          <w:sz w:val="24"/>
          <w:szCs w:val="24"/>
        </w:rPr>
        <w:t xml:space="preserve"> se </w:t>
      </w:r>
      <w:r w:rsidRPr="00C862B1">
        <w:rPr>
          <w:rFonts w:eastAsia="Arial" w:cs="Calibri"/>
          <w:sz w:val="24"/>
          <w:szCs w:val="24"/>
        </w:rPr>
        <w:t xml:space="preserve">Ministerstvo průmyslu a </w:t>
      </w:r>
      <w:r w:rsidR="009F072E" w:rsidRPr="00C862B1">
        <w:rPr>
          <w:rFonts w:eastAsia="Arial" w:cs="Calibri"/>
          <w:sz w:val="24"/>
          <w:szCs w:val="24"/>
        </w:rPr>
        <w:t xml:space="preserve">obchodu </w:t>
      </w:r>
      <w:r w:rsidR="009F072E">
        <w:rPr>
          <w:rFonts w:eastAsia="Arial" w:cs="Calibri"/>
          <w:sz w:val="24"/>
          <w:szCs w:val="24"/>
        </w:rPr>
        <w:t>rozhodlo</w:t>
      </w:r>
      <w:r w:rsidR="002D4DEA">
        <w:rPr>
          <w:rFonts w:eastAsia="Arial" w:cs="Calibri"/>
          <w:sz w:val="24"/>
          <w:szCs w:val="24"/>
        </w:rPr>
        <w:t xml:space="preserve"> přebrat </w:t>
      </w:r>
      <w:r w:rsidRPr="00C862B1">
        <w:rPr>
          <w:rFonts w:eastAsia="Arial" w:cs="Calibri"/>
          <w:sz w:val="24"/>
          <w:szCs w:val="24"/>
        </w:rPr>
        <w:t xml:space="preserve">odpovědnost za </w:t>
      </w:r>
      <w:r w:rsidR="002D4DEA">
        <w:rPr>
          <w:rFonts w:eastAsia="Arial" w:cs="Calibri"/>
          <w:sz w:val="24"/>
          <w:szCs w:val="24"/>
        </w:rPr>
        <w:t>implementaci AI Aktu</w:t>
      </w:r>
      <w:r w:rsidRPr="00C862B1">
        <w:rPr>
          <w:rFonts w:eastAsia="Arial" w:cs="Calibri"/>
          <w:sz w:val="24"/>
          <w:szCs w:val="24"/>
        </w:rPr>
        <w:t>, a to v poměrně pokročilé fázi</w:t>
      </w:r>
      <w:r w:rsidR="009F072E">
        <w:rPr>
          <w:rFonts w:eastAsia="Arial" w:cs="Calibri"/>
          <w:sz w:val="24"/>
          <w:szCs w:val="24"/>
        </w:rPr>
        <w:t xml:space="preserve">, </w:t>
      </w:r>
      <w:r w:rsidR="00BC1C03">
        <w:rPr>
          <w:rFonts w:eastAsia="Arial" w:cs="Calibri"/>
          <w:sz w:val="24"/>
          <w:szCs w:val="24"/>
        </w:rPr>
        <w:t xml:space="preserve">kdy </w:t>
      </w:r>
      <w:r w:rsidR="009F072E">
        <w:rPr>
          <w:rFonts w:eastAsia="Arial" w:cs="Calibri"/>
          <w:sz w:val="24"/>
          <w:szCs w:val="24"/>
        </w:rPr>
        <w:t xml:space="preserve">se na </w:t>
      </w:r>
      <w:r w:rsidR="002D4DEA">
        <w:rPr>
          <w:rFonts w:eastAsia="Arial" w:cs="Calibri"/>
          <w:sz w:val="24"/>
          <w:szCs w:val="24"/>
        </w:rPr>
        <w:t xml:space="preserve">implementaci mělo pracovat již téměř rok. </w:t>
      </w:r>
      <w:r w:rsidR="009F072E">
        <w:rPr>
          <w:rFonts w:eastAsia="Arial" w:cs="Calibri"/>
          <w:sz w:val="24"/>
          <w:szCs w:val="24"/>
        </w:rPr>
        <w:t>Vzhledem k výše uvedenému t</w:t>
      </w:r>
      <w:r w:rsidRPr="00C862B1">
        <w:rPr>
          <w:rFonts w:eastAsia="Arial" w:cs="Calibri"/>
          <w:sz w:val="24"/>
          <w:szCs w:val="24"/>
        </w:rPr>
        <w:t xml:space="preserve">ermín </w:t>
      </w:r>
      <w:r w:rsidR="002D4DEA">
        <w:rPr>
          <w:rFonts w:eastAsia="Arial" w:cs="Calibri"/>
          <w:sz w:val="24"/>
          <w:szCs w:val="24"/>
        </w:rPr>
        <w:t xml:space="preserve">schválení zákona Poslaneckou sněmovnou do </w:t>
      </w:r>
      <w:r w:rsidRPr="00C862B1">
        <w:rPr>
          <w:rFonts w:eastAsia="Arial" w:cs="Calibri"/>
          <w:sz w:val="24"/>
          <w:szCs w:val="24"/>
        </w:rPr>
        <w:t>2. srpna 2025</w:t>
      </w:r>
      <w:r w:rsidR="009F072E">
        <w:rPr>
          <w:rFonts w:eastAsia="Arial" w:cs="Calibri"/>
          <w:sz w:val="24"/>
          <w:szCs w:val="24"/>
        </w:rPr>
        <w:t xml:space="preserve"> </w:t>
      </w:r>
      <w:r w:rsidRPr="00C862B1">
        <w:rPr>
          <w:rFonts w:eastAsia="Arial" w:cs="Calibri"/>
          <w:sz w:val="24"/>
          <w:szCs w:val="24"/>
        </w:rPr>
        <w:t>není re</w:t>
      </w:r>
      <w:r w:rsidR="00BC1C03">
        <w:rPr>
          <w:rFonts w:eastAsia="Arial" w:cs="Calibri"/>
          <w:sz w:val="24"/>
          <w:szCs w:val="24"/>
        </w:rPr>
        <w:t>alistický</w:t>
      </w:r>
      <w:r w:rsidR="00F62C9E">
        <w:rPr>
          <w:rFonts w:eastAsia="Arial" w:cs="Calibri"/>
          <w:sz w:val="24"/>
          <w:szCs w:val="24"/>
        </w:rPr>
        <w:t xml:space="preserve">. </w:t>
      </w:r>
      <w:r w:rsidRPr="00C862B1">
        <w:rPr>
          <w:rFonts w:eastAsia="Arial" w:cs="Calibri"/>
          <w:sz w:val="24"/>
          <w:szCs w:val="24"/>
        </w:rPr>
        <w:t xml:space="preserve"> </w:t>
      </w:r>
    </w:p>
    <w:p w14:paraId="5838EA9D" w14:textId="0C94F5D7" w:rsidR="008A0D9B" w:rsidRPr="00CC5963" w:rsidRDefault="00192C75" w:rsidP="00CC5963">
      <w:pPr>
        <w:spacing w:line="290" w:lineRule="auto"/>
        <w:jc w:val="both"/>
        <w:rPr>
          <w:rFonts w:eastAsia="Times New Roman" w:cs="Calibri"/>
          <w:color w:val="auto"/>
          <w:sz w:val="24"/>
          <w:szCs w:val="24"/>
          <w:lang w:eastAsia="cs-CZ"/>
        </w:rPr>
      </w:pPr>
      <w:r>
        <w:rPr>
          <w:rFonts w:eastAsia="Arial" w:cs="Calibri"/>
          <w:sz w:val="24"/>
          <w:szCs w:val="24"/>
        </w:rPr>
        <w:t>V případě přijetí tohoto materiálu vládou se MPO stane gestorem implementace AI Aktu</w:t>
      </w:r>
      <w:r w:rsidR="001514B8">
        <w:rPr>
          <w:rFonts w:eastAsia="Arial" w:cs="Calibri"/>
          <w:sz w:val="24"/>
          <w:szCs w:val="24"/>
        </w:rPr>
        <w:t xml:space="preserve"> a určí si spolugestory</w:t>
      </w:r>
      <w:r>
        <w:rPr>
          <w:rFonts w:eastAsia="Arial" w:cs="Calibri"/>
          <w:sz w:val="24"/>
          <w:szCs w:val="24"/>
        </w:rPr>
        <w:t xml:space="preserve">. </w:t>
      </w:r>
      <w:r w:rsidR="00B842A1">
        <w:rPr>
          <w:rFonts w:eastAsia="Arial" w:cs="Calibri"/>
          <w:sz w:val="24"/>
          <w:szCs w:val="24"/>
        </w:rPr>
        <w:t xml:space="preserve">Příslušní spolugestoři </w:t>
      </w:r>
      <w:r>
        <w:rPr>
          <w:rFonts w:eastAsia="Arial" w:cs="Calibri"/>
          <w:sz w:val="24"/>
          <w:szCs w:val="24"/>
        </w:rPr>
        <w:t xml:space="preserve">zákona o AI Aktu </w:t>
      </w:r>
      <w:r w:rsidR="00B842A1">
        <w:rPr>
          <w:rFonts w:eastAsia="Arial" w:cs="Calibri"/>
          <w:sz w:val="24"/>
          <w:szCs w:val="24"/>
        </w:rPr>
        <w:t xml:space="preserve">budou schválení v rámci standardní procedury dle </w:t>
      </w:r>
      <w:r w:rsidR="00B842A1">
        <w:rPr>
          <w:rFonts w:eastAsia="Times New Roman" w:cs="Calibri"/>
          <w:color w:val="auto"/>
          <w:sz w:val="24"/>
          <w:szCs w:val="24"/>
          <w:lang w:eastAsia="cs-CZ"/>
        </w:rPr>
        <w:t>Metodických pokynů pro zajišťování prací při plnění legislativních závazků vyplývajících z členství České republiky v Evropské unii, schválených usnesením vlády ze dne 12. října 2005 č. 1304, v platném znění.</w:t>
      </w:r>
      <w:r w:rsidR="00153D8D" w:rsidRPr="00153D8D">
        <w:t xml:space="preserve"> </w:t>
      </w:r>
      <w:r w:rsidR="00153D8D" w:rsidRPr="00153D8D">
        <w:rPr>
          <w:rFonts w:eastAsia="Times New Roman" w:cs="Calibri"/>
          <w:color w:val="auto"/>
          <w:sz w:val="24"/>
          <w:szCs w:val="24"/>
          <w:lang w:eastAsia="cs-CZ"/>
        </w:rPr>
        <w:t>MPO se rovněž v tomto materiálu zavazuje realizovat Kompetenční centrum AI pro eGovernment.</w:t>
      </w:r>
    </w:p>
    <w:p w14:paraId="1F6356AC" w14:textId="10032323" w:rsidR="009A1EC2" w:rsidRPr="00CC5963" w:rsidRDefault="00B842A1" w:rsidP="00CC5963">
      <w:pPr>
        <w:spacing w:line="290" w:lineRule="auto"/>
        <w:jc w:val="both"/>
        <w:rPr>
          <w:rFonts w:eastAsia="Times New Roman" w:cs="Calibri"/>
          <w:color w:val="auto"/>
          <w:sz w:val="24"/>
          <w:szCs w:val="24"/>
          <w:lang w:eastAsia="cs-CZ"/>
        </w:rPr>
      </w:pPr>
      <w:r w:rsidRPr="005B0B2C">
        <w:rPr>
          <w:rFonts w:eastAsia="Arial" w:cs="Calibri"/>
          <w:sz w:val="24"/>
          <w:szCs w:val="24"/>
        </w:rPr>
        <w:t>Jakmile se MPO stane gestorem, zahájí práce na přípravě</w:t>
      </w:r>
      <w:r w:rsidR="008A0D9B">
        <w:rPr>
          <w:rFonts w:eastAsia="Arial" w:cs="Calibri"/>
          <w:sz w:val="24"/>
          <w:szCs w:val="24"/>
        </w:rPr>
        <w:t xml:space="preserve"> nového</w:t>
      </w:r>
      <w:r w:rsidRPr="005B0B2C">
        <w:rPr>
          <w:rFonts w:eastAsia="Arial" w:cs="Calibri"/>
          <w:sz w:val="24"/>
          <w:szCs w:val="24"/>
        </w:rPr>
        <w:t xml:space="preserve"> zákona implementujícího AI Akt. </w:t>
      </w:r>
      <w:r w:rsidR="008A0D9B">
        <w:rPr>
          <w:rFonts w:eastAsia="Times New Roman" w:cs="Calibri"/>
          <w:color w:val="auto"/>
          <w:sz w:val="24"/>
          <w:szCs w:val="24"/>
          <w:lang w:eastAsia="cs-CZ"/>
        </w:rPr>
        <w:t xml:space="preserve">To obnáší </w:t>
      </w:r>
      <w:r w:rsidR="001514B8">
        <w:rPr>
          <w:rFonts w:eastAsia="Times New Roman" w:cs="Calibri"/>
          <w:color w:val="auto"/>
          <w:sz w:val="24"/>
          <w:szCs w:val="24"/>
          <w:lang w:eastAsia="cs-CZ"/>
        </w:rPr>
        <w:t xml:space="preserve">trvalé </w:t>
      </w:r>
      <w:r w:rsidR="008A0D9B" w:rsidRPr="008A0D9B">
        <w:rPr>
          <w:rFonts w:eastAsia="Times New Roman" w:cs="Calibri"/>
          <w:color w:val="auto"/>
          <w:sz w:val="24"/>
          <w:szCs w:val="24"/>
          <w:lang w:eastAsia="cs-CZ"/>
        </w:rPr>
        <w:t>převedení tří služebních míst</w:t>
      </w:r>
      <w:r w:rsidR="0068117E">
        <w:rPr>
          <w:rFonts w:eastAsia="Times New Roman" w:cs="Calibri"/>
          <w:color w:val="auto"/>
          <w:sz w:val="24"/>
          <w:szCs w:val="24"/>
          <w:lang w:eastAsia="cs-CZ"/>
        </w:rPr>
        <w:t>,</w:t>
      </w:r>
      <w:r w:rsidR="008A0D9B" w:rsidRPr="008A0D9B">
        <w:rPr>
          <w:rFonts w:eastAsia="Times New Roman" w:cs="Calibri"/>
          <w:color w:val="auto"/>
          <w:sz w:val="24"/>
          <w:szCs w:val="24"/>
          <w:lang w:eastAsia="cs-CZ"/>
        </w:rPr>
        <w:t xml:space="preserve"> </w:t>
      </w:r>
      <w:r w:rsidR="004B4026">
        <w:rPr>
          <w:rFonts w:eastAsia="Times New Roman" w:cs="Calibri"/>
          <w:color w:val="auto"/>
          <w:sz w:val="24"/>
          <w:szCs w:val="24"/>
          <w:lang w:eastAsia="cs-CZ"/>
        </w:rPr>
        <w:t xml:space="preserve">včetně odpovídajících finančních prostředků na platy </w:t>
      </w:r>
      <w:r w:rsidR="001514B8">
        <w:rPr>
          <w:rFonts w:eastAsia="Times New Roman" w:cs="Calibri"/>
          <w:color w:val="auto"/>
          <w:sz w:val="24"/>
          <w:szCs w:val="24"/>
          <w:lang w:eastAsia="cs-CZ"/>
        </w:rPr>
        <w:t>z Úřadu vlády na MPO</w:t>
      </w:r>
      <w:r w:rsidR="008A0D9B" w:rsidRPr="008A0D9B">
        <w:rPr>
          <w:rFonts w:eastAsia="Times New Roman" w:cs="Calibri"/>
          <w:color w:val="auto"/>
          <w:sz w:val="24"/>
          <w:szCs w:val="24"/>
          <w:lang w:eastAsia="cs-CZ"/>
        </w:rPr>
        <w:t xml:space="preserve">, </w:t>
      </w:r>
      <w:r w:rsidR="007B7C57">
        <w:rPr>
          <w:rFonts w:eastAsia="Times New Roman" w:cs="Calibri"/>
          <w:color w:val="auto"/>
          <w:sz w:val="24"/>
          <w:szCs w:val="24"/>
          <w:lang w:eastAsia="cs-CZ"/>
        </w:rPr>
        <w:t>a</w:t>
      </w:r>
      <w:r w:rsidR="001514B8">
        <w:rPr>
          <w:rFonts w:eastAsia="Times New Roman" w:cs="Calibri"/>
          <w:color w:val="auto"/>
          <w:sz w:val="24"/>
          <w:szCs w:val="24"/>
          <w:lang w:eastAsia="cs-CZ"/>
        </w:rPr>
        <w:t xml:space="preserve"> </w:t>
      </w:r>
      <w:r w:rsidR="004B4026">
        <w:rPr>
          <w:rFonts w:eastAsia="Times New Roman" w:cs="Calibri"/>
          <w:color w:val="auto"/>
          <w:sz w:val="24"/>
          <w:szCs w:val="24"/>
          <w:lang w:eastAsia="cs-CZ"/>
        </w:rPr>
        <w:t>přeložení</w:t>
      </w:r>
      <w:r w:rsidR="001514B8">
        <w:rPr>
          <w:rFonts w:eastAsia="Times New Roman" w:cs="Calibri"/>
          <w:color w:val="auto"/>
          <w:sz w:val="24"/>
          <w:szCs w:val="24"/>
          <w:lang w:eastAsia="cs-CZ"/>
        </w:rPr>
        <w:t xml:space="preserve"> tří </w:t>
      </w:r>
      <w:r w:rsidR="007B7C57">
        <w:rPr>
          <w:rFonts w:eastAsia="Times New Roman" w:cs="Calibri"/>
          <w:color w:val="auto"/>
          <w:sz w:val="24"/>
          <w:szCs w:val="24"/>
          <w:lang w:eastAsia="cs-CZ"/>
        </w:rPr>
        <w:t xml:space="preserve">zaměstnanců, </w:t>
      </w:r>
      <w:r w:rsidR="008A0D9B" w:rsidRPr="008A0D9B">
        <w:rPr>
          <w:rFonts w:eastAsia="Times New Roman" w:cs="Calibri"/>
          <w:color w:val="auto"/>
          <w:sz w:val="24"/>
          <w:szCs w:val="24"/>
          <w:lang w:eastAsia="cs-CZ"/>
        </w:rPr>
        <w:t>kteří mají v gesci problematiku AI Aktu</w:t>
      </w:r>
      <w:r w:rsidR="001514B8">
        <w:rPr>
          <w:rFonts w:eastAsia="Times New Roman" w:cs="Calibri"/>
          <w:color w:val="auto"/>
          <w:sz w:val="24"/>
          <w:szCs w:val="24"/>
          <w:lang w:eastAsia="cs-CZ"/>
        </w:rPr>
        <w:t>, z Úřadu vlády na MPO</w:t>
      </w:r>
      <w:r w:rsidR="008A0D9B" w:rsidRPr="008A0D9B">
        <w:rPr>
          <w:rFonts w:eastAsia="Times New Roman" w:cs="Calibri"/>
          <w:color w:val="auto"/>
          <w:sz w:val="24"/>
          <w:szCs w:val="24"/>
          <w:lang w:eastAsia="cs-CZ"/>
        </w:rPr>
        <w:t>.</w:t>
      </w:r>
    </w:p>
    <w:p w14:paraId="105A2BD8" w14:textId="6A176AA6" w:rsidR="00BC29B7" w:rsidRDefault="005B0B2C">
      <w:pPr>
        <w:spacing w:after="0" w:line="290" w:lineRule="auto"/>
        <w:jc w:val="both"/>
        <w:rPr>
          <w:rFonts w:eastAsia="Arial" w:cs="Calibri"/>
          <w:sz w:val="24"/>
          <w:szCs w:val="24"/>
        </w:rPr>
      </w:pPr>
      <w:r>
        <w:rPr>
          <w:rFonts w:eastAsia="Arial" w:cs="Calibri"/>
          <w:sz w:val="24"/>
          <w:szCs w:val="24"/>
        </w:rPr>
        <w:t xml:space="preserve">Pokud jde o určení orgánů pro vymáhání AI Aktu: </w:t>
      </w:r>
    </w:p>
    <w:p w14:paraId="13E7991B" w14:textId="5A63ECF4" w:rsidR="005B0B2C" w:rsidRDefault="00B842A1" w:rsidP="00150523">
      <w:pPr>
        <w:pStyle w:val="Odstavecseseznamem"/>
        <w:numPr>
          <w:ilvl w:val="0"/>
          <w:numId w:val="12"/>
        </w:numPr>
        <w:spacing w:after="0" w:line="290" w:lineRule="auto"/>
        <w:jc w:val="both"/>
        <w:rPr>
          <w:rFonts w:eastAsia="Arial" w:cs="Calibri"/>
          <w:sz w:val="24"/>
          <w:szCs w:val="24"/>
        </w:rPr>
      </w:pPr>
      <w:r w:rsidRPr="005B0B2C">
        <w:rPr>
          <w:rFonts w:eastAsia="Arial" w:cs="Calibri"/>
          <w:sz w:val="24"/>
          <w:szCs w:val="24"/>
        </w:rPr>
        <w:t>Orgánem dozoru nad vymáháním AI Aktu</w:t>
      </w:r>
      <w:r w:rsidR="005B0B2C" w:rsidRPr="005B0B2C">
        <w:rPr>
          <w:rFonts w:eastAsia="Arial" w:cs="Calibri"/>
          <w:sz w:val="24"/>
          <w:szCs w:val="24"/>
        </w:rPr>
        <w:t xml:space="preserve"> se stane Český telekomunikační úřad</w:t>
      </w:r>
      <w:r w:rsidR="00AD5ADD">
        <w:rPr>
          <w:rFonts w:eastAsia="Arial" w:cs="Calibri"/>
          <w:sz w:val="24"/>
          <w:szCs w:val="24"/>
        </w:rPr>
        <w:t>;</w:t>
      </w:r>
    </w:p>
    <w:p w14:paraId="2A393339" w14:textId="63679FAC" w:rsidR="00BC29B7" w:rsidRPr="005B0B2C" w:rsidRDefault="00B842A1" w:rsidP="00150523">
      <w:pPr>
        <w:pStyle w:val="Odstavecseseznamem"/>
        <w:numPr>
          <w:ilvl w:val="0"/>
          <w:numId w:val="12"/>
        </w:numPr>
        <w:spacing w:after="0" w:line="290" w:lineRule="auto"/>
        <w:jc w:val="both"/>
        <w:rPr>
          <w:rFonts w:eastAsia="Arial" w:cs="Calibri"/>
          <w:sz w:val="24"/>
          <w:szCs w:val="24"/>
        </w:rPr>
      </w:pPr>
      <w:r w:rsidRPr="005B0B2C">
        <w:rPr>
          <w:rFonts w:eastAsia="Arial" w:cs="Calibri"/>
          <w:sz w:val="24"/>
          <w:szCs w:val="24"/>
        </w:rPr>
        <w:t xml:space="preserve">Oznamujícím orgánem </w:t>
      </w:r>
      <w:r w:rsidR="005B0B2C">
        <w:rPr>
          <w:rFonts w:eastAsia="Arial" w:cs="Calibri"/>
          <w:sz w:val="24"/>
          <w:szCs w:val="24"/>
        </w:rPr>
        <w:t xml:space="preserve">bude </w:t>
      </w:r>
      <w:r w:rsidR="005B0B2C" w:rsidRPr="005B0B2C">
        <w:rPr>
          <w:rFonts w:eastAsia="Arial" w:cs="Calibri"/>
          <w:sz w:val="24"/>
          <w:szCs w:val="24"/>
        </w:rPr>
        <w:t>Úřad pro technickou normalizaci, metrologii a státní zkušebnictví</w:t>
      </w:r>
      <w:r w:rsidR="00AD5ADD">
        <w:rPr>
          <w:rFonts w:eastAsia="Arial" w:cs="Calibri"/>
          <w:sz w:val="24"/>
          <w:szCs w:val="24"/>
        </w:rPr>
        <w:t>;</w:t>
      </w:r>
    </w:p>
    <w:p w14:paraId="6F6EE15A" w14:textId="09DD4ED8" w:rsidR="00BC29B7" w:rsidRDefault="00B842A1">
      <w:pPr>
        <w:pStyle w:val="Odstavecseseznamem"/>
        <w:numPr>
          <w:ilvl w:val="0"/>
          <w:numId w:val="12"/>
        </w:numPr>
        <w:spacing w:after="0" w:line="290" w:lineRule="auto"/>
        <w:jc w:val="both"/>
        <w:rPr>
          <w:rFonts w:eastAsia="Times New Roman" w:cs="Calibri"/>
          <w:color w:val="auto"/>
          <w:sz w:val="24"/>
          <w:szCs w:val="24"/>
          <w:lang w:eastAsia="cs-CZ"/>
        </w:rPr>
      </w:pPr>
      <w:r>
        <w:rPr>
          <w:rFonts w:eastAsia="Times New Roman" w:cs="Calibri"/>
          <w:color w:val="auto"/>
          <w:sz w:val="24"/>
          <w:szCs w:val="24"/>
          <w:lang w:eastAsia="cs-CZ"/>
        </w:rPr>
        <w:t>Regula</w:t>
      </w:r>
      <w:r w:rsidR="00C01798">
        <w:rPr>
          <w:rFonts w:eastAsia="Times New Roman" w:cs="Calibri"/>
          <w:color w:val="auto"/>
          <w:sz w:val="24"/>
          <w:szCs w:val="24"/>
          <w:lang w:eastAsia="cs-CZ"/>
        </w:rPr>
        <w:t>ční</w:t>
      </w:r>
      <w:r>
        <w:rPr>
          <w:rFonts w:eastAsia="Times New Roman" w:cs="Calibri"/>
          <w:color w:val="auto"/>
          <w:sz w:val="24"/>
          <w:szCs w:val="24"/>
          <w:lang w:eastAsia="cs-CZ"/>
        </w:rPr>
        <w:t xml:space="preserve"> sandbox</w:t>
      </w:r>
      <w:r w:rsidR="005B0B2C">
        <w:rPr>
          <w:rFonts w:eastAsia="Times New Roman" w:cs="Calibri"/>
          <w:color w:val="auto"/>
          <w:sz w:val="24"/>
          <w:szCs w:val="24"/>
          <w:lang w:eastAsia="cs-CZ"/>
        </w:rPr>
        <w:t xml:space="preserve"> </w:t>
      </w:r>
      <w:r w:rsidR="00362A4C">
        <w:rPr>
          <w:rFonts w:eastAsia="Times New Roman" w:cs="Calibri"/>
          <w:color w:val="auto"/>
          <w:sz w:val="24"/>
          <w:szCs w:val="24"/>
          <w:lang w:eastAsia="cs-CZ"/>
        </w:rPr>
        <w:t>bude implementovat</w:t>
      </w:r>
      <w:r>
        <w:rPr>
          <w:rFonts w:eastAsia="Times New Roman" w:cs="Calibri"/>
          <w:color w:val="auto"/>
          <w:sz w:val="24"/>
          <w:szCs w:val="24"/>
          <w:lang w:eastAsia="cs-CZ"/>
        </w:rPr>
        <w:t xml:space="preserve"> Česk</w:t>
      </w:r>
      <w:r w:rsidR="005B0B2C">
        <w:rPr>
          <w:rFonts w:eastAsia="Times New Roman" w:cs="Calibri"/>
          <w:color w:val="auto"/>
          <w:sz w:val="24"/>
          <w:szCs w:val="24"/>
          <w:lang w:eastAsia="cs-CZ"/>
        </w:rPr>
        <w:t>á</w:t>
      </w:r>
      <w:r>
        <w:rPr>
          <w:rFonts w:eastAsia="Times New Roman" w:cs="Calibri"/>
          <w:color w:val="auto"/>
          <w:sz w:val="24"/>
          <w:szCs w:val="24"/>
          <w:lang w:eastAsia="cs-CZ"/>
        </w:rPr>
        <w:t xml:space="preserve"> agentur</w:t>
      </w:r>
      <w:r w:rsidR="005B0B2C">
        <w:rPr>
          <w:rFonts w:eastAsia="Times New Roman" w:cs="Calibri"/>
          <w:color w:val="auto"/>
          <w:sz w:val="24"/>
          <w:szCs w:val="24"/>
          <w:lang w:eastAsia="cs-CZ"/>
        </w:rPr>
        <w:t>a</w:t>
      </w:r>
      <w:r>
        <w:rPr>
          <w:rFonts w:eastAsia="Times New Roman" w:cs="Calibri"/>
          <w:color w:val="auto"/>
          <w:sz w:val="24"/>
          <w:szCs w:val="24"/>
          <w:lang w:eastAsia="cs-CZ"/>
        </w:rPr>
        <w:t xml:space="preserve"> pro standardizaci.</w:t>
      </w:r>
    </w:p>
    <w:p w14:paraId="1B99C96B" w14:textId="77777777" w:rsidR="00404718" w:rsidRPr="00404718" w:rsidRDefault="00404718" w:rsidP="00404718">
      <w:pPr>
        <w:spacing w:after="0" w:line="290" w:lineRule="auto"/>
        <w:jc w:val="both"/>
        <w:rPr>
          <w:rFonts w:eastAsia="Times New Roman" w:cs="Calibri"/>
          <w:color w:val="auto"/>
          <w:sz w:val="24"/>
          <w:szCs w:val="24"/>
          <w:lang w:eastAsia="cs-CZ"/>
        </w:rPr>
      </w:pPr>
    </w:p>
    <w:p w14:paraId="743C77FF" w14:textId="13F083FF" w:rsidR="008A0D9B" w:rsidRDefault="005E2034" w:rsidP="00CC5963">
      <w:pPr>
        <w:spacing w:line="290" w:lineRule="auto"/>
        <w:jc w:val="both"/>
        <w:rPr>
          <w:rFonts w:eastAsia="Times New Roman" w:cs="Calibri"/>
          <w:color w:val="auto"/>
          <w:sz w:val="24"/>
          <w:szCs w:val="24"/>
          <w:lang w:eastAsia="cs-CZ"/>
        </w:rPr>
      </w:pPr>
      <w:r w:rsidRPr="009A1EC2">
        <w:rPr>
          <w:rFonts w:eastAsia="Times New Roman" w:cs="Calibri"/>
          <w:b/>
          <w:bCs/>
          <w:color w:val="auto"/>
          <w:sz w:val="24"/>
          <w:szCs w:val="24"/>
          <w:lang w:eastAsia="cs-CZ"/>
        </w:rPr>
        <w:t xml:space="preserve">Pro zajištění chodu výše uvedených </w:t>
      </w:r>
      <w:r w:rsidR="00A32BBD" w:rsidRPr="009A1EC2">
        <w:rPr>
          <w:rFonts w:eastAsia="Times New Roman" w:cs="Calibri"/>
          <w:b/>
          <w:bCs/>
          <w:color w:val="auto"/>
          <w:sz w:val="24"/>
          <w:szCs w:val="24"/>
          <w:lang w:eastAsia="cs-CZ"/>
        </w:rPr>
        <w:t>úřad</w:t>
      </w:r>
      <w:r w:rsidR="00A32BBD">
        <w:rPr>
          <w:rFonts w:eastAsia="Times New Roman" w:cs="Calibri"/>
          <w:b/>
          <w:bCs/>
          <w:color w:val="auto"/>
          <w:sz w:val="24"/>
          <w:szCs w:val="24"/>
          <w:lang w:eastAsia="cs-CZ"/>
        </w:rPr>
        <w:t>ů</w:t>
      </w:r>
      <w:r w:rsidR="00404718" w:rsidRPr="009A1EC2">
        <w:rPr>
          <w:rFonts w:eastAsia="Times New Roman" w:cs="Calibri"/>
          <w:b/>
          <w:bCs/>
          <w:color w:val="auto"/>
          <w:sz w:val="24"/>
          <w:szCs w:val="24"/>
          <w:lang w:eastAsia="cs-CZ"/>
        </w:rPr>
        <w:t xml:space="preserve">, které musí ČR povinně zřídit a dostatečně </w:t>
      </w:r>
      <w:r w:rsidR="00404718" w:rsidRPr="00A32BBD">
        <w:rPr>
          <w:rFonts w:eastAsia="Times New Roman" w:cs="Calibri"/>
          <w:b/>
          <w:bCs/>
          <w:color w:val="auto"/>
          <w:sz w:val="24"/>
          <w:szCs w:val="24"/>
          <w:lang w:eastAsia="cs-CZ"/>
        </w:rPr>
        <w:t>financova</w:t>
      </w:r>
      <w:r w:rsidR="00404718" w:rsidRPr="00F36206">
        <w:rPr>
          <w:rFonts w:eastAsia="Times New Roman" w:cs="Calibri"/>
          <w:b/>
          <w:bCs/>
          <w:color w:val="auto"/>
          <w:sz w:val="24"/>
          <w:szCs w:val="24"/>
          <w:lang w:eastAsia="cs-CZ"/>
        </w:rPr>
        <w:t>t</w:t>
      </w:r>
      <w:r w:rsidR="00404718">
        <w:rPr>
          <w:rFonts w:eastAsia="Times New Roman" w:cs="Calibri"/>
          <w:color w:val="auto"/>
          <w:sz w:val="24"/>
          <w:szCs w:val="24"/>
          <w:lang w:eastAsia="cs-CZ"/>
        </w:rPr>
        <w:t>,</w:t>
      </w:r>
      <w:r>
        <w:rPr>
          <w:rFonts w:eastAsia="Times New Roman" w:cs="Calibri"/>
          <w:color w:val="auto"/>
          <w:sz w:val="24"/>
          <w:szCs w:val="24"/>
          <w:lang w:eastAsia="cs-CZ"/>
        </w:rPr>
        <w:t xml:space="preserve"> je</w:t>
      </w:r>
      <w:r w:rsidR="00C862B1">
        <w:rPr>
          <w:rFonts w:eastAsia="Times New Roman" w:cs="Calibri"/>
          <w:color w:val="auto"/>
          <w:sz w:val="24"/>
          <w:szCs w:val="24"/>
          <w:lang w:eastAsia="cs-CZ"/>
        </w:rPr>
        <w:t xml:space="preserve"> zásadní, aby </w:t>
      </w:r>
      <w:r>
        <w:rPr>
          <w:rFonts w:eastAsia="Times New Roman" w:cs="Calibri"/>
          <w:color w:val="auto"/>
          <w:sz w:val="24"/>
          <w:szCs w:val="24"/>
          <w:lang w:eastAsia="cs-CZ"/>
        </w:rPr>
        <w:t xml:space="preserve">byly </w:t>
      </w:r>
      <w:r w:rsidRPr="005E2034">
        <w:rPr>
          <w:rFonts w:eastAsia="Times New Roman" w:cs="Calibri"/>
          <w:color w:val="auto"/>
          <w:sz w:val="24"/>
          <w:szCs w:val="24"/>
          <w:lang w:eastAsia="cs-CZ"/>
        </w:rPr>
        <w:t>zajištěn</w:t>
      </w:r>
      <w:r>
        <w:rPr>
          <w:rFonts w:eastAsia="Times New Roman" w:cs="Calibri"/>
          <w:color w:val="auto"/>
          <w:sz w:val="24"/>
          <w:szCs w:val="24"/>
          <w:lang w:eastAsia="cs-CZ"/>
        </w:rPr>
        <w:t>y</w:t>
      </w:r>
      <w:r w:rsidRPr="005E2034">
        <w:rPr>
          <w:rFonts w:eastAsia="Times New Roman" w:cs="Calibri"/>
          <w:color w:val="auto"/>
          <w:sz w:val="24"/>
          <w:szCs w:val="24"/>
          <w:lang w:eastAsia="cs-CZ"/>
        </w:rPr>
        <w:t xml:space="preserve"> dostatečn</w:t>
      </w:r>
      <w:r>
        <w:rPr>
          <w:rFonts w:eastAsia="Times New Roman" w:cs="Calibri"/>
          <w:color w:val="auto"/>
          <w:sz w:val="24"/>
          <w:szCs w:val="24"/>
          <w:lang w:eastAsia="cs-CZ"/>
        </w:rPr>
        <w:t>é</w:t>
      </w:r>
      <w:r w:rsidRPr="005E2034">
        <w:rPr>
          <w:rFonts w:eastAsia="Times New Roman" w:cs="Calibri"/>
          <w:color w:val="auto"/>
          <w:sz w:val="24"/>
          <w:szCs w:val="24"/>
          <w:lang w:eastAsia="cs-CZ"/>
        </w:rPr>
        <w:t xml:space="preserve"> technologick</w:t>
      </w:r>
      <w:r>
        <w:rPr>
          <w:rFonts w:eastAsia="Times New Roman" w:cs="Calibri"/>
          <w:color w:val="auto"/>
          <w:sz w:val="24"/>
          <w:szCs w:val="24"/>
          <w:lang w:eastAsia="cs-CZ"/>
        </w:rPr>
        <w:t>é a</w:t>
      </w:r>
      <w:r w:rsidRPr="005E2034">
        <w:rPr>
          <w:rFonts w:eastAsia="Times New Roman" w:cs="Calibri"/>
          <w:color w:val="auto"/>
          <w:sz w:val="24"/>
          <w:szCs w:val="24"/>
          <w:lang w:eastAsia="cs-CZ"/>
        </w:rPr>
        <w:t xml:space="preserve"> právní</w:t>
      </w:r>
      <w:r>
        <w:rPr>
          <w:rFonts w:eastAsia="Times New Roman" w:cs="Calibri"/>
          <w:color w:val="auto"/>
          <w:sz w:val="24"/>
          <w:szCs w:val="24"/>
          <w:lang w:eastAsia="cs-CZ"/>
        </w:rPr>
        <w:t xml:space="preserve"> kapacity</w:t>
      </w:r>
      <w:r w:rsidRPr="005E2034">
        <w:rPr>
          <w:rFonts w:eastAsia="Times New Roman" w:cs="Calibri"/>
          <w:color w:val="auto"/>
          <w:sz w:val="24"/>
          <w:szCs w:val="24"/>
          <w:lang w:eastAsia="cs-CZ"/>
        </w:rPr>
        <w:t>, compliance znalos</w:t>
      </w:r>
      <w:r>
        <w:rPr>
          <w:rFonts w:eastAsia="Times New Roman" w:cs="Calibri"/>
          <w:color w:val="auto"/>
          <w:sz w:val="24"/>
          <w:szCs w:val="24"/>
          <w:lang w:eastAsia="cs-CZ"/>
        </w:rPr>
        <w:t>ti</w:t>
      </w:r>
      <w:r w:rsidRPr="005E2034">
        <w:rPr>
          <w:rFonts w:eastAsia="Times New Roman" w:cs="Calibri"/>
          <w:color w:val="auto"/>
          <w:sz w:val="24"/>
          <w:szCs w:val="24"/>
          <w:lang w:eastAsia="cs-CZ"/>
        </w:rPr>
        <w:t xml:space="preserve"> a zdroj</w:t>
      </w:r>
      <w:r>
        <w:rPr>
          <w:rFonts w:eastAsia="Times New Roman" w:cs="Calibri"/>
          <w:color w:val="auto"/>
          <w:sz w:val="24"/>
          <w:szCs w:val="24"/>
          <w:lang w:eastAsia="cs-CZ"/>
        </w:rPr>
        <w:t>e</w:t>
      </w:r>
      <w:r w:rsidR="008163C6">
        <w:rPr>
          <w:rFonts w:eastAsia="Times New Roman" w:cs="Calibri"/>
          <w:color w:val="auto"/>
          <w:sz w:val="24"/>
          <w:szCs w:val="24"/>
          <w:lang w:eastAsia="cs-CZ"/>
        </w:rPr>
        <w:t>. Je také potřeba</w:t>
      </w:r>
      <w:r>
        <w:rPr>
          <w:rFonts w:eastAsia="Times New Roman" w:cs="Calibri"/>
          <w:color w:val="auto"/>
          <w:sz w:val="24"/>
          <w:szCs w:val="24"/>
          <w:lang w:eastAsia="cs-CZ"/>
        </w:rPr>
        <w:t xml:space="preserve">, aby na výše zmíněných úřadech pracovali vysoce kvalifikovaní </w:t>
      </w:r>
      <w:r w:rsidRPr="005E2034">
        <w:rPr>
          <w:rFonts w:eastAsia="Times New Roman" w:cs="Calibri"/>
          <w:color w:val="auto"/>
          <w:sz w:val="24"/>
          <w:szCs w:val="24"/>
          <w:lang w:eastAsia="cs-CZ"/>
        </w:rPr>
        <w:t>zaměstnanc</w:t>
      </w:r>
      <w:r>
        <w:rPr>
          <w:rFonts w:eastAsia="Times New Roman" w:cs="Calibri"/>
          <w:color w:val="auto"/>
          <w:sz w:val="24"/>
          <w:szCs w:val="24"/>
          <w:lang w:eastAsia="cs-CZ"/>
        </w:rPr>
        <w:t>i</w:t>
      </w:r>
      <w:r w:rsidRPr="005E2034">
        <w:rPr>
          <w:rFonts w:eastAsia="Times New Roman" w:cs="Calibri"/>
          <w:color w:val="auto"/>
          <w:sz w:val="24"/>
          <w:szCs w:val="24"/>
          <w:lang w:eastAsia="cs-CZ"/>
        </w:rPr>
        <w:t>:</w:t>
      </w:r>
      <w:r>
        <w:rPr>
          <w:rFonts w:eastAsia="Times New Roman" w:cs="Calibri"/>
          <w:color w:val="auto"/>
          <w:sz w:val="24"/>
          <w:szCs w:val="24"/>
          <w:lang w:eastAsia="cs-CZ"/>
        </w:rPr>
        <w:t xml:space="preserve"> </w:t>
      </w:r>
      <w:r w:rsidRPr="005E2034">
        <w:rPr>
          <w:rFonts w:eastAsia="Times New Roman" w:cs="Calibri"/>
          <w:color w:val="auto"/>
          <w:sz w:val="24"/>
          <w:szCs w:val="24"/>
          <w:lang w:eastAsia="cs-CZ"/>
        </w:rPr>
        <w:t>vývojáři AI systémů, tak</w:t>
      </w:r>
      <w:r w:rsidR="00192C75">
        <w:rPr>
          <w:rFonts w:eastAsia="Times New Roman" w:cs="Calibri"/>
          <w:color w:val="auto"/>
          <w:sz w:val="24"/>
          <w:szCs w:val="24"/>
          <w:lang w:eastAsia="cs-CZ"/>
        </w:rPr>
        <w:t>é</w:t>
      </w:r>
      <w:r w:rsidRPr="005E2034">
        <w:rPr>
          <w:rFonts w:eastAsia="Times New Roman" w:cs="Calibri"/>
          <w:color w:val="auto"/>
          <w:sz w:val="24"/>
          <w:szCs w:val="24"/>
          <w:lang w:eastAsia="cs-CZ"/>
        </w:rPr>
        <w:t xml:space="preserve"> datoví analytici a softwaroví inženýři, ale i specialisté na kybernetickou bezpečnost</w:t>
      </w:r>
      <w:r w:rsidR="008163C6">
        <w:rPr>
          <w:rFonts w:eastAsia="Times New Roman" w:cs="Calibri"/>
          <w:color w:val="auto"/>
          <w:sz w:val="24"/>
          <w:szCs w:val="24"/>
          <w:lang w:eastAsia="cs-CZ"/>
        </w:rPr>
        <w:t xml:space="preserve">, </w:t>
      </w:r>
      <w:r>
        <w:rPr>
          <w:rFonts w:eastAsia="Times New Roman" w:cs="Calibri"/>
          <w:color w:val="auto"/>
          <w:sz w:val="24"/>
          <w:szCs w:val="24"/>
          <w:lang w:eastAsia="cs-CZ"/>
        </w:rPr>
        <w:t xml:space="preserve">právní experti </w:t>
      </w:r>
      <w:r w:rsidRPr="005E2034">
        <w:rPr>
          <w:rFonts w:eastAsia="Times New Roman" w:cs="Calibri"/>
          <w:color w:val="auto"/>
          <w:sz w:val="24"/>
          <w:szCs w:val="24"/>
          <w:lang w:eastAsia="cs-CZ"/>
        </w:rPr>
        <w:t>se zaměření</w:t>
      </w:r>
      <w:r>
        <w:rPr>
          <w:rFonts w:eastAsia="Times New Roman" w:cs="Calibri"/>
          <w:color w:val="auto"/>
          <w:sz w:val="24"/>
          <w:szCs w:val="24"/>
          <w:lang w:eastAsia="cs-CZ"/>
        </w:rPr>
        <w:t>m</w:t>
      </w:r>
      <w:r w:rsidRPr="005E2034">
        <w:rPr>
          <w:rFonts w:eastAsia="Times New Roman" w:cs="Calibri"/>
          <w:color w:val="auto"/>
          <w:sz w:val="24"/>
          <w:szCs w:val="24"/>
          <w:lang w:eastAsia="cs-CZ"/>
        </w:rPr>
        <w:t xml:space="preserve"> na regulatoriku EU</w:t>
      </w:r>
      <w:r w:rsidR="008163C6">
        <w:rPr>
          <w:rFonts w:eastAsia="Times New Roman" w:cs="Calibri"/>
          <w:color w:val="auto"/>
          <w:sz w:val="24"/>
          <w:szCs w:val="24"/>
          <w:lang w:eastAsia="cs-CZ"/>
        </w:rPr>
        <w:t>,</w:t>
      </w:r>
      <w:r w:rsidRPr="005E2034">
        <w:rPr>
          <w:rFonts w:eastAsia="Times New Roman" w:cs="Calibri"/>
          <w:color w:val="auto"/>
          <w:sz w:val="24"/>
          <w:szCs w:val="24"/>
          <w:lang w:eastAsia="cs-CZ"/>
        </w:rPr>
        <w:t xml:space="preserve"> compliance expert</w:t>
      </w:r>
      <w:r>
        <w:rPr>
          <w:rFonts w:eastAsia="Times New Roman" w:cs="Calibri"/>
          <w:color w:val="auto"/>
          <w:sz w:val="24"/>
          <w:szCs w:val="24"/>
          <w:lang w:eastAsia="cs-CZ"/>
        </w:rPr>
        <w:t>i</w:t>
      </w:r>
      <w:r w:rsidRPr="005E2034">
        <w:rPr>
          <w:rFonts w:eastAsia="Times New Roman" w:cs="Calibri"/>
          <w:color w:val="auto"/>
          <w:sz w:val="24"/>
          <w:szCs w:val="24"/>
          <w:lang w:eastAsia="cs-CZ"/>
        </w:rPr>
        <w:t>, odborní</w:t>
      </w:r>
      <w:r>
        <w:rPr>
          <w:rFonts w:eastAsia="Times New Roman" w:cs="Calibri"/>
          <w:color w:val="auto"/>
          <w:sz w:val="24"/>
          <w:szCs w:val="24"/>
          <w:lang w:eastAsia="cs-CZ"/>
        </w:rPr>
        <w:t xml:space="preserve">ci </w:t>
      </w:r>
      <w:r w:rsidRPr="005E2034">
        <w:rPr>
          <w:rFonts w:eastAsia="Times New Roman" w:cs="Calibri"/>
          <w:color w:val="auto"/>
          <w:sz w:val="24"/>
          <w:szCs w:val="24"/>
          <w:lang w:eastAsia="cs-CZ"/>
        </w:rPr>
        <w:t>na etiku AI</w:t>
      </w:r>
      <w:r w:rsidR="008163C6">
        <w:rPr>
          <w:rFonts w:eastAsia="Times New Roman" w:cs="Calibri"/>
          <w:color w:val="auto"/>
          <w:sz w:val="24"/>
          <w:szCs w:val="24"/>
          <w:lang w:eastAsia="cs-CZ"/>
        </w:rPr>
        <w:t>,</w:t>
      </w:r>
      <w:r>
        <w:rPr>
          <w:rFonts w:eastAsia="Times New Roman" w:cs="Calibri"/>
          <w:color w:val="auto"/>
          <w:sz w:val="24"/>
          <w:szCs w:val="24"/>
          <w:lang w:eastAsia="cs-CZ"/>
        </w:rPr>
        <w:t xml:space="preserve"> </w:t>
      </w:r>
      <w:r w:rsidRPr="005E2034">
        <w:rPr>
          <w:rFonts w:eastAsia="Times New Roman" w:cs="Calibri"/>
          <w:color w:val="auto"/>
          <w:sz w:val="24"/>
          <w:szCs w:val="24"/>
          <w:lang w:eastAsia="cs-CZ"/>
        </w:rPr>
        <w:t>zaměstnanci odpovědní za identifikaci</w:t>
      </w:r>
      <w:r w:rsidR="00A32BBD">
        <w:rPr>
          <w:rFonts w:eastAsia="Times New Roman" w:cs="Calibri"/>
          <w:color w:val="auto"/>
          <w:sz w:val="24"/>
          <w:szCs w:val="24"/>
          <w:lang w:eastAsia="cs-CZ"/>
        </w:rPr>
        <w:t xml:space="preserve"> a</w:t>
      </w:r>
      <w:r w:rsidRPr="005E2034">
        <w:rPr>
          <w:rFonts w:eastAsia="Times New Roman" w:cs="Calibri"/>
          <w:color w:val="auto"/>
          <w:sz w:val="24"/>
          <w:szCs w:val="24"/>
          <w:lang w:eastAsia="cs-CZ"/>
        </w:rPr>
        <w:t xml:space="preserve"> analýzu a</w:t>
      </w:r>
      <w:r w:rsidR="00A32BBD">
        <w:rPr>
          <w:rFonts w:eastAsia="Times New Roman" w:cs="Calibri"/>
          <w:color w:val="auto"/>
          <w:sz w:val="24"/>
          <w:szCs w:val="24"/>
          <w:lang w:eastAsia="cs-CZ"/>
        </w:rPr>
        <w:t xml:space="preserve"> se</w:t>
      </w:r>
      <w:r w:rsidRPr="005E2034">
        <w:rPr>
          <w:rFonts w:eastAsia="Times New Roman" w:cs="Calibri"/>
          <w:color w:val="auto"/>
          <w:sz w:val="24"/>
          <w:szCs w:val="24"/>
          <w:lang w:eastAsia="cs-CZ"/>
        </w:rPr>
        <w:t xml:space="preserve"> zkušenostmi s řízením rizik, hodnocením rizik a implementac</w:t>
      </w:r>
      <w:r w:rsidR="00A32BBD">
        <w:rPr>
          <w:rFonts w:eastAsia="Times New Roman" w:cs="Calibri"/>
          <w:color w:val="auto"/>
          <w:sz w:val="24"/>
          <w:szCs w:val="24"/>
          <w:lang w:eastAsia="cs-CZ"/>
        </w:rPr>
        <w:t>í</w:t>
      </w:r>
      <w:r w:rsidRPr="005E2034">
        <w:rPr>
          <w:rFonts w:eastAsia="Times New Roman" w:cs="Calibri"/>
          <w:color w:val="auto"/>
          <w:sz w:val="24"/>
          <w:szCs w:val="24"/>
          <w:lang w:eastAsia="cs-CZ"/>
        </w:rPr>
        <w:t xml:space="preserve"> opatření k jejich minimalizaci.</w:t>
      </w:r>
      <w:r>
        <w:rPr>
          <w:rFonts w:eastAsia="Times New Roman" w:cs="Calibri"/>
          <w:color w:val="auto"/>
          <w:sz w:val="24"/>
          <w:szCs w:val="24"/>
          <w:lang w:eastAsia="cs-CZ"/>
        </w:rPr>
        <w:t xml:space="preserve"> </w:t>
      </w:r>
    </w:p>
    <w:p w14:paraId="1F3C5981" w14:textId="3A3D7DAC" w:rsidR="00F36206" w:rsidRDefault="005E2034" w:rsidP="00CC5963">
      <w:pPr>
        <w:spacing w:line="290" w:lineRule="auto"/>
        <w:jc w:val="both"/>
        <w:rPr>
          <w:rFonts w:cs="Calibri"/>
          <w:b/>
          <w:bCs/>
          <w:sz w:val="24"/>
          <w:szCs w:val="24"/>
        </w:rPr>
      </w:pPr>
      <w:r w:rsidRPr="009A1EC2">
        <w:rPr>
          <w:rFonts w:eastAsia="Times New Roman" w:cs="Calibri"/>
          <w:b/>
          <w:bCs/>
          <w:color w:val="auto"/>
          <w:sz w:val="24"/>
          <w:szCs w:val="24"/>
          <w:lang w:eastAsia="cs-CZ"/>
        </w:rPr>
        <w:t xml:space="preserve">Dle provedené analýzy je potřeba, aby bylo na třech </w:t>
      </w:r>
      <w:r w:rsidR="00362A4C">
        <w:rPr>
          <w:rFonts w:eastAsia="Times New Roman" w:cs="Calibri"/>
          <w:b/>
          <w:bCs/>
          <w:color w:val="auto"/>
          <w:sz w:val="24"/>
          <w:szCs w:val="24"/>
          <w:lang w:eastAsia="cs-CZ"/>
        </w:rPr>
        <w:t>institucích</w:t>
      </w:r>
      <w:r w:rsidR="00362A4C" w:rsidRPr="009A1EC2">
        <w:rPr>
          <w:rFonts w:eastAsia="Times New Roman" w:cs="Calibri"/>
          <w:b/>
          <w:bCs/>
          <w:color w:val="auto"/>
          <w:sz w:val="24"/>
          <w:szCs w:val="24"/>
          <w:lang w:eastAsia="cs-CZ"/>
        </w:rPr>
        <w:t xml:space="preserve"> </w:t>
      </w:r>
      <w:r w:rsidRPr="009A1EC2">
        <w:rPr>
          <w:rFonts w:eastAsia="Times New Roman" w:cs="Calibri"/>
          <w:b/>
          <w:bCs/>
          <w:color w:val="auto"/>
          <w:sz w:val="24"/>
          <w:szCs w:val="24"/>
          <w:lang w:eastAsia="cs-CZ"/>
        </w:rPr>
        <w:t xml:space="preserve">zřízeno </w:t>
      </w:r>
      <w:r w:rsidR="00362A4C">
        <w:rPr>
          <w:rFonts w:eastAsia="Times New Roman" w:cs="Calibri"/>
          <w:b/>
          <w:bCs/>
          <w:color w:val="auto"/>
          <w:sz w:val="24"/>
          <w:szCs w:val="24"/>
          <w:lang w:eastAsia="cs-CZ"/>
        </w:rPr>
        <w:t>48</w:t>
      </w:r>
      <w:r w:rsidR="00514022">
        <w:rPr>
          <w:rFonts w:eastAsia="Times New Roman" w:cs="Calibri"/>
          <w:b/>
          <w:bCs/>
          <w:color w:val="auto"/>
          <w:sz w:val="24"/>
          <w:szCs w:val="24"/>
          <w:lang w:eastAsia="cs-CZ"/>
        </w:rPr>
        <w:t xml:space="preserve"> </w:t>
      </w:r>
      <w:r w:rsidR="00B842A1" w:rsidRPr="009A1EC2">
        <w:rPr>
          <w:rFonts w:eastAsia="Times New Roman" w:cs="Calibri"/>
          <w:b/>
          <w:bCs/>
          <w:color w:val="auto"/>
          <w:sz w:val="24"/>
          <w:szCs w:val="24"/>
          <w:lang w:eastAsia="cs-CZ"/>
        </w:rPr>
        <w:t>míst</w:t>
      </w:r>
      <w:r w:rsidR="00362A4C">
        <w:rPr>
          <w:rFonts w:eastAsia="Times New Roman" w:cs="Calibri"/>
          <w:b/>
          <w:bCs/>
          <w:color w:val="auto"/>
          <w:sz w:val="24"/>
          <w:szCs w:val="24"/>
          <w:lang w:eastAsia="cs-CZ"/>
        </w:rPr>
        <w:t xml:space="preserve"> + 4</w:t>
      </w:r>
      <w:r w:rsidR="00BB59C4">
        <w:rPr>
          <w:rFonts w:eastAsia="Times New Roman" w:cs="Calibri"/>
          <w:b/>
          <w:bCs/>
          <w:color w:val="auto"/>
          <w:sz w:val="24"/>
          <w:szCs w:val="24"/>
          <w:lang w:eastAsia="cs-CZ"/>
        </w:rPr>
        <w:t xml:space="preserve"> </w:t>
      </w:r>
      <w:r w:rsidR="00362A4C">
        <w:rPr>
          <w:rFonts w:eastAsia="Times New Roman" w:cs="Calibri"/>
          <w:b/>
          <w:bCs/>
          <w:color w:val="auto"/>
          <w:sz w:val="24"/>
          <w:szCs w:val="24"/>
          <w:lang w:eastAsia="cs-CZ"/>
        </w:rPr>
        <w:t>DPČ</w:t>
      </w:r>
      <w:r w:rsidR="00B842A1" w:rsidRPr="009A1EC2">
        <w:rPr>
          <w:rFonts w:eastAsia="Times New Roman" w:cs="Calibri"/>
          <w:b/>
          <w:bCs/>
          <w:color w:val="auto"/>
          <w:sz w:val="24"/>
          <w:szCs w:val="24"/>
          <w:lang w:eastAsia="cs-CZ"/>
        </w:rPr>
        <w:t xml:space="preserve"> v souvislosti s implementací a zajiště</w:t>
      </w:r>
      <w:r w:rsidRPr="009A1EC2">
        <w:rPr>
          <w:rFonts w:eastAsia="Times New Roman" w:cs="Calibri"/>
          <w:b/>
          <w:bCs/>
          <w:color w:val="auto"/>
          <w:sz w:val="24"/>
          <w:szCs w:val="24"/>
          <w:lang w:eastAsia="cs-CZ"/>
        </w:rPr>
        <w:t xml:space="preserve">no </w:t>
      </w:r>
      <w:r w:rsidR="00153D8D" w:rsidRPr="009A1EC2">
        <w:rPr>
          <w:rFonts w:eastAsia="Times New Roman" w:cs="Calibri"/>
          <w:b/>
          <w:bCs/>
          <w:color w:val="auto"/>
          <w:sz w:val="24"/>
          <w:szCs w:val="24"/>
          <w:lang w:eastAsia="cs-CZ"/>
        </w:rPr>
        <w:t>financování v</w:t>
      </w:r>
      <w:r w:rsidR="00B842A1" w:rsidRPr="009A1EC2">
        <w:rPr>
          <w:rFonts w:eastAsia="Times New Roman" w:cs="Calibri"/>
          <w:b/>
          <w:bCs/>
          <w:color w:val="auto"/>
          <w:sz w:val="24"/>
          <w:szCs w:val="24"/>
          <w:lang w:eastAsia="cs-CZ"/>
        </w:rPr>
        <w:t xml:space="preserve"> celkové výši pro</w:t>
      </w:r>
      <w:r w:rsidR="005B0B2C" w:rsidRPr="009A1EC2">
        <w:rPr>
          <w:rFonts w:eastAsia="Times New Roman" w:cs="Calibri"/>
          <w:b/>
          <w:bCs/>
          <w:color w:val="auto"/>
          <w:sz w:val="24"/>
          <w:szCs w:val="24"/>
          <w:lang w:eastAsia="cs-CZ"/>
        </w:rPr>
        <w:t xml:space="preserve"> období</w:t>
      </w:r>
      <w:r w:rsidR="00B842A1" w:rsidRPr="009A1EC2">
        <w:rPr>
          <w:rFonts w:eastAsia="Times New Roman" w:cs="Calibri"/>
          <w:b/>
          <w:bCs/>
          <w:color w:val="auto"/>
          <w:sz w:val="24"/>
          <w:szCs w:val="24"/>
          <w:lang w:eastAsia="cs-CZ"/>
        </w:rPr>
        <w:t xml:space="preserve"> 2026</w:t>
      </w:r>
      <w:r w:rsidR="005B0B2C" w:rsidRPr="009A1EC2">
        <w:rPr>
          <w:rFonts w:eastAsia="Times New Roman" w:cs="Calibri"/>
          <w:b/>
          <w:bCs/>
          <w:color w:val="auto"/>
          <w:sz w:val="24"/>
          <w:szCs w:val="24"/>
          <w:lang w:eastAsia="cs-CZ"/>
        </w:rPr>
        <w:t xml:space="preserve"> </w:t>
      </w:r>
      <w:r w:rsidR="00153D8D" w:rsidRPr="009A1EC2">
        <w:rPr>
          <w:rFonts w:eastAsia="Times New Roman" w:cs="Calibri"/>
          <w:b/>
          <w:bCs/>
          <w:color w:val="auto"/>
          <w:sz w:val="24"/>
          <w:szCs w:val="24"/>
          <w:lang w:eastAsia="cs-CZ"/>
        </w:rPr>
        <w:t>až 2028</w:t>
      </w:r>
      <w:r w:rsidR="005B0B2C" w:rsidRPr="009A1EC2">
        <w:rPr>
          <w:rFonts w:eastAsia="Times New Roman" w:cs="Calibri"/>
          <w:b/>
          <w:bCs/>
          <w:color w:val="auto"/>
          <w:sz w:val="24"/>
          <w:szCs w:val="24"/>
          <w:lang w:eastAsia="cs-CZ"/>
        </w:rPr>
        <w:t xml:space="preserve">: </w:t>
      </w:r>
      <w:r w:rsidR="00B842A1" w:rsidRPr="009A1EC2">
        <w:rPr>
          <w:rFonts w:cs="Calibri"/>
          <w:b/>
          <w:bCs/>
          <w:sz w:val="24"/>
          <w:szCs w:val="24"/>
        </w:rPr>
        <w:t>2</w:t>
      </w:r>
      <w:r w:rsidR="00140E39" w:rsidRPr="009A1EC2">
        <w:rPr>
          <w:rFonts w:cs="Calibri"/>
          <w:b/>
          <w:bCs/>
          <w:sz w:val="24"/>
          <w:szCs w:val="24"/>
        </w:rPr>
        <w:t>32</w:t>
      </w:r>
      <w:r w:rsidR="00B842A1" w:rsidRPr="009A1EC2">
        <w:rPr>
          <w:rFonts w:cs="Calibri"/>
          <w:b/>
          <w:bCs/>
          <w:sz w:val="24"/>
          <w:szCs w:val="24"/>
        </w:rPr>
        <w:t xml:space="preserve"> </w:t>
      </w:r>
      <w:r w:rsidR="00140E39" w:rsidRPr="009A1EC2">
        <w:rPr>
          <w:rFonts w:cs="Calibri"/>
          <w:b/>
          <w:bCs/>
          <w:sz w:val="24"/>
          <w:szCs w:val="24"/>
        </w:rPr>
        <w:t>52</w:t>
      </w:r>
      <w:r w:rsidR="00B842A1" w:rsidRPr="009A1EC2">
        <w:rPr>
          <w:rFonts w:cs="Calibri"/>
          <w:b/>
          <w:bCs/>
          <w:sz w:val="24"/>
          <w:szCs w:val="24"/>
        </w:rPr>
        <w:t xml:space="preserve">7 100 Kč.  </w:t>
      </w:r>
      <w:r w:rsidR="00404718" w:rsidRPr="009A1EC2">
        <w:rPr>
          <w:rFonts w:cs="Calibri"/>
          <w:b/>
          <w:bCs/>
          <w:sz w:val="24"/>
          <w:szCs w:val="24"/>
        </w:rPr>
        <w:t>Pro orgán dozoru nad trhem</w:t>
      </w:r>
      <w:r w:rsidR="00BB59C4">
        <w:rPr>
          <w:rFonts w:cs="Calibri"/>
          <w:b/>
          <w:bCs/>
          <w:sz w:val="24"/>
          <w:szCs w:val="24"/>
        </w:rPr>
        <w:t>, tedy Český telekomunikační úřad,</w:t>
      </w:r>
      <w:r w:rsidR="00404718" w:rsidRPr="009A1EC2">
        <w:rPr>
          <w:rFonts w:cs="Calibri"/>
          <w:b/>
          <w:bCs/>
          <w:sz w:val="24"/>
          <w:szCs w:val="24"/>
        </w:rPr>
        <w:t xml:space="preserve"> se jedná o </w:t>
      </w:r>
      <w:r w:rsidR="00404718" w:rsidRPr="009A1EC2">
        <w:rPr>
          <w:rFonts w:eastAsia="Times New Roman" w:cs="Calibri"/>
          <w:b/>
          <w:bCs/>
          <w:sz w:val="24"/>
          <w:szCs w:val="24"/>
          <w:lang w:eastAsia="cs-CZ"/>
        </w:rPr>
        <w:t xml:space="preserve">131 013 600 Kč. Pro Úřad pro technickou normalizaci, metrologii a státní zkušebnictví je navrhováno </w:t>
      </w:r>
      <w:r w:rsidR="00D10CB5" w:rsidRPr="009A1EC2">
        <w:rPr>
          <w:rFonts w:eastAsia="Times New Roman" w:cs="Calibri"/>
          <w:b/>
          <w:bCs/>
          <w:sz w:val="24"/>
          <w:szCs w:val="24"/>
          <w:lang w:eastAsia="cs-CZ"/>
        </w:rPr>
        <w:t>31 060 000 Kč, oznámený subjekt 25 300 000 Kč</w:t>
      </w:r>
      <w:r w:rsidR="004B4026">
        <w:rPr>
          <w:rFonts w:eastAsia="Times New Roman" w:cs="Calibri"/>
          <w:b/>
          <w:bCs/>
          <w:sz w:val="24"/>
          <w:szCs w:val="24"/>
          <w:lang w:eastAsia="cs-CZ"/>
        </w:rPr>
        <w:t>,</w:t>
      </w:r>
      <w:r w:rsidR="009F2781">
        <w:rPr>
          <w:rFonts w:eastAsia="Times New Roman" w:cs="Calibri"/>
          <w:b/>
          <w:bCs/>
          <w:sz w:val="24"/>
          <w:szCs w:val="24"/>
          <w:lang w:eastAsia="cs-CZ"/>
        </w:rPr>
        <w:t xml:space="preserve"> </w:t>
      </w:r>
      <w:r w:rsidR="00D10CB5" w:rsidRPr="009A1EC2">
        <w:rPr>
          <w:rFonts w:eastAsia="Times New Roman" w:cs="Calibri"/>
          <w:b/>
          <w:bCs/>
          <w:sz w:val="24"/>
          <w:szCs w:val="24"/>
          <w:lang w:eastAsia="cs-CZ"/>
        </w:rPr>
        <w:t>regula</w:t>
      </w:r>
      <w:r w:rsidR="00C01798" w:rsidRPr="009A1EC2">
        <w:rPr>
          <w:rFonts w:eastAsia="Times New Roman" w:cs="Calibri"/>
          <w:b/>
          <w:bCs/>
          <w:sz w:val="24"/>
          <w:szCs w:val="24"/>
          <w:lang w:eastAsia="cs-CZ"/>
        </w:rPr>
        <w:t>ční</w:t>
      </w:r>
      <w:r w:rsidR="00D10CB5" w:rsidRPr="009A1EC2">
        <w:rPr>
          <w:rFonts w:eastAsia="Times New Roman" w:cs="Calibri"/>
          <w:b/>
          <w:bCs/>
          <w:sz w:val="24"/>
          <w:szCs w:val="24"/>
          <w:lang w:eastAsia="cs-CZ"/>
        </w:rPr>
        <w:t xml:space="preserve"> sandbox 45 153 500 Kč</w:t>
      </w:r>
      <w:r w:rsidR="009F2781">
        <w:rPr>
          <w:rFonts w:eastAsia="Times New Roman" w:cs="Calibri"/>
          <w:b/>
          <w:bCs/>
          <w:sz w:val="24"/>
          <w:szCs w:val="24"/>
          <w:lang w:eastAsia="cs-CZ"/>
        </w:rPr>
        <w:t>.</w:t>
      </w:r>
      <w:r w:rsidR="00404718" w:rsidRPr="009A1EC2">
        <w:rPr>
          <w:rFonts w:eastAsia="Times New Roman" w:cs="Calibri"/>
          <w:b/>
          <w:bCs/>
          <w:sz w:val="24"/>
          <w:szCs w:val="24"/>
          <w:lang w:eastAsia="cs-CZ"/>
        </w:rPr>
        <w:t xml:space="preserve"> </w:t>
      </w:r>
      <w:r w:rsidRPr="009A1EC2">
        <w:rPr>
          <w:rFonts w:cs="Calibri"/>
          <w:b/>
          <w:bCs/>
          <w:sz w:val="24"/>
          <w:szCs w:val="24"/>
        </w:rPr>
        <w:t xml:space="preserve">Celková hodnota financování </w:t>
      </w:r>
      <w:r w:rsidR="00153D8D" w:rsidRPr="009A1EC2">
        <w:rPr>
          <w:rFonts w:cs="Calibri"/>
          <w:b/>
          <w:bCs/>
          <w:sz w:val="24"/>
          <w:szCs w:val="24"/>
        </w:rPr>
        <w:t xml:space="preserve">započítává mzdy na vysoce kvalifikované pracovníky, náklady na zajištění úřadu, náklady na vybavení a </w:t>
      </w:r>
      <w:r w:rsidR="00153D8D" w:rsidRPr="00CC5963">
        <w:rPr>
          <w:rFonts w:eastAsia="Times New Roman" w:cs="Calibri"/>
          <w:b/>
          <w:bCs/>
          <w:color w:val="auto"/>
          <w:sz w:val="24"/>
          <w:szCs w:val="24"/>
          <w:lang w:eastAsia="cs-CZ"/>
        </w:rPr>
        <w:t>robustní</w:t>
      </w:r>
      <w:r w:rsidR="00153D8D" w:rsidRPr="009A1EC2">
        <w:rPr>
          <w:rFonts w:cs="Calibri"/>
          <w:b/>
          <w:bCs/>
          <w:sz w:val="24"/>
          <w:szCs w:val="24"/>
        </w:rPr>
        <w:t xml:space="preserve"> infrastrukturu sandboxu.</w:t>
      </w:r>
      <w:r w:rsidR="00404718" w:rsidRPr="009A1EC2">
        <w:rPr>
          <w:rFonts w:cs="Calibri"/>
          <w:b/>
          <w:bCs/>
          <w:sz w:val="24"/>
          <w:szCs w:val="24"/>
        </w:rPr>
        <w:t xml:space="preserve"> </w:t>
      </w:r>
    </w:p>
    <w:p w14:paraId="52B6A4A2" w14:textId="77777777" w:rsidR="00F36206" w:rsidRDefault="00F36206">
      <w:pPr>
        <w:suppressAutoHyphens w:val="0"/>
        <w:spacing w:after="200" w:line="276" w:lineRule="auto"/>
        <w:rPr>
          <w:rFonts w:cs="Calibri"/>
          <w:b/>
          <w:bCs/>
          <w:sz w:val="24"/>
          <w:szCs w:val="24"/>
        </w:rPr>
      </w:pPr>
      <w:r>
        <w:rPr>
          <w:rFonts w:cs="Calibri"/>
          <w:b/>
          <w:bCs/>
          <w:sz w:val="24"/>
          <w:szCs w:val="24"/>
        </w:rPr>
        <w:br w:type="page"/>
      </w:r>
    </w:p>
    <w:p w14:paraId="2B426173" w14:textId="77777777" w:rsidR="00503A5D" w:rsidRDefault="00B842A1">
      <w:pPr>
        <w:pStyle w:val="Nadpis1"/>
      </w:pPr>
      <w:bookmarkStart w:id="31" w:name="_Toc193380594"/>
      <w:bookmarkStart w:id="32" w:name="_Toc194654529"/>
      <w:r>
        <w:lastRenderedPageBreak/>
        <w:t>Příloh</w:t>
      </w:r>
      <w:r w:rsidR="00503A5D">
        <w:t>y</w:t>
      </w:r>
      <w:bookmarkEnd w:id="32"/>
      <w:r>
        <w:t xml:space="preserve"> </w:t>
      </w:r>
    </w:p>
    <w:p w14:paraId="69425997" w14:textId="550C0E5A" w:rsidR="00BC29B7" w:rsidRDefault="008A0D9B" w:rsidP="00503A5D">
      <w:pPr>
        <w:pStyle w:val="Nadpis1"/>
        <w:numPr>
          <w:ilvl w:val="0"/>
          <w:numId w:val="0"/>
        </w:numPr>
        <w:ind w:left="432"/>
      </w:pPr>
      <w:bookmarkStart w:id="33" w:name="_Toc194654530"/>
      <w:r>
        <w:t xml:space="preserve">Příloha </w:t>
      </w:r>
      <w:r w:rsidR="00B842A1">
        <w:t>I. Dosavadní podpora rozvoje AI v ČR ze strany MPO</w:t>
      </w:r>
      <w:bookmarkEnd w:id="31"/>
      <w:bookmarkEnd w:id="33"/>
      <w:r w:rsidR="00B842A1">
        <w:t xml:space="preserve"> </w:t>
      </w:r>
    </w:p>
    <w:p w14:paraId="470162A6" w14:textId="67B8D412" w:rsidR="00BC29B7" w:rsidRDefault="00B842A1">
      <w:pPr>
        <w:spacing w:before="240" w:after="240"/>
        <w:jc w:val="both"/>
        <w:rPr>
          <w:rFonts w:eastAsia="Arial" w:cs="Calibri"/>
          <w:b/>
          <w:bCs/>
          <w:sz w:val="24"/>
          <w:szCs w:val="24"/>
        </w:rPr>
      </w:pPr>
      <w:r>
        <w:rPr>
          <w:rFonts w:eastAsia="Arial" w:cs="Calibri"/>
          <w:sz w:val="24"/>
          <w:szCs w:val="24"/>
        </w:rPr>
        <w:t xml:space="preserve"> </w:t>
      </w:r>
      <w:r>
        <w:rPr>
          <w:rFonts w:eastAsia="Arial" w:cs="Calibri"/>
          <w:b/>
          <w:bCs/>
          <w:sz w:val="24"/>
          <w:szCs w:val="24"/>
        </w:rPr>
        <w:t>Národní strategie umělé inteligence ČR 2030</w:t>
      </w:r>
    </w:p>
    <w:p w14:paraId="1B325C2A" w14:textId="453D5A4B" w:rsidR="00BC29B7" w:rsidRPr="009A1EC2" w:rsidRDefault="00B842A1">
      <w:pPr>
        <w:pStyle w:val="Odstavecseseznamem"/>
        <w:numPr>
          <w:ilvl w:val="0"/>
          <w:numId w:val="13"/>
        </w:numPr>
        <w:spacing w:after="0"/>
        <w:jc w:val="both"/>
        <w:rPr>
          <w:rFonts w:eastAsia="Arial" w:cs="Calibri"/>
          <w:sz w:val="24"/>
          <w:szCs w:val="24"/>
        </w:rPr>
      </w:pPr>
      <w:r w:rsidRPr="009A1EC2">
        <w:rPr>
          <w:rFonts w:eastAsia="Arial" w:cs="Calibri"/>
          <w:sz w:val="24"/>
          <w:szCs w:val="24"/>
        </w:rPr>
        <w:t>Materiál je základním strategickým dokumentem rozvoje AI v ČR do roku 2030</w:t>
      </w:r>
      <w:r w:rsidR="005A6F23">
        <w:rPr>
          <w:rFonts w:eastAsia="Arial" w:cs="Calibri"/>
          <w:sz w:val="24"/>
          <w:szCs w:val="24"/>
        </w:rPr>
        <w:t>;</w:t>
      </w:r>
    </w:p>
    <w:p w14:paraId="76067346" w14:textId="582A8997" w:rsidR="00BC29B7" w:rsidRPr="009A1EC2" w:rsidRDefault="00B842A1">
      <w:pPr>
        <w:pStyle w:val="Odstavecseseznamem"/>
        <w:numPr>
          <w:ilvl w:val="0"/>
          <w:numId w:val="13"/>
        </w:numPr>
        <w:spacing w:after="0"/>
        <w:jc w:val="both"/>
        <w:rPr>
          <w:rFonts w:eastAsia="Arial" w:cs="Calibri"/>
          <w:sz w:val="24"/>
          <w:szCs w:val="24"/>
        </w:rPr>
      </w:pPr>
      <w:r w:rsidRPr="009A1EC2">
        <w:rPr>
          <w:rFonts w:eastAsia="Arial" w:cs="Calibri"/>
          <w:sz w:val="24"/>
          <w:szCs w:val="24"/>
        </w:rPr>
        <w:t>MPO koordinuje implementaci a naplňování</w:t>
      </w:r>
      <w:r w:rsidR="005A6F23">
        <w:rPr>
          <w:rFonts w:eastAsia="Arial" w:cs="Calibri"/>
          <w:sz w:val="24"/>
          <w:szCs w:val="24"/>
        </w:rPr>
        <w:t>;</w:t>
      </w:r>
    </w:p>
    <w:p w14:paraId="70813139" w14:textId="5DBDCB7B" w:rsidR="00BC29B7" w:rsidRPr="009A1EC2" w:rsidRDefault="00B842A1">
      <w:pPr>
        <w:pStyle w:val="Odstavecseseznamem"/>
        <w:numPr>
          <w:ilvl w:val="0"/>
          <w:numId w:val="13"/>
        </w:numPr>
        <w:spacing w:after="0"/>
        <w:jc w:val="both"/>
        <w:rPr>
          <w:rFonts w:eastAsia="Arial" w:cs="Calibri"/>
          <w:sz w:val="24"/>
          <w:szCs w:val="24"/>
        </w:rPr>
      </w:pPr>
      <w:r w:rsidRPr="009A1EC2">
        <w:rPr>
          <w:rFonts w:eastAsia="Arial" w:cs="Calibri"/>
          <w:sz w:val="24"/>
          <w:szCs w:val="24"/>
        </w:rPr>
        <w:t>Byla schválena vládou 24/7/2024</w:t>
      </w:r>
      <w:r w:rsidR="005A6F23">
        <w:rPr>
          <w:rFonts w:eastAsia="Arial" w:cs="Calibri"/>
          <w:sz w:val="24"/>
          <w:szCs w:val="24"/>
        </w:rPr>
        <w:t>;</w:t>
      </w:r>
    </w:p>
    <w:p w14:paraId="274A4E05" w14:textId="4B83E9A6" w:rsidR="00BC29B7" w:rsidRPr="009A1EC2" w:rsidRDefault="00B842A1">
      <w:pPr>
        <w:pStyle w:val="Odstavecseseznamem"/>
        <w:numPr>
          <w:ilvl w:val="0"/>
          <w:numId w:val="13"/>
        </w:numPr>
        <w:spacing w:after="0"/>
        <w:jc w:val="both"/>
        <w:rPr>
          <w:rFonts w:eastAsia="Arial" w:cs="Calibri"/>
          <w:sz w:val="24"/>
          <w:szCs w:val="24"/>
        </w:rPr>
      </w:pPr>
      <w:r w:rsidRPr="009A1EC2">
        <w:rPr>
          <w:rFonts w:eastAsia="Arial" w:cs="Calibri"/>
          <w:sz w:val="24"/>
          <w:szCs w:val="24"/>
        </w:rPr>
        <w:t xml:space="preserve">Strategie definuje sedm klíčových oblastí, jako jsou výzkum, vývoj a inovace, vzdělávání a rozvoj dovedností, etické, právní a bezpečnostní aspekty AI a její využití v soukromém i veřejném sektoru. Za jednotlivé oblasti jsou zodpovědné různé instituce, </w:t>
      </w:r>
      <w:r w:rsidR="00B619BB">
        <w:rPr>
          <w:rFonts w:eastAsia="Arial" w:cs="Calibri"/>
          <w:sz w:val="24"/>
          <w:szCs w:val="24"/>
        </w:rPr>
        <w:t xml:space="preserve">kromě Ministerstva průmyslu a obchodu </w:t>
      </w:r>
      <w:r w:rsidRPr="009A1EC2">
        <w:rPr>
          <w:rFonts w:eastAsia="Arial" w:cs="Calibri"/>
          <w:sz w:val="24"/>
          <w:szCs w:val="24"/>
        </w:rPr>
        <w:t>například Ú</w:t>
      </w:r>
      <w:r w:rsidR="00B619BB">
        <w:rPr>
          <w:rFonts w:eastAsia="Arial" w:cs="Calibri"/>
          <w:sz w:val="24"/>
          <w:szCs w:val="24"/>
        </w:rPr>
        <w:t>řad vlády, Rada vlády pro výzkum, vývoj a inovace, Ministerstvo školství, mládeže a tělovýchovy, Ministerstvo práce a sociálních věcí, Ministerstvo vnitra a Nároční úřad pro kybernetickou bezpečnost</w:t>
      </w:r>
      <w:r w:rsidR="005A6F23">
        <w:rPr>
          <w:rFonts w:eastAsia="Arial" w:cs="Calibri"/>
          <w:sz w:val="24"/>
          <w:szCs w:val="24"/>
        </w:rPr>
        <w:t>;</w:t>
      </w:r>
    </w:p>
    <w:p w14:paraId="689FE876" w14:textId="1EA75F85" w:rsidR="00BC29B7" w:rsidRPr="009A1EC2" w:rsidRDefault="00B842A1">
      <w:pPr>
        <w:pStyle w:val="Odstavecseseznamem"/>
        <w:numPr>
          <w:ilvl w:val="0"/>
          <w:numId w:val="13"/>
        </w:numPr>
        <w:spacing w:after="0"/>
        <w:jc w:val="both"/>
        <w:rPr>
          <w:rFonts w:eastAsia="Arial" w:cs="Calibri"/>
          <w:sz w:val="24"/>
          <w:szCs w:val="24"/>
        </w:rPr>
      </w:pPr>
      <w:r w:rsidRPr="009A1EC2">
        <w:rPr>
          <w:rFonts w:eastAsia="Arial" w:cs="Calibri"/>
          <w:sz w:val="24"/>
          <w:szCs w:val="24"/>
        </w:rPr>
        <w:t>Strategie zohledňuje potřeby všech zainteresovaných aktérů – od výzkumníků a vývojářů po koncové uživatele. Uvedené priority jsou rozpracovány do jednotlivých cílů</w:t>
      </w:r>
      <w:r w:rsidR="005A6F23">
        <w:rPr>
          <w:rFonts w:eastAsia="Arial" w:cs="Calibri"/>
          <w:sz w:val="24"/>
          <w:szCs w:val="24"/>
        </w:rPr>
        <w:t>;</w:t>
      </w:r>
    </w:p>
    <w:p w14:paraId="59A5DE1E" w14:textId="77777777" w:rsidR="00BC29B7" w:rsidRPr="009A1EC2" w:rsidRDefault="00B842A1">
      <w:pPr>
        <w:pStyle w:val="Odstavecseseznamem"/>
        <w:numPr>
          <w:ilvl w:val="0"/>
          <w:numId w:val="13"/>
        </w:numPr>
        <w:spacing w:after="0"/>
        <w:jc w:val="both"/>
        <w:rPr>
          <w:rFonts w:eastAsia="Arial" w:cs="Calibri"/>
          <w:sz w:val="24"/>
          <w:szCs w:val="24"/>
        </w:rPr>
      </w:pPr>
      <w:r w:rsidRPr="009A1EC2">
        <w:rPr>
          <w:rFonts w:eastAsia="Arial" w:cs="Calibri"/>
          <w:sz w:val="24"/>
          <w:szCs w:val="24"/>
        </w:rPr>
        <w:t>Gesce Etické a právní aspekty AI: Úřad vlády a u zmocněnkyně pro lidská práva.</w:t>
      </w:r>
    </w:p>
    <w:p w14:paraId="7F62166A" w14:textId="77777777" w:rsidR="00BC29B7" w:rsidRPr="009A1EC2" w:rsidRDefault="00B842A1">
      <w:pPr>
        <w:spacing w:before="240" w:after="240"/>
        <w:jc w:val="both"/>
        <w:rPr>
          <w:rFonts w:eastAsia="Arial" w:cs="Calibri"/>
          <w:b/>
          <w:bCs/>
          <w:sz w:val="24"/>
          <w:szCs w:val="24"/>
        </w:rPr>
      </w:pPr>
      <w:r w:rsidRPr="009A1EC2">
        <w:rPr>
          <w:rFonts w:eastAsia="Arial" w:cs="Calibri"/>
          <w:b/>
          <w:bCs/>
          <w:sz w:val="24"/>
          <w:szCs w:val="24"/>
        </w:rPr>
        <w:t>Národní strategie umělé inteligence ČR 2030 - Akční plán</w:t>
      </w:r>
    </w:p>
    <w:p w14:paraId="7102CB6E" w14:textId="74AA5999" w:rsidR="00BC29B7" w:rsidRPr="009A1EC2" w:rsidRDefault="00B842A1">
      <w:pPr>
        <w:pStyle w:val="Odstavecseseznamem"/>
        <w:numPr>
          <w:ilvl w:val="0"/>
          <w:numId w:val="13"/>
        </w:numPr>
        <w:spacing w:after="0"/>
        <w:jc w:val="both"/>
        <w:rPr>
          <w:rFonts w:eastAsia="Arial" w:cs="Calibri"/>
          <w:sz w:val="24"/>
          <w:szCs w:val="24"/>
        </w:rPr>
      </w:pPr>
      <w:r w:rsidRPr="009A1EC2">
        <w:rPr>
          <w:rFonts w:eastAsia="Arial" w:cs="Calibri"/>
          <w:sz w:val="24"/>
          <w:szCs w:val="24"/>
        </w:rPr>
        <w:t>Dokument s konkrétními opatřeními formou projektů k dosažení stanovených cílů</w:t>
      </w:r>
      <w:r w:rsidR="005A6F23">
        <w:rPr>
          <w:rFonts w:eastAsia="Arial" w:cs="Calibri"/>
          <w:sz w:val="24"/>
          <w:szCs w:val="24"/>
        </w:rPr>
        <w:t>;</w:t>
      </w:r>
    </w:p>
    <w:p w14:paraId="13431C98" w14:textId="16083F78" w:rsidR="00BC29B7" w:rsidRPr="009A1EC2" w:rsidRDefault="00B842A1">
      <w:pPr>
        <w:pStyle w:val="Odstavecseseznamem"/>
        <w:numPr>
          <w:ilvl w:val="0"/>
          <w:numId w:val="13"/>
        </w:numPr>
        <w:spacing w:after="0"/>
        <w:jc w:val="both"/>
        <w:rPr>
          <w:rFonts w:eastAsia="Arial" w:cs="Calibri"/>
          <w:sz w:val="24"/>
          <w:szCs w:val="24"/>
        </w:rPr>
      </w:pPr>
      <w:r w:rsidRPr="009A1EC2">
        <w:rPr>
          <w:rFonts w:eastAsia="Arial" w:cs="Calibri"/>
          <w:sz w:val="24"/>
          <w:szCs w:val="24"/>
        </w:rPr>
        <w:t>Akční plán má finanční nároky a termíny plnění s uvedením gestora</w:t>
      </w:r>
      <w:r w:rsidR="005A6F23">
        <w:rPr>
          <w:rFonts w:eastAsia="Arial" w:cs="Calibri"/>
          <w:sz w:val="24"/>
          <w:szCs w:val="24"/>
        </w:rPr>
        <w:t>;</w:t>
      </w:r>
      <w:r w:rsidRPr="009A1EC2">
        <w:rPr>
          <w:rFonts w:eastAsia="Arial" w:cs="Calibri"/>
          <w:sz w:val="24"/>
          <w:szCs w:val="24"/>
        </w:rPr>
        <w:t xml:space="preserve"> </w:t>
      </w:r>
    </w:p>
    <w:p w14:paraId="541F8438" w14:textId="5577A360" w:rsidR="009A1EC2" w:rsidRDefault="009A1EC2">
      <w:pPr>
        <w:pStyle w:val="Odstavecseseznamem"/>
        <w:numPr>
          <w:ilvl w:val="0"/>
          <w:numId w:val="13"/>
        </w:numPr>
        <w:spacing w:after="0"/>
        <w:jc w:val="both"/>
        <w:rPr>
          <w:rFonts w:eastAsia="Arial" w:cs="Calibri"/>
          <w:sz w:val="24"/>
          <w:szCs w:val="24"/>
        </w:rPr>
      </w:pPr>
      <w:r>
        <w:rPr>
          <w:rFonts w:eastAsia="Arial" w:cs="Calibri"/>
          <w:sz w:val="24"/>
          <w:szCs w:val="24"/>
        </w:rPr>
        <w:t>Akční plán je součástí Implementačních plánů Digitálního Česka, což vyplývá z Národní strategie umělé inteligence</w:t>
      </w:r>
      <w:r w:rsidR="005A6F23">
        <w:rPr>
          <w:rFonts w:eastAsia="Arial" w:cs="Calibri"/>
          <w:sz w:val="24"/>
          <w:szCs w:val="24"/>
        </w:rPr>
        <w:t>,</w:t>
      </w:r>
      <w:r>
        <w:rPr>
          <w:rFonts w:eastAsia="Arial" w:cs="Calibri"/>
          <w:sz w:val="24"/>
          <w:szCs w:val="24"/>
        </w:rPr>
        <w:t xml:space="preserve"> a s povinnosti zadávat projektové záměry do Katalogu záměrů Digitálního Česka</w:t>
      </w:r>
      <w:r w:rsidR="005A6F23">
        <w:rPr>
          <w:rFonts w:eastAsia="Arial" w:cs="Calibri"/>
          <w:sz w:val="24"/>
          <w:szCs w:val="24"/>
        </w:rPr>
        <w:t>;</w:t>
      </w:r>
      <w:r w:rsidR="00B619BB">
        <w:rPr>
          <w:rStyle w:val="Znakapoznpodarou"/>
          <w:rFonts w:eastAsia="Arial" w:cs="Calibri"/>
          <w:sz w:val="24"/>
          <w:szCs w:val="24"/>
        </w:rPr>
        <w:footnoteReference w:id="16"/>
      </w:r>
      <w:r>
        <w:rPr>
          <w:rFonts w:eastAsia="Arial" w:cs="Calibri"/>
          <w:sz w:val="24"/>
          <w:szCs w:val="24"/>
        </w:rPr>
        <w:t xml:space="preserve"> </w:t>
      </w:r>
    </w:p>
    <w:p w14:paraId="3F29D0D6" w14:textId="69C39056" w:rsidR="00B619BB" w:rsidRDefault="00B619BB">
      <w:pPr>
        <w:pStyle w:val="Odstavecseseznamem"/>
        <w:numPr>
          <w:ilvl w:val="0"/>
          <w:numId w:val="13"/>
        </w:numPr>
        <w:spacing w:after="0"/>
        <w:jc w:val="both"/>
        <w:rPr>
          <w:rFonts w:eastAsia="Arial" w:cs="Calibri"/>
          <w:sz w:val="24"/>
          <w:szCs w:val="24"/>
        </w:rPr>
      </w:pPr>
      <w:r w:rsidRPr="00B619BB">
        <w:rPr>
          <w:rFonts w:eastAsia="Arial" w:cs="Calibri"/>
          <w:sz w:val="24"/>
          <w:szCs w:val="24"/>
        </w:rPr>
        <w:t>Akční plán</w:t>
      </w:r>
      <w:r>
        <w:rPr>
          <w:rFonts w:eastAsia="Arial" w:cs="Calibri"/>
          <w:sz w:val="24"/>
          <w:szCs w:val="24"/>
        </w:rPr>
        <w:t xml:space="preserve"> </w:t>
      </w:r>
      <w:r w:rsidRPr="00B619BB">
        <w:rPr>
          <w:rFonts w:eastAsia="Arial" w:cs="Calibri"/>
          <w:sz w:val="24"/>
          <w:szCs w:val="24"/>
        </w:rPr>
        <w:t>obsahuje konkrétní iniciativy, jako jsou dotační programy,</w:t>
      </w:r>
      <w:r>
        <w:rPr>
          <w:rFonts w:eastAsia="Arial" w:cs="Calibri"/>
          <w:sz w:val="24"/>
          <w:szCs w:val="24"/>
        </w:rPr>
        <w:t xml:space="preserve"> programy na podporu digitalizace podniků či na výzkumné projekty, </w:t>
      </w:r>
      <w:r w:rsidRPr="00B619BB">
        <w:rPr>
          <w:rFonts w:eastAsia="Arial" w:cs="Calibri"/>
          <w:sz w:val="24"/>
          <w:szCs w:val="24"/>
        </w:rPr>
        <w:t>manuály pro podniky, rekvalifikační kurzy a zavádění nových AI řešení</w:t>
      </w:r>
      <w:r w:rsidR="005A6F23">
        <w:rPr>
          <w:rFonts w:eastAsia="Arial" w:cs="Calibri"/>
          <w:sz w:val="24"/>
          <w:szCs w:val="24"/>
        </w:rPr>
        <w:t>;</w:t>
      </w:r>
    </w:p>
    <w:p w14:paraId="10ACC0C6" w14:textId="3F19F279" w:rsidR="00BC29B7" w:rsidRPr="009A1EC2" w:rsidRDefault="00B842A1">
      <w:pPr>
        <w:pStyle w:val="Odstavecseseznamem"/>
        <w:numPr>
          <w:ilvl w:val="0"/>
          <w:numId w:val="13"/>
        </w:numPr>
        <w:spacing w:after="0"/>
        <w:jc w:val="both"/>
        <w:rPr>
          <w:rFonts w:eastAsia="Arial" w:cs="Calibri"/>
          <w:sz w:val="24"/>
          <w:szCs w:val="24"/>
        </w:rPr>
      </w:pPr>
      <w:r w:rsidRPr="009A1EC2">
        <w:rPr>
          <w:rFonts w:eastAsia="Arial" w:cs="Calibri"/>
          <w:sz w:val="24"/>
          <w:szCs w:val="24"/>
        </w:rPr>
        <w:t>Pravidelná roční aktualizace</w:t>
      </w:r>
      <w:r w:rsidR="005A6F23">
        <w:rPr>
          <w:rFonts w:eastAsia="Arial" w:cs="Calibri"/>
          <w:sz w:val="24"/>
          <w:szCs w:val="24"/>
        </w:rPr>
        <w:t>;</w:t>
      </w:r>
      <w:r w:rsidRPr="009A1EC2">
        <w:rPr>
          <w:rFonts w:eastAsia="Arial" w:cs="Calibri"/>
          <w:sz w:val="24"/>
          <w:szCs w:val="24"/>
        </w:rPr>
        <w:t xml:space="preserve"> </w:t>
      </w:r>
    </w:p>
    <w:p w14:paraId="4E6C1F54" w14:textId="0E8513C1" w:rsidR="00BC29B7" w:rsidRPr="009A1EC2" w:rsidRDefault="00B842A1">
      <w:pPr>
        <w:pStyle w:val="Odstavecseseznamem"/>
        <w:numPr>
          <w:ilvl w:val="0"/>
          <w:numId w:val="13"/>
        </w:numPr>
        <w:spacing w:after="0"/>
        <w:jc w:val="both"/>
        <w:rPr>
          <w:rFonts w:eastAsia="Arial" w:cs="Calibri"/>
          <w:sz w:val="24"/>
          <w:szCs w:val="24"/>
        </w:rPr>
      </w:pPr>
      <w:r w:rsidRPr="009A1EC2">
        <w:rPr>
          <w:rFonts w:eastAsia="Arial" w:cs="Calibri"/>
          <w:sz w:val="24"/>
          <w:szCs w:val="24"/>
        </w:rPr>
        <w:t>Akční plán koordinovalo MPO – nutno schválit vládou v rámci Implementačních plánů Digitálního Česka 2025 – v gesci Ú</w:t>
      </w:r>
      <w:r w:rsidR="005A6F23">
        <w:rPr>
          <w:rFonts w:eastAsia="Arial" w:cs="Calibri"/>
          <w:sz w:val="24"/>
          <w:szCs w:val="24"/>
        </w:rPr>
        <w:t>řadu vlády;</w:t>
      </w:r>
      <w:r w:rsidRPr="009A1EC2">
        <w:rPr>
          <w:rFonts w:eastAsia="Arial" w:cs="Calibri"/>
          <w:sz w:val="24"/>
          <w:szCs w:val="24"/>
        </w:rPr>
        <w:t xml:space="preserve"> </w:t>
      </w:r>
    </w:p>
    <w:p w14:paraId="24FACA96" w14:textId="225384CB" w:rsidR="00BC29B7" w:rsidRDefault="00B842A1">
      <w:pPr>
        <w:pStyle w:val="Odstavecseseznamem"/>
        <w:numPr>
          <w:ilvl w:val="0"/>
          <w:numId w:val="13"/>
        </w:numPr>
        <w:spacing w:after="0"/>
        <w:jc w:val="both"/>
        <w:rPr>
          <w:rFonts w:eastAsia="Arial" w:cs="Calibri"/>
          <w:sz w:val="24"/>
          <w:szCs w:val="24"/>
        </w:rPr>
      </w:pPr>
      <w:r w:rsidRPr="009A1EC2">
        <w:rPr>
          <w:rFonts w:eastAsia="Arial" w:cs="Calibri"/>
          <w:sz w:val="24"/>
          <w:szCs w:val="24"/>
        </w:rPr>
        <w:t xml:space="preserve">Akční plán </w:t>
      </w:r>
      <w:r w:rsidR="009A1EC2">
        <w:rPr>
          <w:rFonts w:eastAsia="Arial" w:cs="Calibri"/>
          <w:sz w:val="24"/>
          <w:szCs w:val="24"/>
        </w:rPr>
        <w:t xml:space="preserve">pro rok 2025 je </w:t>
      </w:r>
      <w:r w:rsidRPr="009A1EC2">
        <w:rPr>
          <w:rFonts w:eastAsia="Arial" w:cs="Calibri"/>
          <w:sz w:val="24"/>
          <w:szCs w:val="24"/>
        </w:rPr>
        <w:t>v celkové hodnotě 19 mld. Kč.</w:t>
      </w:r>
      <w:r w:rsidR="009A1EC2">
        <w:rPr>
          <w:rFonts w:eastAsia="Arial" w:cs="Calibri"/>
          <w:sz w:val="24"/>
          <w:szCs w:val="24"/>
        </w:rPr>
        <w:t xml:space="preserve"> Některé projekty jsou termínované až do roku 2031</w:t>
      </w:r>
      <w:r w:rsidR="005A6F23">
        <w:rPr>
          <w:rFonts w:eastAsia="Arial" w:cs="Calibri"/>
          <w:sz w:val="24"/>
          <w:szCs w:val="24"/>
        </w:rPr>
        <w:t>;</w:t>
      </w:r>
      <w:r w:rsidR="009A1EC2">
        <w:rPr>
          <w:rFonts w:eastAsia="Arial" w:cs="Calibri"/>
          <w:sz w:val="24"/>
          <w:szCs w:val="24"/>
        </w:rPr>
        <w:t xml:space="preserve"> </w:t>
      </w:r>
      <w:r w:rsidRPr="009A1EC2">
        <w:rPr>
          <w:rFonts w:eastAsia="Arial" w:cs="Calibri"/>
          <w:sz w:val="24"/>
          <w:szCs w:val="24"/>
        </w:rPr>
        <w:t xml:space="preserve"> </w:t>
      </w:r>
    </w:p>
    <w:p w14:paraId="19099150" w14:textId="791A23A1" w:rsidR="006A6957" w:rsidRDefault="006A6957">
      <w:pPr>
        <w:pStyle w:val="Odstavecseseznamem"/>
        <w:numPr>
          <w:ilvl w:val="0"/>
          <w:numId w:val="13"/>
        </w:numPr>
        <w:spacing w:after="0"/>
        <w:jc w:val="both"/>
        <w:rPr>
          <w:rFonts w:eastAsia="Arial" w:cs="Calibri"/>
          <w:sz w:val="24"/>
          <w:szCs w:val="24"/>
        </w:rPr>
      </w:pPr>
      <w:r>
        <w:rPr>
          <w:rFonts w:eastAsia="Arial" w:cs="Calibri"/>
          <w:sz w:val="24"/>
          <w:szCs w:val="24"/>
        </w:rPr>
        <w:t>Na Výboru pro AI dne 17. 3. 2025 byli vyzváni jednotliví spolugestoři, aby zahájili práci na projektových záměrech</w:t>
      </w:r>
      <w:r w:rsidR="005A6F23">
        <w:rPr>
          <w:rFonts w:eastAsia="Arial" w:cs="Calibri"/>
          <w:sz w:val="24"/>
          <w:szCs w:val="24"/>
        </w:rPr>
        <w:t>;</w:t>
      </w:r>
      <w:r>
        <w:rPr>
          <w:rFonts w:eastAsia="Arial" w:cs="Calibri"/>
          <w:sz w:val="24"/>
          <w:szCs w:val="24"/>
        </w:rPr>
        <w:t xml:space="preserve"> </w:t>
      </w:r>
    </w:p>
    <w:p w14:paraId="068AEFB3" w14:textId="7D2B08A9" w:rsidR="006A6957" w:rsidRPr="009A1EC2" w:rsidRDefault="006A6957">
      <w:pPr>
        <w:pStyle w:val="Odstavecseseznamem"/>
        <w:numPr>
          <w:ilvl w:val="0"/>
          <w:numId w:val="13"/>
        </w:numPr>
        <w:spacing w:after="0"/>
        <w:jc w:val="both"/>
        <w:rPr>
          <w:rFonts w:eastAsia="Arial" w:cs="Calibri"/>
          <w:sz w:val="24"/>
          <w:szCs w:val="24"/>
        </w:rPr>
      </w:pPr>
      <w:r>
        <w:rPr>
          <w:rFonts w:eastAsia="Arial" w:cs="Calibri"/>
          <w:sz w:val="24"/>
          <w:szCs w:val="24"/>
        </w:rPr>
        <w:t>B</w:t>
      </w:r>
      <w:r w:rsidR="00F36206">
        <w:rPr>
          <w:rFonts w:eastAsia="Arial" w:cs="Calibri"/>
          <w:sz w:val="24"/>
          <w:szCs w:val="24"/>
        </w:rPr>
        <w:t xml:space="preserve">ude </w:t>
      </w:r>
      <w:r>
        <w:rPr>
          <w:rFonts w:eastAsia="Arial" w:cs="Calibri"/>
          <w:sz w:val="24"/>
          <w:szCs w:val="24"/>
        </w:rPr>
        <w:t xml:space="preserve">schválen vládou </w:t>
      </w:r>
      <w:r w:rsidR="00F36206">
        <w:rPr>
          <w:rFonts w:eastAsia="Arial" w:cs="Calibri"/>
          <w:sz w:val="24"/>
          <w:szCs w:val="24"/>
        </w:rPr>
        <w:t>v dubnu t.r.</w:t>
      </w:r>
      <w:r>
        <w:rPr>
          <w:rFonts w:eastAsia="Arial" w:cs="Calibri"/>
          <w:sz w:val="24"/>
          <w:szCs w:val="24"/>
        </w:rPr>
        <w:t xml:space="preserve"> </w:t>
      </w:r>
    </w:p>
    <w:p w14:paraId="4A6149E8" w14:textId="77777777" w:rsidR="00B76BAC" w:rsidRDefault="00B76BAC">
      <w:pPr>
        <w:suppressAutoHyphens w:val="0"/>
        <w:spacing w:after="200" w:line="276" w:lineRule="auto"/>
        <w:rPr>
          <w:rFonts w:eastAsia="Arial" w:cs="Calibri"/>
          <w:sz w:val="24"/>
          <w:szCs w:val="24"/>
        </w:rPr>
      </w:pPr>
      <w:r>
        <w:rPr>
          <w:rFonts w:eastAsia="Arial" w:cs="Calibri"/>
          <w:sz w:val="24"/>
          <w:szCs w:val="24"/>
        </w:rPr>
        <w:br w:type="page"/>
      </w:r>
    </w:p>
    <w:p w14:paraId="163EC86E" w14:textId="73381A99" w:rsidR="00BC29B7" w:rsidRDefault="00B842A1">
      <w:pPr>
        <w:spacing w:before="240" w:after="240"/>
        <w:jc w:val="both"/>
        <w:rPr>
          <w:rFonts w:eastAsia="Arial" w:cs="Calibri"/>
          <w:b/>
          <w:bCs/>
          <w:sz w:val="24"/>
          <w:szCs w:val="24"/>
        </w:rPr>
      </w:pPr>
      <w:r w:rsidRPr="009A1EC2">
        <w:rPr>
          <w:rFonts w:eastAsia="Arial" w:cs="Calibri"/>
          <w:sz w:val="24"/>
          <w:szCs w:val="24"/>
        </w:rPr>
        <w:lastRenderedPageBreak/>
        <w:t xml:space="preserve"> </w:t>
      </w:r>
      <w:r>
        <w:rPr>
          <w:rFonts w:eastAsia="Arial" w:cs="Calibri"/>
          <w:b/>
          <w:bCs/>
          <w:sz w:val="24"/>
          <w:szCs w:val="24"/>
        </w:rPr>
        <w:t>Výbor pro AI – meziresortní orgán pro naplňování AI politiky v ČR</w:t>
      </w:r>
    </w:p>
    <w:p w14:paraId="019BF33D" w14:textId="762AA62E" w:rsidR="00BC29B7" w:rsidRDefault="00B842A1">
      <w:pPr>
        <w:pStyle w:val="Odstavecseseznamem"/>
        <w:numPr>
          <w:ilvl w:val="0"/>
          <w:numId w:val="14"/>
        </w:numPr>
        <w:spacing w:after="0"/>
        <w:jc w:val="both"/>
        <w:rPr>
          <w:rFonts w:eastAsia="Arial" w:cs="Calibri"/>
          <w:sz w:val="24"/>
          <w:szCs w:val="24"/>
        </w:rPr>
      </w:pPr>
      <w:r>
        <w:rPr>
          <w:rFonts w:eastAsia="Arial" w:cs="Calibri"/>
          <w:sz w:val="24"/>
          <w:szCs w:val="24"/>
        </w:rPr>
        <w:t>Zabezpečuje a koordinuje MPO</w:t>
      </w:r>
      <w:r w:rsidR="005A6F23">
        <w:rPr>
          <w:rFonts w:eastAsia="Arial" w:cs="Calibri"/>
          <w:sz w:val="24"/>
          <w:szCs w:val="24"/>
        </w:rPr>
        <w:t>;</w:t>
      </w:r>
    </w:p>
    <w:p w14:paraId="56CF2561" w14:textId="5A8E2C19" w:rsidR="00BC29B7" w:rsidRDefault="00B842A1">
      <w:pPr>
        <w:pStyle w:val="Odstavecseseznamem"/>
        <w:numPr>
          <w:ilvl w:val="0"/>
          <w:numId w:val="14"/>
        </w:numPr>
        <w:spacing w:after="0"/>
        <w:jc w:val="both"/>
        <w:rPr>
          <w:rFonts w:eastAsia="Arial" w:cs="Calibri"/>
          <w:sz w:val="24"/>
          <w:szCs w:val="24"/>
        </w:rPr>
      </w:pPr>
      <w:r>
        <w:rPr>
          <w:rFonts w:eastAsia="Arial" w:cs="Calibri"/>
          <w:sz w:val="24"/>
          <w:szCs w:val="24"/>
        </w:rPr>
        <w:t>Dohlíží na plnění cílů Národní strategie AI a její aktualizaci a na plnění akčního plánu. Monitor</w:t>
      </w:r>
      <w:r w:rsidR="005A6F23">
        <w:rPr>
          <w:rFonts w:eastAsia="Arial" w:cs="Calibri"/>
          <w:sz w:val="24"/>
          <w:szCs w:val="24"/>
        </w:rPr>
        <w:t>uje</w:t>
      </w:r>
      <w:r>
        <w:rPr>
          <w:rFonts w:eastAsia="Arial" w:cs="Calibri"/>
          <w:sz w:val="24"/>
          <w:szCs w:val="24"/>
        </w:rPr>
        <w:t xml:space="preserve"> pokrok strategie a hodnotí dosažené výsledky</w:t>
      </w:r>
      <w:r w:rsidR="005A6F23">
        <w:rPr>
          <w:rFonts w:eastAsia="Arial" w:cs="Calibri"/>
          <w:sz w:val="24"/>
          <w:szCs w:val="24"/>
        </w:rPr>
        <w:t>;</w:t>
      </w:r>
    </w:p>
    <w:p w14:paraId="63D9D93F" w14:textId="1B3EB0B9" w:rsidR="00BC29B7" w:rsidRDefault="00B842A1">
      <w:pPr>
        <w:pStyle w:val="Odstavecseseznamem"/>
        <w:numPr>
          <w:ilvl w:val="0"/>
          <w:numId w:val="14"/>
        </w:numPr>
        <w:spacing w:after="0"/>
        <w:jc w:val="both"/>
        <w:rPr>
          <w:rFonts w:eastAsia="Arial" w:cs="Calibri"/>
          <w:sz w:val="24"/>
          <w:szCs w:val="24"/>
        </w:rPr>
      </w:pPr>
      <w:r>
        <w:rPr>
          <w:rFonts w:eastAsia="Arial" w:cs="Calibri"/>
          <w:sz w:val="24"/>
          <w:szCs w:val="24"/>
        </w:rPr>
        <w:t>Podporuje spolupráci mezi sektory</w:t>
      </w:r>
      <w:r w:rsidR="005A6F23">
        <w:rPr>
          <w:rFonts w:eastAsia="Arial" w:cs="Calibri"/>
          <w:sz w:val="24"/>
          <w:szCs w:val="24"/>
        </w:rPr>
        <w:t>;</w:t>
      </w:r>
    </w:p>
    <w:p w14:paraId="3770377B" w14:textId="4F0E636D" w:rsidR="00BC29B7" w:rsidRDefault="00B842A1">
      <w:pPr>
        <w:pStyle w:val="Odstavecseseznamem"/>
        <w:numPr>
          <w:ilvl w:val="0"/>
          <w:numId w:val="14"/>
        </w:numPr>
        <w:spacing w:after="0"/>
        <w:jc w:val="both"/>
        <w:rPr>
          <w:rFonts w:eastAsia="Arial" w:cs="Calibri"/>
          <w:sz w:val="24"/>
          <w:szCs w:val="24"/>
        </w:rPr>
      </w:pPr>
      <w:r>
        <w:rPr>
          <w:rFonts w:eastAsia="Arial" w:cs="Calibri"/>
          <w:sz w:val="24"/>
          <w:szCs w:val="24"/>
        </w:rPr>
        <w:t>Funguje jako platforma pro komunikaci a spolupráci mezi veřejným sektorem, akademickou sférou a soukromými podniky</w:t>
      </w:r>
      <w:r w:rsidR="005A6F23">
        <w:rPr>
          <w:rFonts w:eastAsia="Arial" w:cs="Calibri"/>
          <w:sz w:val="24"/>
          <w:szCs w:val="24"/>
        </w:rPr>
        <w:t>;</w:t>
      </w:r>
    </w:p>
    <w:p w14:paraId="670D2B3E" w14:textId="76092B9B" w:rsidR="00BC29B7" w:rsidRDefault="00B842A1">
      <w:pPr>
        <w:pStyle w:val="Odstavecseseznamem"/>
        <w:numPr>
          <w:ilvl w:val="0"/>
          <w:numId w:val="14"/>
        </w:numPr>
        <w:spacing w:after="0"/>
        <w:jc w:val="both"/>
        <w:rPr>
          <w:rFonts w:eastAsia="Arial" w:cs="Calibri"/>
          <w:sz w:val="24"/>
          <w:szCs w:val="24"/>
        </w:rPr>
      </w:pPr>
      <w:r>
        <w:rPr>
          <w:rFonts w:eastAsia="Arial" w:cs="Calibri"/>
          <w:sz w:val="24"/>
          <w:szCs w:val="24"/>
        </w:rPr>
        <w:t>Poskytuje návrhy a doporučení týkající se politiky a regulace v oblasti umělé inteligence</w:t>
      </w:r>
      <w:r w:rsidR="005A6F23">
        <w:rPr>
          <w:rFonts w:eastAsia="Arial" w:cs="Calibri"/>
          <w:sz w:val="24"/>
          <w:szCs w:val="24"/>
        </w:rPr>
        <w:t>;</w:t>
      </w:r>
    </w:p>
    <w:p w14:paraId="7F40E740" w14:textId="58DABF6F" w:rsidR="00BC29B7" w:rsidRDefault="00B842A1">
      <w:pPr>
        <w:pStyle w:val="Odstavecseseznamem"/>
        <w:numPr>
          <w:ilvl w:val="0"/>
          <w:numId w:val="14"/>
        </w:numPr>
        <w:spacing w:after="0"/>
        <w:jc w:val="both"/>
        <w:rPr>
          <w:rFonts w:eastAsia="Arial" w:cs="Calibri"/>
          <w:sz w:val="24"/>
          <w:szCs w:val="24"/>
        </w:rPr>
      </w:pPr>
      <w:r>
        <w:rPr>
          <w:rFonts w:eastAsia="Arial" w:cs="Calibri"/>
          <w:sz w:val="24"/>
          <w:szCs w:val="24"/>
        </w:rPr>
        <w:t>Schvaluje Akční plán Národní strategie umělé inteligence</w:t>
      </w:r>
      <w:r w:rsidR="005A6F23">
        <w:rPr>
          <w:rFonts w:eastAsia="Arial" w:cs="Calibri"/>
          <w:sz w:val="24"/>
          <w:szCs w:val="24"/>
        </w:rPr>
        <w:t>;</w:t>
      </w:r>
    </w:p>
    <w:p w14:paraId="77F47A82" w14:textId="5AEEF557" w:rsidR="00BC29B7" w:rsidRDefault="00B842A1">
      <w:pPr>
        <w:pStyle w:val="Odstavecseseznamem"/>
        <w:numPr>
          <w:ilvl w:val="0"/>
          <w:numId w:val="14"/>
        </w:numPr>
        <w:spacing w:after="0"/>
        <w:jc w:val="both"/>
        <w:rPr>
          <w:rFonts w:eastAsia="Arial" w:cs="Calibri"/>
          <w:sz w:val="24"/>
          <w:szCs w:val="24"/>
        </w:rPr>
      </w:pPr>
      <w:r>
        <w:rPr>
          <w:rFonts w:eastAsia="Arial" w:cs="Calibri"/>
          <w:sz w:val="24"/>
          <w:szCs w:val="24"/>
        </w:rPr>
        <w:t>Koordinuje Strategickou pracovní skupinu pro AI a Pracovní skupinu pro klíčovou oblast AI v průmyslu a v</w:t>
      </w:r>
      <w:r w:rsidR="005A6F23">
        <w:rPr>
          <w:rFonts w:eastAsia="Arial" w:cs="Calibri"/>
          <w:sz w:val="24"/>
          <w:szCs w:val="24"/>
        </w:rPr>
        <w:t> </w:t>
      </w:r>
      <w:r>
        <w:rPr>
          <w:rFonts w:eastAsia="Arial" w:cs="Calibri"/>
          <w:sz w:val="24"/>
          <w:szCs w:val="24"/>
        </w:rPr>
        <w:t>podnikání</w:t>
      </w:r>
      <w:r w:rsidR="005A6F23">
        <w:rPr>
          <w:rFonts w:eastAsia="Arial" w:cs="Calibri"/>
          <w:sz w:val="24"/>
          <w:szCs w:val="24"/>
        </w:rPr>
        <w:t>.</w:t>
      </w:r>
      <w:r>
        <w:rPr>
          <w:rFonts w:eastAsia="Arial" w:cs="Calibri"/>
          <w:sz w:val="24"/>
          <w:szCs w:val="24"/>
        </w:rPr>
        <w:t xml:space="preserve">  </w:t>
      </w:r>
    </w:p>
    <w:p w14:paraId="7885A57C" w14:textId="3FABABAF" w:rsidR="00BC29B7" w:rsidRDefault="00B842A1">
      <w:pPr>
        <w:spacing w:before="240" w:after="240"/>
        <w:jc w:val="both"/>
        <w:rPr>
          <w:rFonts w:eastAsia="Arial" w:cs="Calibri"/>
          <w:b/>
          <w:bCs/>
          <w:sz w:val="24"/>
          <w:szCs w:val="24"/>
        </w:rPr>
      </w:pPr>
      <w:r>
        <w:rPr>
          <w:rFonts w:eastAsia="Arial" w:cs="Calibri"/>
          <w:sz w:val="24"/>
          <w:szCs w:val="24"/>
        </w:rPr>
        <w:t xml:space="preserve"> </w:t>
      </w:r>
      <w:r>
        <w:rPr>
          <w:rFonts w:eastAsia="Arial" w:cs="Calibri"/>
          <w:b/>
          <w:bCs/>
          <w:sz w:val="24"/>
          <w:szCs w:val="24"/>
        </w:rPr>
        <w:t xml:space="preserve">Kulatý stůl AI při MPO </w:t>
      </w:r>
    </w:p>
    <w:p w14:paraId="3A2A7C36" w14:textId="611D4D35" w:rsidR="00BC29B7" w:rsidRDefault="00B842A1">
      <w:pPr>
        <w:pStyle w:val="Odstavecseseznamem"/>
        <w:numPr>
          <w:ilvl w:val="0"/>
          <w:numId w:val="15"/>
        </w:numPr>
        <w:spacing w:after="0"/>
        <w:jc w:val="both"/>
        <w:rPr>
          <w:rFonts w:eastAsia="Arial" w:cs="Calibri"/>
          <w:sz w:val="24"/>
          <w:szCs w:val="24"/>
        </w:rPr>
      </w:pPr>
      <w:r>
        <w:rPr>
          <w:rFonts w:eastAsia="Arial" w:cs="Calibri"/>
          <w:sz w:val="24"/>
          <w:szCs w:val="24"/>
        </w:rPr>
        <w:t>Organizuje MPO</w:t>
      </w:r>
      <w:r w:rsidR="005A6F23">
        <w:rPr>
          <w:rFonts w:eastAsia="Arial" w:cs="Calibri"/>
          <w:sz w:val="24"/>
          <w:szCs w:val="24"/>
        </w:rPr>
        <w:t>;</w:t>
      </w:r>
    </w:p>
    <w:p w14:paraId="0AEBE854" w14:textId="1C46F9A7" w:rsidR="00BC29B7" w:rsidRDefault="00B842A1">
      <w:pPr>
        <w:pStyle w:val="Odstavecseseznamem"/>
        <w:numPr>
          <w:ilvl w:val="0"/>
          <w:numId w:val="15"/>
        </w:numPr>
        <w:spacing w:after="0"/>
        <w:jc w:val="both"/>
        <w:rPr>
          <w:rFonts w:eastAsia="Arial" w:cs="Calibri"/>
          <w:sz w:val="24"/>
          <w:szCs w:val="24"/>
        </w:rPr>
      </w:pPr>
      <w:r>
        <w:rPr>
          <w:rFonts w:eastAsia="Arial" w:cs="Calibri"/>
          <w:sz w:val="24"/>
          <w:szCs w:val="24"/>
        </w:rPr>
        <w:t>Konzultace rozvoje AI s klíčovými stakeholdery a asociacemi</w:t>
      </w:r>
      <w:r w:rsidR="005A6F23">
        <w:rPr>
          <w:rFonts w:eastAsia="Arial" w:cs="Calibri"/>
          <w:sz w:val="24"/>
          <w:szCs w:val="24"/>
        </w:rPr>
        <w:t>.</w:t>
      </w:r>
    </w:p>
    <w:p w14:paraId="0CF84993" w14:textId="4DD545ED" w:rsidR="00BC29B7" w:rsidRDefault="00B842A1">
      <w:pPr>
        <w:spacing w:before="240" w:after="240"/>
        <w:jc w:val="both"/>
        <w:rPr>
          <w:rFonts w:eastAsia="Arial" w:cs="Calibri"/>
          <w:b/>
          <w:bCs/>
          <w:sz w:val="24"/>
          <w:szCs w:val="24"/>
        </w:rPr>
      </w:pPr>
      <w:r>
        <w:rPr>
          <w:rFonts w:eastAsia="Arial" w:cs="Calibri"/>
          <w:sz w:val="24"/>
          <w:szCs w:val="24"/>
        </w:rPr>
        <w:t xml:space="preserve"> </w:t>
      </w:r>
      <w:r>
        <w:rPr>
          <w:rFonts w:eastAsia="Arial" w:cs="Calibri"/>
          <w:b/>
          <w:bCs/>
          <w:sz w:val="24"/>
          <w:szCs w:val="24"/>
        </w:rPr>
        <w:t>Národní kompetenční centrum AI</w:t>
      </w:r>
    </w:p>
    <w:p w14:paraId="05CFF17D" w14:textId="69E4367C" w:rsidR="00A929A2" w:rsidRDefault="00B842A1">
      <w:pPr>
        <w:pStyle w:val="Odstavecseseznamem"/>
        <w:numPr>
          <w:ilvl w:val="0"/>
          <w:numId w:val="16"/>
        </w:numPr>
        <w:spacing w:after="0"/>
        <w:jc w:val="both"/>
        <w:rPr>
          <w:rFonts w:eastAsia="Arial" w:cs="Calibri"/>
          <w:sz w:val="24"/>
          <w:szCs w:val="24"/>
        </w:rPr>
      </w:pPr>
      <w:r>
        <w:rPr>
          <w:rFonts w:eastAsia="Arial" w:cs="Calibri"/>
          <w:sz w:val="24"/>
          <w:szCs w:val="24"/>
        </w:rPr>
        <w:t>Zřizuje MPO</w:t>
      </w:r>
      <w:r w:rsidR="005A6F23">
        <w:rPr>
          <w:rFonts w:eastAsia="Arial" w:cs="Calibri"/>
          <w:sz w:val="24"/>
          <w:szCs w:val="24"/>
        </w:rPr>
        <w:t>;</w:t>
      </w:r>
      <w:r>
        <w:rPr>
          <w:rFonts w:eastAsia="Arial" w:cs="Calibri"/>
          <w:sz w:val="24"/>
          <w:szCs w:val="24"/>
        </w:rPr>
        <w:t xml:space="preserve"> </w:t>
      </w:r>
    </w:p>
    <w:p w14:paraId="2C2B3DB5" w14:textId="730B2370" w:rsidR="00BC29B7" w:rsidRDefault="00B842A1">
      <w:pPr>
        <w:pStyle w:val="Odstavecseseznamem"/>
        <w:numPr>
          <w:ilvl w:val="0"/>
          <w:numId w:val="16"/>
        </w:numPr>
        <w:spacing w:after="0"/>
        <w:jc w:val="both"/>
        <w:rPr>
          <w:rFonts w:eastAsia="Arial" w:cs="Calibri"/>
          <w:sz w:val="24"/>
          <w:szCs w:val="24"/>
        </w:rPr>
      </w:pPr>
      <w:r>
        <w:rPr>
          <w:rFonts w:eastAsia="Arial" w:cs="Calibri"/>
          <w:sz w:val="24"/>
          <w:szCs w:val="24"/>
        </w:rPr>
        <w:t>MPO v roce 2024 zřídilo Kompetenční centrum pro AI</w:t>
      </w:r>
      <w:r w:rsidR="005A6F23">
        <w:rPr>
          <w:rFonts w:eastAsia="Arial" w:cs="Calibri"/>
          <w:sz w:val="24"/>
          <w:szCs w:val="24"/>
        </w:rPr>
        <w:t>;</w:t>
      </w:r>
      <w:r>
        <w:rPr>
          <w:rFonts w:eastAsia="Arial" w:cs="Calibri"/>
          <w:sz w:val="24"/>
          <w:szCs w:val="24"/>
        </w:rPr>
        <w:t xml:space="preserve"> </w:t>
      </w:r>
    </w:p>
    <w:p w14:paraId="11EB102A" w14:textId="77777777" w:rsidR="00BC29B7" w:rsidRDefault="00B842A1">
      <w:pPr>
        <w:pStyle w:val="Odstavecseseznamem"/>
        <w:numPr>
          <w:ilvl w:val="0"/>
          <w:numId w:val="16"/>
        </w:numPr>
        <w:spacing w:after="0"/>
        <w:jc w:val="both"/>
        <w:rPr>
          <w:rFonts w:eastAsia="Arial" w:cs="Calibri"/>
          <w:sz w:val="24"/>
          <w:szCs w:val="24"/>
        </w:rPr>
      </w:pPr>
      <w:r>
        <w:rPr>
          <w:rFonts w:eastAsia="Arial" w:cs="Calibri"/>
          <w:sz w:val="24"/>
          <w:szCs w:val="24"/>
        </w:rPr>
        <w:t>Centrum pro podporu využívání AI ve státní správě.</w:t>
      </w:r>
    </w:p>
    <w:p w14:paraId="4FBB2D1D" w14:textId="0D5B6B37" w:rsidR="00BC29B7" w:rsidRDefault="00B842A1">
      <w:pPr>
        <w:spacing w:before="240" w:after="240"/>
        <w:jc w:val="both"/>
        <w:rPr>
          <w:rFonts w:eastAsia="Arial" w:cs="Calibri"/>
          <w:b/>
          <w:bCs/>
          <w:sz w:val="24"/>
          <w:szCs w:val="24"/>
        </w:rPr>
      </w:pPr>
      <w:r>
        <w:rPr>
          <w:rFonts w:eastAsia="Arial" w:cs="Calibri"/>
          <w:b/>
          <w:bCs/>
          <w:sz w:val="24"/>
          <w:szCs w:val="24"/>
        </w:rPr>
        <w:t xml:space="preserve">Finanční podpora výzkumu, vývoje a inovací v oblasti AI formou programu dotačního programu TWIST </w:t>
      </w:r>
    </w:p>
    <w:p w14:paraId="5ABE96B0" w14:textId="2EE6D8A7" w:rsidR="00BC29B7" w:rsidRDefault="00B842A1">
      <w:pPr>
        <w:pStyle w:val="Odstavecseseznamem"/>
        <w:numPr>
          <w:ilvl w:val="0"/>
          <w:numId w:val="17"/>
        </w:numPr>
        <w:spacing w:after="0"/>
        <w:jc w:val="both"/>
        <w:rPr>
          <w:rFonts w:eastAsia="Arial" w:cs="Calibri"/>
          <w:sz w:val="24"/>
          <w:szCs w:val="24"/>
        </w:rPr>
      </w:pPr>
      <w:r>
        <w:rPr>
          <w:rFonts w:eastAsia="Arial" w:cs="Calibri"/>
          <w:sz w:val="24"/>
          <w:szCs w:val="24"/>
        </w:rPr>
        <w:t>Dotační program MPO</w:t>
      </w:r>
      <w:r w:rsidR="005C48B6">
        <w:rPr>
          <w:rFonts w:eastAsia="Arial" w:cs="Calibri"/>
          <w:sz w:val="24"/>
          <w:szCs w:val="24"/>
        </w:rPr>
        <w:t>;</w:t>
      </w:r>
    </w:p>
    <w:p w14:paraId="3B5B3E29" w14:textId="072CC346" w:rsidR="005C48B6" w:rsidRDefault="00A929A2">
      <w:pPr>
        <w:pStyle w:val="Odstavecseseznamem"/>
        <w:numPr>
          <w:ilvl w:val="0"/>
          <w:numId w:val="17"/>
        </w:numPr>
        <w:spacing w:after="0"/>
        <w:jc w:val="both"/>
        <w:rPr>
          <w:rFonts w:eastAsia="Arial" w:cs="Calibri"/>
          <w:sz w:val="24"/>
          <w:szCs w:val="24"/>
        </w:rPr>
      </w:pPr>
      <w:r w:rsidRPr="00A929A2">
        <w:rPr>
          <w:rFonts w:eastAsia="Arial" w:cs="Calibri"/>
          <w:sz w:val="24"/>
          <w:szCs w:val="24"/>
        </w:rPr>
        <w:t>Program TWIST explicitně cílí na podporu rozvoje strategických technologií, především AI, kvantových technologií, polovodičů a mikroelektroniky, a na posílení transferu dosahovaných výsledků výzkumu a vývoje do praxe</w:t>
      </w:r>
      <w:r w:rsidR="005C48B6">
        <w:rPr>
          <w:rFonts w:eastAsia="Arial" w:cs="Calibri"/>
          <w:sz w:val="24"/>
          <w:szCs w:val="24"/>
        </w:rPr>
        <w:t>;</w:t>
      </w:r>
      <w:r w:rsidRPr="00A929A2">
        <w:rPr>
          <w:rFonts w:eastAsia="Arial" w:cs="Calibri"/>
          <w:sz w:val="24"/>
          <w:szCs w:val="24"/>
        </w:rPr>
        <w:t xml:space="preserve"> </w:t>
      </w:r>
    </w:p>
    <w:p w14:paraId="23BF4DDF" w14:textId="5B4C00F0" w:rsidR="00A929A2" w:rsidRDefault="00A929A2">
      <w:pPr>
        <w:pStyle w:val="Odstavecseseznamem"/>
        <w:numPr>
          <w:ilvl w:val="0"/>
          <w:numId w:val="17"/>
        </w:numPr>
        <w:spacing w:after="0"/>
        <w:jc w:val="both"/>
        <w:rPr>
          <w:rFonts w:eastAsia="Arial" w:cs="Calibri"/>
          <w:sz w:val="24"/>
          <w:szCs w:val="24"/>
        </w:rPr>
      </w:pPr>
      <w:r w:rsidRPr="00A929A2">
        <w:rPr>
          <w:rFonts w:eastAsia="Arial" w:cs="Calibri"/>
          <w:sz w:val="24"/>
          <w:szCs w:val="24"/>
        </w:rPr>
        <w:t>Program bude realizován v období 2025 až 2031 a počítá s celkovou podporou ve výši 5 mld. Kč</w:t>
      </w:r>
      <w:r w:rsidR="005C48B6">
        <w:rPr>
          <w:rFonts w:eastAsia="Arial" w:cs="Calibri"/>
          <w:sz w:val="24"/>
          <w:szCs w:val="24"/>
        </w:rPr>
        <w:t>;</w:t>
      </w:r>
      <w:r w:rsidRPr="00A929A2">
        <w:rPr>
          <w:rFonts w:eastAsia="Arial" w:cs="Calibri"/>
          <w:sz w:val="24"/>
          <w:szCs w:val="24"/>
        </w:rPr>
        <w:t xml:space="preserve">  </w:t>
      </w:r>
    </w:p>
    <w:p w14:paraId="5CA7D705" w14:textId="76F8458F" w:rsidR="00BC29B7" w:rsidRDefault="00A929A2">
      <w:pPr>
        <w:pStyle w:val="Odstavecseseznamem"/>
        <w:numPr>
          <w:ilvl w:val="0"/>
          <w:numId w:val="17"/>
        </w:numPr>
        <w:spacing w:after="0"/>
        <w:jc w:val="both"/>
        <w:rPr>
          <w:rFonts w:eastAsia="Arial" w:cs="Calibri"/>
          <w:sz w:val="24"/>
          <w:szCs w:val="24"/>
        </w:rPr>
      </w:pPr>
      <w:r>
        <w:rPr>
          <w:rFonts w:eastAsia="Arial" w:cs="Calibri"/>
          <w:sz w:val="24"/>
          <w:szCs w:val="24"/>
        </w:rPr>
        <w:t>12. 2. 2025 byla</w:t>
      </w:r>
      <w:r w:rsidR="00B842A1">
        <w:rPr>
          <w:rFonts w:eastAsia="Arial" w:cs="Calibri"/>
          <w:sz w:val="24"/>
          <w:szCs w:val="24"/>
        </w:rPr>
        <w:t xml:space="preserve"> ukončena první výzva na AI v hodnotě 700 mil. Kč, probíhá hodnocení podaných žádostí.</w:t>
      </w:r>
    </w:p>
    <w:p w14:paraId="2D917D0E" w14:textId="4BBC61A3" w:rsidR="00F36206" w:rsidRDefault="00F36206" w:rsidP="00F36206">
      <w:pPr>
        <w:spacing w:after="0"/>
        <w:jc w:val="both"/>
        <w:rPr>
          <w:rFonts w:eastAsia="Arial" w:cs="Calibri"/>
          <w:sz w:val="24"/>
          <w:szCs w:val="24"/>
        </w:rPr>
      </w:pPr>
    </w:p>
    <w:p w14:paraId="14FA7AEA" w14:textId="684A2E89" w:rsidR="00F36206" w:rsidRDefault="00F36206" w:rsidP="00F36206">
      <w:pPr>
        <w:spacing w:after="0"/>
        <w:jc w:val="both"/>
        <w:rPr>
          <w:rFonts w:eastAsia="Arial" w:cs="Calibri"/>
          <w:sz w:val="24"/>
          <w:szCs w:val="24"/>
        </w:rPr>
      </w:pPr>
    </w:p>
    <w:p w14:paraId="00E81B36" w14:textId="63688722" w:rsidR="00F36206" w:rsidRDefault="00F36206" w:rsidP="00F36206">
      <w:pPr>
        <w:spacing w:after="0"/>
        <w:jc w:val="both"/>
        <w:rPr>
          <w:rFonts w:eastAsia="Arial" w:cs="Calibri"/>
          <w:sz w:val="24"/>
          <w:szCs w:val="24"/>
        </w:rPr>
      </w:pPr>
    </w:p>
    <w:p w14:paraId="3C151D1D" w14:textId="110AA6D9" w:rsidR="00F36206" w:rsidRDefault="00F36206" w:rsidP="00F36206">
      <w:pPr>
        <w:spacing w:after="0"/>
        <w:jc w:val="both"/>
        <w:rPr>
          <w:rFonts w:eastAsia="Arial" w:cs="Calibri"/>
          <w:sz w:val="24"/>
          <w:szCs w:val="24"/>
        </w:rPr>
      </w:pPr>
    </w:p>
    <w:p w14:paraId="60AF86FB" w14:textId="48DA3535" w:rsidR="00F36206" w:rsidRDefault="00F36206" w:rsidP="00F36206">
      <w:pPr>
        <w:spacing w:after="0"/>
        <w:jc w:val="both"/>
        <w:rPr>
          <w:rFonts w:eastAsia="Arial" w:cs="Calibri"/>
          <w:sz w:val="24"/>
          <w:szCs w:val="24"/>
        </w:rPr>
      </w:pPr>
    </w:p>
    <w:p w14:paraId="76380CEA" w14:textId="77777777" w:rsidR="00F36206" w:rsidRPr="00F36206" w:rsidRDefault="00F36206" w:rsidP="00F36206">
      <w:pPr>
        <w:spacing w:after="0"/>
        <w:jc w:val="both"/>
        <w:rPr>
          <w:rFonts w:eastAsia="Arial" w:cs="Calibri"/>
          <w:sz w:val="24"/>
          <w:szCs w:val="24"/>
        </w:rPr>
      </w:pPr>
    </w:p>
    <w:p w14:paraId="3BA93E7D" w14:textId="77777777" w:rsidR="00B76BAC" w:rsidRDefault="00B76BAC">
      <w:pPr>
        <w:suppressAutoHyphens w:val="0"/>
        <w:spacing w:after="200" w:line="276" w:lineRule="auto"/>
        <w:rPr>
          <w:rFonts w:eastAsia="Arial" w:cs="Calibri"/>
          <w:b/>
          <w:bCs/>
          <w:sz w:val="24"/>
          <w:szCs w:val="24"/>
        </w:rPr>
      </w:pPr>
      <w:r>
        <w:rPr>
          <w:rFonts w:eastAsia="Arial" w:cs="Calibri"/>
          <w:b/>
          <w:bCs/>
          <w:sz w:val="24"/>
          <w:szCs w:val="24"/>
        </w:rPr>
        <w:br w:type="page"/>
      </w:r>
    </w:p>
    <w:p w14:paraId="095D3F88" w14:textId="115D1988" w:rsidR="00BC29B7" w:rsidRDefault="00B842A1">
      <w:pPr>
        <w:spacing w:before="240" w:after="240"/>
        <w:jc w:val="both"/>
      </w:pPr>
      <w:r>
        <w:rPr>
          <w:rFonts w:eastAsia="Arial" w:cs="Calibri"/>
          <w:b/>
          <w:bCs/>
          <w:sz w:val="24"/>
          <w:szCs w:val="24"/>
        </w:rPr>
        <w:lastRenderedPageBreak/>
        <w:t>Digitální infrastruktu</w:t>
      </w:r>
      <w:r w:rsidRPr="00F36206">
        <w:rPr>
          <w:rFonts w:eastAsia="Arial" w:cs="Calibri"/>
          <w:b/>
          <w:bCs/>
          <w:sz w:val="24"/>
          <w:szCs w:val="24"/>
        </w:rPr>
        <w:t>ra</w:t>
      </w:r>
      <w:r w:rsidRPr="00B619BB">
        <w:rPr>
          <w:rFonts w:eastAsia="Arial" w:cs="Calibri"/>
          <w:sz w:val="24"/>
          <w:szCs w:val="24"/>
        </w:rPr>
        <w:t xml:space="preserve"> - </w:t>
      </w:r>
      <w:r w:rsidR="00514022">
        <w:rPr>
          <w:rFonts w:eastAsia="Arial" w:cs="Calibri"/>
          <w:sz w:val="24"/>
          <w:szCs w:val="24"/>
        </w:rPr>
        <w:t>f</w:t>
      </w:r>
      <w:r w:rsidRPr="00B619BB">
        <w:rPr>
          <w:rFonts w:eastAsia="Arial" w:cs="Calibri"/>
          <w:sz w:val="24"/>
          <w:szCs w:val="24"/>
        </w:rPr>
        <w:t xml:space="preserve">inančně podporovaná MPO </w:t>
      </w:r>
    </w:p>
    <w:p w14:paraId="10913A09" w14:textId="4532E104" w:rsidR="00BC29B7" w:rsidRDefault="00B842A1">
      <w:pPr>
        <w:spacing w:before="240" w:after="240"/>
        <w:jc w:val="both"/>
        <w:rPr>
          <w:rFonts w:eastAsia="Arial" w:cs="Calibri"/>
          <w:b/>
          <w:bCs/>
          <w:sz w:val="24"/>
          <w:szCs w:val="24"/>
        </w:rPr>
      </w:pPr>
      <w:r>
        <w:rPr>
          <w:rFonts w:eastAsia="Arial" w:cs="Calibri"/>
          <w:b/>
          <w:bCs/>
          <w:sz w:val="24"/>
          <w:szCs w:val="24"/>
        </w:rPr>
        <w:t>Evropská digitální inovační centra – EDIHy</w:t>
      </w:r>
      <w:r w:rsidR="003D5A96">
        <w:rPr>
          <w:rStyle w:val="Znakapoznpodarou"/>
          <w:rFonts w:eastAsia="Arial" w:cs="Calibri"/>
          <w:b/>
          <w:bCs/>
          <w:sz w:val="24"/>
          <w:szCs w:val="24"/>
        </w:rPr>
        <w:footnoteReference w:id="17"/>
      </w:r>
      <w:r>
        <w:rPr>
          <w:rFonts w:eastAsia="Arial" w:cs="Calibri"/>
          <w:b/>
          <w:bCs/>
          <w:sz w:val="24"/>
          <w:szCs w:val="24"/>
        </w:rPr>
        <w:t xml:space="preserve"> –– Národní plán obnovy </w:t>
      </w:r>
    </w:p>
    <w:p w14:paraId="7A5B70E9" w14:textId="0926DDCB" w:rsidR="00A929A2" w:rsidRPr="00A929A2" w:rsidRDefault="00A929A2" w:rsidP="00A929A2">
      <w:pPr>
        <w:pStyle w:val="Odstavecseseznamem"/>
        <w:numPr>
          <w:ilvl w:val="0"/>
          <w:numId w:val="18"/>
        </w:numPr>
        <w:spacing w:after="0" w:line="293" w:lineRule="auto"/>
        <w:ind w:left="714" w:hanging="357"/>
        <w:jc w:val="both"/>
        <w:rPr>
          <w:rFonts w:eastAsia="Arial" w:cs="Calibri"/>
          <w:sz w:val="24"/>
          <w:szCs w:val="24"/>
        </w:rPr>
      </w:pPr>
      <w:r w:rsidRPr="00A929A2">
        <w:rPr>
          <w:rFonts w:eastAsia="Arial" w:cs="Calibri"/>
          <w:sz w:val="24"/>
          <w:szCs w:val="24"/>
        </w:rPr>
        <w:t>Cílem opatření je podpořit digitální transformaci především MSP a státní správy, zavádět nové technologie, přilákat odborníky v této oblasti a zajistit větší odolnost průmyslu a služeb vůči případným dalším krizím</w:t>
      </w:r>
      <w:r w:rsidR="00C30ECA">
        <w:rPr>
          <w:rFonts w:eastAsia="Arial" w:cs="Calibri"/>
          <w:sz w:val="24"/>
          <w:szCs w:val="24"/>
        </w:rPr>
        <w:t>;</w:t>
      </w:r>
    </w:p>
    <w:p w14:paraId="2E6C3839" w14:textId="3317587D" w:rsidR="00BC29B7" w:rsidRPr="00A929A2" w:rsidRDefault="00A929A2" w:rsidP="00A929A2">
      <w:pPr>
        <w:pStyle w:val="Odstavecseseznamem"/>
        <w:numPr>
          <w:ilvl w:val="0"/>
          <w:numId w:val="18"/>
        </w:numPr>
        <w:spacing w:after="0" w:line="293" w:lineRule="auto"/>
        <w:ind w:left="714" w:hanging="357"/>
        <w:jc w:val="both"/>
        <w:rPr>
          <w:rFonts w:eastAsia="Arial" w:cs="Calibri"/>
          <w:sz w:val="24"/>
          <w:szCs w:val="24"/>
        </w:rPr>
      </w:pPr>
      <w:r w:rsidRPr="00A929A2">
        <w:rPr>
          <w:rFonts w:eastAsia="Arial" w:cs="Calibri"/>
          <w:sz w:val="24"/>
          <w:szCs w:val="24"/>
        </w:rPr>
        <w:t xml:space="preserve">V rámci opatření došlo ke zřízení šesti Evropských center digitálních inovací (EDIH) na území ČR. </w:t>
      </w:r>
      <w:r w:rsidR="00B842A1" w:rsidRPr="00A929A2">
        <w:rPr>
          <w:rFonts w:eastAsia="Arial" w:cs="Calibri"/>
          <w:sz w:val="24"/>
          <w:szCs w:val="24"/>
        </w:rPr>
        <w:t>6 center v ČR – Praha, Brno, Liberec, Ostrava, Kuřim, Dolní Břežany</w:t>
      </w:r>
      <w:r w:rsidR="00C30ECA">
        <w:rPr>
          <w:rFonts w:eastAsia="Arial" w:cs="Calibri"/>
          <w:sz w:val="24"/>
          <w:szCs w:val="24"/>
        </w:rPr>
        <w:t>;</w:t>
      </w:r>
    </w:p>
    <w:p w14:paraId="0857FA55" w14:textId="7D700221" w:rsidR="00A929A2" w:rsidRPr="00A929A2" w:rsidRDefault="00A929A2" w:rsidP="00A929A2">
      <w:pPr>
        <w:pStyle w:val="Odstavecseseznamem"/>
        <w:numPr>
          <w:ilvl w:val="0"/>
          <w:numId w:val="18"/>
        </w:numPr>
        <w:suppressAutoHyphens w:val="0"/>
        <w:autoSpaceDN/>
        <w:spacing w:after="0" w:line="293" w:lineRule="auto"/>
        <w:ind w:left="714" w:hanging="357"/>
        <w:contextualSpacing w:val="0"/>
        <w:jc w:val="both"/>
        <w:rPr>
          <w:sz w:val="24"/>
          <w:szCs w:val="24"/>
        </w:rPr>
      </w:pPr>
      <w:r w:rsidRPr="00A929A2">
        <w:rPr>
          <w:sz w:val="24"/>
          <w:szCs w:val="24"/>
        </w:rPr>
        <w:t>Sít EDIH umožní rozšíření nových technologií napříč aplikačními obory mezi malé a střední podniky a/nebo veřejnou správu. Vytvoření kvalitní sítě EDIH je zásadní podmínkou pro akceleraci procesu digitalizace Česka a českých společností se zaměřením na robotiku, be</w:t>
      </w:r>
      <w:r>
        <w:rPr>
          <w:sz w:val="24"/>
          <w:szCs w:val="24"/>
        </w:rPr>
        <w:t>z</w:t>
      </w:r>
      <w:r w:rsidRPr="00A929A2">
        <w:rPr>
          <w:sz w:val="24"/>
          <w:szCs w:val="24"/>
        </w:rPr>
        <w:t>pečnost informačních sítí, AI, IoT a další dle požadavků klientů</w:t>
      </w:r>
      <w:r w:rsidR="00C30ECA">
        <w:rPr>
          <w:sz w:val="24"/>
          <w:szCs w:val="24"/>
        </w:rPr>
        <w:t>;</w:t>
      </w:r>
    </w:p>
    <w:p w14:paraId="08B5AB17" w14:textId="4D0EA8BE" w:rsidR="00BC29B7" w:rsidRPr="00A929A2" w:rsidRDefault="00B842A1" w:rsidP="00A929A2">
      <w:pPr>
        <w:pStyle w:val="Odstavecseseznamem"/>
        <w:numPr>
          <w:ilvl w:val="0"/>
          <w:numId w:val="18"/>
        </w:numPr>
        <w:spacing w:after="0" w:line="293" w:lineRule="auto"/>
        <w:ind w:left="714" w:hanging="357"/>
        <w:jc w:val="both"/>
        <w:rPr>
          <w:rFonts w:eastAsia="Arial" w:cs="Calibri"/>
          <w:sz w:val="24"/>
          <w:szCs w:val="24"/>
        </w:rPr>
      </w:pPr>
      <w:r w:rsidRPr="00A929A2">
        <w:rPr>
          <w:rFonts w:eastAsia="Arial" w:cs="Calibri"/>
          <w:sz w:val="24"/>
          <w:szCs w:val="24"/>
        </w:rPr>
        <w:t>Testování před investicí, podpora s financováním a hledáním investora, vzdělávání digitálních dovedností, networking</w:t>
      </w:r>
      <w:r w:rsidR="00C30ECA">
        <w:rPr>
          <w:rFonts w:eastAsia="Arial" w:cs="Calibri"/>
          <w:sz w:val="24"/>
          <w:szCs w:val="24"/>
        </w:rPr>
        <w:t>;</w:t>
      </w:r>
    </w:p>
    <w:p w14:paraId="1968EA32" w14:textId="466C6B7F" w:rsidR="00B619BB" w:rsidRPr="00B619BB" w:rsidRDefault="00B619BB" w:rsidP="00B619BB">
      <w:pPr>
        <w:pStyle w:val="Odstavecseseznamem"/>
        <w:numPr>
          <w:ilvl w:val="0"/>
          <w:numId w:val="18"/>
        </w:numPr>
        <w:spacing w:after="0" w:line="293" w:lineRule="auto"/>
        <w:jc w:val="both"/>
        <w:rPr>
          <w:rFonts w:eastAsia="Arial" w:cs="Calibri"/>
          <w:sz w:val="24"/>
          <w:szCs w:val="24"/>
        </w:rPr>
      </w:pPr>
      <w:r>
        <w:rPr>
          <w:rFonts w:eastAsia="Arial" w:cs="Calibri"/>
          <w:sz w:val="24"/>
          <w:szCs w:val="24"/>
        </w:rPr>
        <w:t>J</w:t>
      </w:r>
      <w:r w:rsidRPr="00B619BB">
        <w:rPr>
          <w:rFonts w:eastAsia="Arial" w:cs="Calibri"/>
          <w:sz w:val="24"/>
          <w:szCs w:val="24"/>
        </w:rPr>
        <w:t>ednotlivé EDIHy v České republice jsou zaměřeny na specifické oblasti, například Průmysl 4.0, umělou inteligenci, kybernetickou bezpečnost, digitální vzdělávání a vysoce výkonné počítání. Hlavní témata, která řeší, zahrnují využití AI v rámci technologických výzev v (před)výrobním procesu, využívání AI ve výuce, sken připravenosti firmy na zavádění AI nástrojů, příprava změnových projektů pro implementaci AI do firemních procesů a podporu zpřístupnění superpočítačové infrastruktury pro AI úlohy</w:t>
      </w:r>
      <w:r w:rsidR="00C30ECA">
        <w:rPr>
          <w:rFonts w:eastAsia="Arial" w:cs="Calibri"/>
          <w:sz w:val="24"/>
          <w:szCs w:val="24"/>
        </w:rPr>
        <w:t>;</w:t>
      </w:r>
    </w:p>
    <w:p w14:paraId="40BF33C8" w14:textId="6A3F1339" w:rsidR="00B619BB" w:rsidRPr="00F36206" w:rsidRDefault="00B619BB" w:rsidP="00C30ECA">
      <w:pPr>
        <w:pStyle w:val="Odstavecseseznamem"/>
        <w:numPr>
          <w:ilvl w:val="0"/>
          <w:numId w:val="18"/>
        </w:numPr>
        <w:spacing w:after="0" w:line="293" w:lineRule="auto"/>
        <w:jc w:val="both"/>
        <w:rPr>
          <w:rFonts w:eastAsia="Arial" w:cs="Calibri"/>
          <w:sz w:val="24"/>
          <w:szCs w:val="24"/>
        </w:rPr>
      </w:pPr>
      <w:r w:rsidRPr="00B619BB">
        <w:rPr>
          <w:rFonts w:eastAsia="Arial" w:cs="Calibri"/>
          <w:sz w:val="24"/>
          <w:szCs w:val="24"/>
        </w:rPr>
        <w:t>EDIHy také napomáhají modernizaci úředních agend</w:t>
      </w:r>
      <w:r w:rsidR="00C30ECA">
        <w:rPr>
          <w:rFonts w:eastAsia="Arial" w:cs="Calibri"/>
          <w:sz w:val="24"/>
          <w:szCs w:val="24"/>
        </w:rPr>
        <w:t>,</w:t>
      </w:r>
      <w:r w:rsidRPr="00B619BB">
        <w:rPr>
          <w:rFonts w:eastAsia="Arial" w:cs="Calibri"/>
          <w:sz w:val="24"/>
          <w:szCs w:val="24"/>
        </w:rPr>
        <w:t xml:space="preserve"> např. na Ministerstvu financí pomáhá EDIH ČVUT auditnímu orgánu při analýze dokumentů (chatbot zpracovávající přes 40 000 stran textu metodik, nařízení, zákon</w:t>
      </w:r>
      <w:r w:rsidR="00C30ECA">
        <w:rPr>
          <w:rFonts w:eastAsia="Arial" w:cs="Calibri"/>
          <w:sz w:val="24"/>
          <w:szCs w:val="24"/>
        </w:rPr>
        <w:t>ů</w:t>
      </w:r>
      <w:r w:rsidRPr="00B619BB">
        <w:rPr>
          <w:rFonts w:eastAsia="Arial" w:cs="Calibri"/>
          <w:sz w:val="24"/>
          <w:szCs w:val="24"/>
        </w:rPr>
        <w:t xml:space="preserve">). Dále pomáhá například Policii České republiky  </w:t>
      </w:r>
      <w:r w:rsidR="00C30ECA">
        <w:rPr>
          <w:rFonts w:eastAsia="Arial" w:cs="Calibri"/>
          <w:sz w:val="24"/>
          <w:szCs w:val="24"/>
        </w:rPr>
        <w:t>(</w:t>
      </w:r>
      <w:r w:rsidRPr="00B619BB">
        <w:rPr>
          <w:rFonts w:eastAsia="Arial" w:cs="Calibri"/>
          <w:sz w:val="24"/>
          <w:szCs w:val="24"/>
        </w:rPr>
        <w:t>optimalizace spotřeby energií</w:t>
      </w:r>
      <w:r w:rsidR="00C30ECA">
        <w:rPr>
          <w:rFonts w:eastAsia="Arial" w:cs="Calibri"/>
          <w:sz w:val="24"/>
          <w:szCs w:val="24"/>
        </w:rPr>
        <w:t>)</w:t>
      </w:r>
      <w:r w:rsidR="00C30ECA" w:rsidRPr="00F36206">
        <w:rPr>
          <w:rFonts w:eastAsia="Arial" w:cs="Calibri"/>
          <w:sz w:val="24"/>
          <w:szCs w:val="24"/>
        </w:rPr>
        <w:t>;</w:t>
      </w:r>
    </w:p>
    <w:p w14:paraId="63169245" w14:textId="4BC163B3" w:rsidR="00BC29B7" w:rsidRPr="00A929A2" w:rsidRDefault="00B842A1" w:rsidP="00A929A2">
      <w:pPr>
        <w:pStyle w:val="Odstavecseseznamem"/>
        <w:numPr>
          <w:ilvl w:val="0"/>
          <w:numId w:val="18"/>
        </w:numPr>
        <w:spacing w:after="0" w:line="293" w:lineRule="auto"/>
        <w:ind w:left="714" w:hanging="357"/>
        <w:jc w:val="both"/>
        <w:rPr>
          <w:rFonts w:eastAsia="Arial" w:cs="Calibri"/>
          <w:sz w:val="24"/>
          <w:szCs w:val="24"/>
        </w:rPr>
      </w:pPr>
      <w:r w:rsidRPr="00A929A2">
        <w:rPr>
          <w:rFonts w:eastAsia="Arial" w:cs="Calibri"/>
          <w:sz w:val="24"/>
          <w:szCs w:val="24"/>
        </w:rPr>
        <w:t>Dosud poskytnu</w:t>
      </w:r>
      <w:r w:rsidR="00C30ECA">
        <w:rPr>
          <w:rFonts w:eastAsia="Arial" w:cs="Calibri"/>
          <w:sz w:val="24"/>
          <w:szCs w:val="24"/>
        </w:rPr>
        <w:t>ly</w:t>
      </w:r>
      <w:r w:rsidRPr="00A929A2">
        <w:rPr>
          <w:rFonts w:eastAsia="Arial" w:cs="Calibri"/>
          <w:sz w:val="24"/>
          <w:szCs w:val="24"/>
        </w:rPr>
        <w:t xml:space="preserve"> 605 služeb</w:t>
      </w:r>
      <w:r w:rsidR="00C30ECA">
        <w:rPr>
          <w:rFonts w:eastAsia="Arial" w:cs="Calibri"/>
          <w:sz w:val="24"/>
          <w:szCs w:val="24"/>
        </w:rPr>
        <w:t>;</w:t>
      </w:r>
    </w:p>
    <w:p w14:paraId="09FFDC16" w14:textId="77777777" w:rsidR="00514022" w:rsidRPr="00B619BB" w:rsidRDefault="00514022" w:rsidP="00514022">
      <w:pPr>
        <w:pStyle w:val="Odstavecseseznamem"/>
        <w:numPr>
          <w:ilvl w:val="0"/>
          <w:numId w:val="18"/>
        </w:numPr>
        <w:spacing w:after="0" w:line="293" w:lineRule="auto"/>
        <w:jc w:val="both"/>
        <w:rPr>
          <w:rFonts w:eastAsia="Arial" w:cs="Calibri"/>
          <w:b/>
          <w:bCs/>
          <w:sz w:val="24"/>
          <w:szCs w:val="24"/>
        </w:rPr>
      </w:pPr>
      <w:r w:rsidRPr="00B619BB">
        <w:rPr>
          <w:rFonts w:eastAsia="Arial" w:cs="Calibri"/>
          <w:b/>
          <w:bCs/>
          <w:sz w:val="24"/>
          <w:szCs w:val="24"/>
        </w:rPr>
        <w:t>Aktuální stav a budoucnost financování: Aktuálně jsou tato centra kofinancována z Národního plánu obnovy, což od roku 2026 nebude možné</w:t>
      </w:r>
      <w:r>
        <w:rPr>
          <w:rFonts w:eastAsia="Arial" w:cs="Calibri"/>
          <w:b/>
          <w:bCs/>
          <w:sz w:val="24"/>
          <w:szCs w:val="24"/>
        </w:rPr>
        <w:t>;</w:t>
      </w:r>
    </w:p>
    <w:p w14:paraId="61D08B0F" w14:textId="619B6DA5" w:rsidR="00B619BB" w:rsidRPr="00B619BB" w:rsidRDefault="00B619BB" w:rsidP="00B619BB">
      <w:pPr>
        <w:pStyle w:val="Odstavecseseznamem"/>
        <w:numPr>
          <w:ilvl w:val="0"/>
          <w:numId w:val="18"/>
        </w:numPr>
        <w:spacing w:after="0" w:line="293" w:lineRule="auto"/>
        <w:jc w:val="both"/>
        <w:rPr>
          <w:rFonts w:eastAsia="Arial" w:cs="Calibri"/>
          <w:b/>
          <w:bCs/>
          <w:sz w:val="24"/>
          <w:szCs w:val="24"/>
        </w:rPr>
      </w:pPr>
      <w:r w:rsidRPr="00B619BB">
        <w:rPr>
          <w:rFonts w:eastAsia="Arial" w:cs="Calibri"/>
          <w:b/>
          <w:bCs/>
          <w:sz w:val="24"/>
          <w:szCs w:val="24"/>
        </w:rPr>
        <w:t>Cíl: Je potřeba zajistit kofinancování evropsk</w:t>
      </w:r>
      <w:r w:rsidR="00C30ECA">
        <w:rPr>
          <w:rFonts w:eastAsia="Arial" w:cs="Calibri"/>
          <w:b/>
          <w:bCs/>
          <w:sz w:val="24"/>
          <w:szCs w:val="24"/>
        </w:rPr>
        <w:t>ého</w:t>
      </w:r>
      <w:r w:rsidRPr="00B619BB">
        <w:rPr>
          <w:rFonts w:eastAsia="Arial" w:cs="Calibri"/>
          <w:b/>
          <w:bCs/>
          <w:sz w:val="24"/>
          <w:szCs w:val="24"/>
        </w:rPr>
        <w:t xml:space="preserve"> projekt</w:t>
      </w:r>
      <w:r w:rsidR="00C30ECA">
        <w:rPr>
          <w:rFonts w:eastAsia="Arial" w:cs="Calibri"/>
          <w:b/>
          <w:bCs/>
          <w:sz w:val="24"/>
          <w:szCs w:val="24"/>
        </w:rPr>
        <w:t>u</w:t>
      </w:r>
      <w:r w:rsidRPr="00B619BB">
        <w:rPr>
          <w:rFonts w:eastAsia="Arial" w:cs="Calibri"/>
          <w:b/>
          <w:bCs/>
          <w:sz w:val="24"/>
          <w:szCs w:val="24"/>
        </w:rPr>
        <w:t xml:space="preserve"> Evropská centra pro digitální inovace</w:t>
      </w:r>
      <w:r w:rsidR="00C30ECA">
        <w:rPr>
          <w:rFonts w:eastAsia="Arial" w:cs="Calibri"/>
          <w:b/>
          <w:bCs/>
          <w:sz w:val="24"/>
          <w:szCs w:val="24"/>
        </w:rPr>
        <w:t xml:space="preserve"> </w:t>
      </w:r>
      <w:r w:rsidR="00C30ECA" w:rsidRPr="00B619BB">
        <w:rPr>
          <w:rFonts w:eastAsia="Arial" w:cs="Calibri"/>
          <w:b/>
          <w:bCs/>
          <w:sz w:val="24"/>
          <w:szCs w:val="24"/>
        </w:rPr>
        <w:t>ze státního rozpočtu</w:t>
      </w:r>
      <w:r w:rsidRPr="00B619BB">
        <w:rPr>
          <w:rFonts w:eastAsia="Arial" w:cs="Calibri"/>
          <w:b/>
          <w:bCs/>
          <w:sz w:val="24"/>
          <w:szCs w:val="24"/>
        </w:rPr>
        <w:t>. Členské státy se zavázaly kofinancovat tyto projekty již před první etapou EDIHů, která probíhá od roku 2023 do roku 2025</w:t>
      </w:r>
      <w:r w:rsidR="00C903BE">
        <w:rPr>
          <w:rFonts w:eastAsia="Arial" w:cs="Calibri"/>
          <w:b/>
          <w:bCs/>
          <w:sz w:val="24"/>
          <w:szCs w:val="24"/>
        </w:rPr>
        <w:t>;</w:t>
      </w:r>
    </w:p>
    <w:p w14:paraId="73F64B16" w14:textId="669CF875" w:rsidR="00BC29B7" w:rsidRPr="00B619BB" w:rsidRDefault="00B619BB" w:rsidP="003E22B7">
      <w:pPr>
        <w:pStyle w:val="Odstavecseseznamem"/>
        <w:numPr>
          <w:ilvl w:val="0"/>
          <w:numId w:val="18"/>
        </w:numPr>
        <w:spacing w:before="240" w:after="240" w:line="293" w:lineRule="auto"/>
        <w:jc w:val="both"/>
        <w:rPr>
          <w:rFonts w:eastAsia="Arial" w:cs="Calibri"/>
          <w:sz w:val="24"/>
          <w:szCs w:val="24"/>
        </w:rPr>
      </w:pPr>
      <w:r w:rsidRPr="00B619BB">
        <w:rPr>
          <w:rFonts w:eastAsia="Arial" w:cs="Calibri"/>
          <w:b/>
          <w:bCs/>
          <w:sz w:val="24"/>
          <w:szCs w:val="24"/>
        </w:rPr>
        <w:t>Česká republika bude potřebovat na období 2026–2028 zajistit financování, a to 186 349 510 CZK/7 451 000 EUR (podle kurzu k 12.3. 2025). Grant Evropské komise z Programu Digitální Evropa pokryje stejnou druhou polovinu celkové částky.</w:t>
      </w:r>
    </w:p>
    <w:p w14:paraId="06589098" w14:textId="77777777" w:rsidR="00B619BB" w:rsidRDefault="00B619BB">
      <w:pPr>
        <w:spacing w:before="240" w:after="240"/>
        <w:jc w:val="both"/>
        <w:rPr>
          <w:rFonts w:eastAsia="Arial" w:cs="Calibri"/>
          <w:sz w:val="24"/>
          <w:szCs w:val="24"/>
        </w:rPr>
      </w:pPr>
    </w:p>
    <w:p w14:paraId="4AAB8C05" w14:textId="75B2A05E" w:rsidR="00BC29B7" w:rsidRDefault="00B842A1">
      <w:pPr>
        <w:spacing w:before="240" w:after="240"/>
        <w:jc w:val="both"/>
        <w:rPr>
          <w:rFonts w:eastAsia="Arial" w:cs="Calibri"/>
          <w:b/>
          <w:bCs/>
          <w:sz w:val="24"/>
          <w:szCs w:val="24"/>
        </w:rPr>
      </w:pPr>
      <w:r>
        <w:rPr>
          <w:rFonts w:eastAsia="Arial" w:cs="Calibri"/>
          <w:b/>
          <w:bCs/>
          <w:sz w:val="24"/>
          <w:szCs w:val="24"/>
        </w:rPr>
        <w:lastRenderedPageBreak/>
        <w:t>Testovací a experimentální zařízení pro umělou inteligenci (AI TEF – výroba) 3 centra – Národní plán obnovy</w:t>
      </w:r>
      <w:r w:rsidR="00B619BB">
        <w:rPr>
          <w:rStyle w:val="Znakapoznpodarou"/>
          <w:rFonts w:eastAsia="Arial" w:cs="Calibri"/>
          <w:b/>
          <w:bCs/>
          <w:sz w:val="24"/>
          <w:szCs w:val="24"/>
        </w:rPr>
        <w:footnoteReference w:id="18"/>
      </w:r>
    </w:p>
    <w:p w14:paraId="05979433" w14:textId="3E7EF242" w:rsidR="00A929A2" w:rsidRPr="003D5A96" w:rsidRDefault="00A929A2" w:rsidP="003D5A96">
      <w:pPr>
        <w:pStyle w:val="Odstavecseseznamem"/>
        <w:numPr>
          <w:ilvl w:val="0"/>
          <w:numId w:val="18"/>
        </w:numPr>
        <w:jc w:val="both"/>
        <w:rPr>
          <w:sz w:val="24"/>
          <w:szCs w:val="24"/>
        </w:rPr>
      </w:pPr>
      <w:r w:rsidRPr="003D5A96">
        <w:rPr>
          <w:sz w:val="24"/>
          <w:szCs w:val="24"/>
        </w:rPr>
        <w:t>Tři české subjekty (ČVUT v Praze, VUT v Brně, VŠB-TUO v Ostravě) jsou součástí širšího konsorcia AI-MATTERS, které sdružuje významné organizace z osmi evropských zemí v rámci projektu evropského referenčního testovacího a experimentálního zařízení v oblasti AI. AI-MATTERS se skládá z 25 excelentních technologických pracovišť, které dohromady vytvořily osm národních center</w:t>
      </w:r>
      <w:r w:rsidR="00D4646A">
        <w:rPr>
          <w:sz w:val="24"/>
          <w:szCs w:val="24"/>
        </w:rPr>
        <w:t>,</w:t>
      </w:r>
      <w:r w:rsidRPr="003D5A96">
        <w:rPr>
          <w:sz w:val="24"/>
          <w:szCs w:val="24"/>
        </w:rPr>
        <w:t xml:space="preserve"> a poskytují tak v konkrétních místech unikátní odborné služby potřebné pro rozvoj evropského AI sektoru.  Zařízení zahrn</w:t>
      </w:r>
      <w:r w:rsidR="00D4646A">
        <w:rPr>
          <w:sz w:val="24"/>
          <w:szCs w:val="24"/>
        </w:rPr>
        <w:t>uje</w:t>
      </w:r>
      <w:r w:rsidRPr="003D5A96">
        <w:rPr>
          <w:sz w:val="24"/>
          <w:szCs w:val="24"/>
        </w:rPr>
        <w:t xml:space="preserve"> podporu pro plnou integraci, testování a experimentování nejnovějších technologií založených na AI s cílem řešit problémy/zlepšit řešení v daném aplikačním odvětví, včetně validace a demonstrace. AI-MATTERS je kofinancován z</w:t>
      </w:r>
      <w:r w:rsidR="00D4646A">
        <w:rPr>
          <w:sz w:val="24"/>
          <w:szCs w:val="24"/>
        </w:rPr>
        <w:t> </w:t>
      </w:r>
      <w:r w:rsidRPr="003D5A96">
        <w:rPr>
          <w:sz w:val="24"/>
          <w:szCs w:val="24"/>
        </w:rPr>
        <w:t>N</w:t>
      </w:r>
      <w:r w:rsidR="00D4646A">
        <w:rPr>
          <w:sz w:val="24"/>
          <w:szCs w:val="24"/>
        </w:rPr>
        <w:t>árodního plánu obnovy</w:t>
      </w:r>
      <w:r w:rsidRPr="003D5A96">
        <w:rPr>
          <w:sz w:val="24"/>
          <w:szCs w:val="24"/>
        </w:rPr>
        <w:t>, státního rozpočtu a Programu Digitální Evropa</w:t>
      </w:r>
      <w:r w:rsidR="00D4646A">
        <w:rPr>
          <w:sz w:val="24"/>
          <w:szCs w:val="24"/>
        </w:rPr>
        <w:t>;</w:t>
      </w:r>
      <w:r w:rsidRPr="003D5A96">
        <w:rPr>
          <w:sz w:val="24"/>
          <w:szCs w:val="24"/>
        </w:rPr>
        <w:t xml:space="preserve"> </w:t>
      </w:r>
    </w:p>
    <w:p w14:paraId="2DA30DAC" w14:textId="53D61C80" w:rsidR="00BC29B7" w:rsidRDefault="00B842A1" w:rsidP="003D5A96">
      <w:pPr>
        <w:pStyle w:val="Odstavecseseznamem"/>
        <w:numPr>
          <w:ilvl w:val="0"/>
          <w:numId w:val="18"/>
        </w:numPr>
        <w:spacing w:after="0"/>
        <w:jc w:val="both"/>
        <w:rPr>
          <w:rFonts w:eastAsia="Arial" w:cs="Calibri"/>
          <w:sz w:val="24"/>
          <w:szCs w:val="24"/>
        </w:rPr>
      </w:pPr>
      <w:r>
        <w:rPr>
          <w:rFonts w:eastAsia="Arial" w:cs="Calibri"/>
          <w:sz w:val="24"/>
          <w:szCs w:val="24"/>
        </w:rPr>
        <w:t>Testovací kapacity AI v reálném prostředí výroby</w:t>
      </w:r>
      <w:r w:rsidR="00D4646A">
        <w:rPr>
          <w:rFonts w:eastAsia="Arial" w:cs="Calibri"/>
          <w:sz w:val="24"/>
          <w:szCs w:val="24"/>
        </w:rPr>
        <w:t>;</w:t>
      </w:r>
    </w:p>
    <w:p w14:paraId="63504996" w14:textId="581030E4" w:rsidR="00BC29B7" w:rsidRDefault="00B842A1" w:rsidP="003D5A96">
      <w:pPr>
        <w:pStyle w:val="Odstavecseseznamem"/>
        <w:numPr>
          <w:ilvl w:val="0"/>
          <w:numId w:val="18"/>
        </w:numPr>
        <w:spacing w:after="0"/>
        <w:jc w:val="both"/>
        <w:rPr>
          <w:rFonts w:eastAsia="Arial" w:cs="Calibri"/>
          <w:sz w:val="24"/>
          <w:szCs w:val="24"/>
        </w:rPr>
      </w:pPr>
      <w:r>
        <w:rPr>
          <w:rFonts w:eastAsia="Arial" w:cs="Calibri"/>
          <w:sz w:val="24"/>
          <w:szCs w:val="24"/>
        </w:rPr>
        <w:t>Průmysl 4.0, robotizace, digitalizace, simulace průmyslové praxe</w:t>
      </w:r>
      <w:r w:rsidR="00D4646A">
        <w:rPr>
          <w:rFonts w:eastAsia="Arial" w:cs="Calibri"/>
          <w:sz w:val="24"/>
          <w:szCs w:val="24"/>
        </w:rPr>
        <w:t>;</w:t>
      </w:r>
      <w:r>
        <w:rPr>
          <w:rFonts w:eastAsia="Arial" w:cs="Calibri"/>
          <w:sz w:val="24"/>
          <w:szCs w:val="24"/>
        </w:rPr>
        <w:t xml:space="preserve"> </w:t>
      </w:r>
    </w:p>
    <w:p w14:paraId="1A23F1FC" w14:textId="2C7C3B75" w:rsidR="00BC29B7" w:rsidRDefault="00B842A1">
      <w:pPr>
        <w:pStyle w:val="Odstavecseseznamem"/>
        <w:numPr>
          <w:ilvl w:val="0"/>
          <w:numId w:val="18"/>
        </w:numPr>
        <w:spacing w:after="0"/>
        <w:jc w:val="both"/>
        <w:rPr>
          <w:rFonts w:eastAsia="Arial" w:cs="Calibri"/>
          <w:sz w:val="24"/>
          <w:szCs w:val="24"/>
        </w:rPr>
      </w:pPr>
      <w:r>
        <w:rPr>
          <w:rFonts w:eastAsia="Arial" w:cs="Calibri"/>
          <w:sz w:val="24"/>
          <w:szCs w:val="24"/>
        </w:rPr>
        <w:t>Spolupráce s</w:t>
      </w:r>
      <w:r w:rsidR="00D4646A">
        <w:rPr>
          <w:rFonts w:eastAsia="Arial" w:cs="Calibri"/>
          <w:sz w:val="24"/>
          <w:szCs w:val="24"/>
        </w:rPr>
        <w:t> </w:t>
      </w:r>
      <w:r>
        <w:rPr>
          <w:rFonts w:eastAsia="Arial" w:cs="Calibri"/>
          <w:sz w:val="24"/>
          <w:szCs w:val="24"/>
        </w:rPr>
        <w:t>průmyslem</w:t>
      </w:r>
      <w:r w:rsidR="00D4646A">
        <w:rPr>
          <w:rFonts w:eastAsia="Arial" w:cs="Calibri"/>
          <w:sz w:val="24"/>
          <w:szCs w:val="24"/>
        </w:rPr>
        <w:t>;</w:t>
      </w:r>
    </w:p>
    <w:p w14:paraId="70071900" w14:textId="74B62F05" w:rsidR="00BC29B7" w:rsidRDefault="00B842A1">
      <w:pPr>
        <w:pStyle w:val="Odstavecseseznamem"/>
        <w:numPr>
          <w:ilvl w:val="0"/>
          <w:numId w:val="18"/>
        </w:numPr>
        <w:spacing w:after="0"/>
        <w:jc w:val="both"/>
        <w:rPr>
          <w:rFonts w:eastAsia="Arial" w:cs="Calibri"/>
          <w:sz w:val="24"/>
          <w:szCs w:val="24"/>
        </w:rPr>
      </w:pPr>
      <w:r>
        <w:rPr>
          <w:rFonts w:eastAsia="Arial" w:cs="Calibri"/>
          <w:sz w:val="24"/>
          <w:szCs w:val="24"/>
        </w:rPr>
        <w:t xml:space="preserve">Plán </w:t>
      </w:r>
      <w:r w:rsidR="00A929A2">
        <w:rPr>
          <w:rFonts w:eastAsia="Arial" w:cs="Calibri"/>
          <w:sz w:val="24"/>
          <w:szCs w:val="24"/>
        </w:rPr>
        <w:t xml:space="preserve">je realizovat </w:t>
      </w:r>
      <w:r>
        <w:rPr>
          <w:rFonts w:eastAsia="Arial" w:cs="Calibri"/>
          <w:sz w:val="24"/>
          <w:szCs w:val="24"/>
        </w:rPr>
        <w:t>140 testů pro malé a střední podniky</w:t>
      </w:r>
      <w:r w:rsidR="00D4646A">
        <w:rPr>
          <w:rFonts w:eastAsia="Arial" w:cs="Calibri"/>
          <w:sz w:val="24"/>
          <w:szCs w:val="24"/>
        </w:rPr>
        <w:t>.</w:t>
      </w:r>
    </w:p>
    <w:p w14:paraId="34CCF51F" w14:textId="71173A37" w:rsidR="00BC29B7" w:rsidRDefault="00B842A1">
      <w:pPr>
        <w:spacing w:before="240" w:after="240"/>
        <w:jc w:val="both"/>
        <w:rPr>
          <w:rFonts w:eastAsia="Arial" w:cs="Calibri"/>
          <w:b/>
          <w:bCs/>
          <w:sz w:val="24"/>
          <w:szCs w:val="24"/>
        </w:rPr>
      </w:pPr>
      <w:r>
        <w:rPr>
          <w:rFonts w:eastAsia="Arial" w:cs="Calibri"/>
          <w:b/>
          <w:bCs/>
          <w:sz w:val="24"/>
          <w:szCs w:val="24"/>
        </w:rPr>
        <w:t xml:space="preserve">Podpora AI v podnicích: </w:t>
      </w:r>
    </w:p>
    <w:p w14:paraId="6CECBA0F" w14:textId="77777777" w:rsidR="00714754" w:rsidRPr="00A358D6" w:rsidRDefault="00714754" w:rsidP="00714754">
      <w:pPr>
        <w:pStyle w:val="Default"/>
        <w:rPr>
          <w:rFonts w:ascii="Calibri" w:hAnsi="Calibri" w:cs="Calibri"/>
          <w:color w:val="FFFFFF"/>
        </w:rPr>
      </w:pPr>
      <w:r w:rsidRPr="00B51676">
        <w:rPr>
          <w:rFonts w:ascii="Calibri" w:hAnsi="Calibri" w:cs="Calibri"/>
          <w:b/>
          <w:bCs/>
          <w:color w:val="auto"/>
        </w:rPr>
        <w:t xml:space="preserve">Digitální podnik – virtuální podnik – Výzva I (OP TAK) </w:t>
      </w:r>
    </w:p>
    <w:p w14:paraId="18E564B3" w14:textId="3501D4CA" w:rsidR="00BC29B7" w:rsidRDefault="00B842A1">
      <w:pPr>
        <w:pStyle w:val="Odstavecseseznamem"/>
        <w:numPr>
          <w:ilvl w:val="0"/>
          <w:numId w:val="19"/>
        </w:numPr>
        <w:spacing w:after="0"/>
        <w:jc w:val="both"/>
        <w:rPr>
          <w:rFonts w:eastAsia="Arial" w:cs="Calibri"/>
          <w:sz w:val="24"/>
          <w:szCs w:val="24"/>
        </w:rPr>
      </w:pPr>
      <w:r>
        <w:rPr>
          <w:rFonts w:eastAsia="Arial" w:cs="Calibri"/>
          <w:sz w:val="24"/>
          <w:szCs w:val="24"/>
        </w:rPr>
        <w:t>Cílem opatření je přispívat k digitální transformaci malých a středních podniků včetně zavádění umělé inteligence</w:t>
      </w:r>
      <w:r w:rsidR="00401B7F">
        <w:rPr>
          <w:rFonts w:eastAsia="Arial" w:cs="Calibri"/>
          <w:sz w:val="24"/>
          <w:szCs w:val="24"/>
        </w:rPr>
        <w:t>;</w:t>
      </w:r>
    </w:p>
    <w:p w14:paraId="3354E4C5" w14:textId="21A266A9" w:rsidR="00BC29B7" w:rsidRDefault="00B842A1">
      <w:pPr>
        <w:pStyle w:val="Odstavecseseznamem"/>
        <w:numPr>
          <w:ilvl w:val="0"/>
          <w:numId w:val="19"/>
        </w:numPr>
        <w:spacing w:after="0"/>
        <w:jc w:val="both"/>
        <w:rPr>
          <w:rFonts w:eastAsia="Arial" w:cs="Calibri"/>
          <w:sz w:val="24"/>
          <w:szCs w:val="24"/>
        </w:rPr>
      </w:pPr>
      <w:r>
        <w:rPr>
          <w:rFonts w:eastAsia="Arial" w:cs="Calibri"/>
          <w:sz w:val="24"/>
          <w:szCs w:val="24"/>
        </w:rPr>
        <w:t>Opatření probíhá od roku 2023 do roku 2025</w:t>
      </w:r>
      <w:r w:rsidR="00401B7F">
        <w:rPr>
          <w:rFonts w:eastAsia="Arial" w:cs="Calibri"/>
          <w:sz w:val="24"/>
          <w:szCs w:val="24"/>
        </w:rPr>
        <w:t>;</w:t>
      </w:r>
    </w:p>
    <w:p w14:paraId="5AD926D1" w14:textId="0E017BA6" w:rsidR="00BC29B7" w:rsidRDefault="00B842A1">
      <w:pPr>
        <w:pStyle w:val="Odstavecseseznamem"/>
        <w:numPr>
          <w:ilvl w:val="0"/>
          <w:numId w:val="19"/>
        </w:numPr>
        <w:spacing w:after="0"/>
        <w:jc w:val="both"/>
        <w:rPr>
          <w:rFonts w:eastAsia="Arial" w:cs="Calibri"/>
          <w:sz w:val="24"/>
          <w:szCs w:val="24"/>
        </w:rPr>
      </w:pPr>
      <w:r>
        <w:rPr>
          <w:rFonts w:eastAsia="Arial" w:cs="Calibri"/>
          <w:sz w:val="24"/>
          <w:szCs w:val="24"/>
        </w:rPr>
        <w:t xml:space="preserve">Rozpočet – </w:t>
      </w:r>
      <w:r w:rsidR="004D6D79">
        <w:rPr>
          <w:rFonts w:eastAsia="Arial" w:cs="Calibri"/>
          <w:sz w:val="24"/>
          <w:szCs w:val="24"/>
        </w:rPr>
        <w:t>493</w:t>
      </w:r>
      <w:r w:rsidR="00015DBC">
        <w:rPr>
          <w:rFonts w:eastAsia="Arial" w:cs="Calibri"/>
          <w:sz w:val="24"/>
          <w:szCs w:val="24"/>
        </w:rPr>
        <w:t xml:space="preserve"> </w:t>
      </w:r>
      <w:r>
        <w:rPr>
          <w:rFonts w:eastAsia="Arial" w:cs="Calibri"/>
          <w:sz w:val="24"/>
          <w:szCs w:val="24"/>
        </w:rPr>
        <w:t>milionů Kč</w:t>
      </w:r>
      <w:r w:rsidR="00401B7F">
        <w:rPr>
          <w:rFonts w:eastAsia="Arial" w:cs="Calibri"/>
          <w:sz w:val="24"/>
          <w:szCs w:val="24"/>
        </w:rPr>
        <w:t>;</w:t>
      </w:r>
    </w:p>
    <w:p w14:paraId="57B3042E" w14:textId="57794B69" w:rsidR="00BC29B7" w:rsidRDefault="00B842A1">
      <w:pPr>
        <w:pStyle w:val="Odstavecseseznamem"/>
        <w:numPr>
          <w:ilvl w:val="0"/>
          <w:numId w:val="19"/>
        </w:numPr>
        <w:spacing w:after="0"/>
        <w:jc w:val="both"/>
        <w:rPr>
          <w:rFonts w:eastAsia="Arial" w:cs="Calibri"/>
          <w:sz w:val="24"/>
          <w:szCs w:val="24"/>
        </w:rPr>
      </w:pPr>
      <w:r>
        <w:rPr>
          <w:rFonts w:eastAsia="Arial" w:cs="Calibri"/>
          <w:sz w:val="24"/>
          <w:szCs w:val="24"/>
        </w:rPr>
        <w:t>V rámci výzvy se předpokládá dopad na cca 200 podniků, což značně přispěje digitální transformaci podniků.</w:t>
      </w:r>
    </w:p>
    <w:p w14:paraId="634ED402" w14:textId="77777777" w:rsidR="00F36206" w:rsidRDefault="00F36206" w:rsidP="00F36206">
      <w:pPr>
        <w:pStyle w:val="Odstavecseseznamem"/>
        <w:spacing w:after="0"/>
        <w:jc w:val="both"/>
        <w:rPr>
          <w:rFonts w:eastAsia="Arial" w:cs="Calibri"/>
          <w:sz w:val="24"/>
          <w:szCs w:val="24"/>
        </w:rPr>
      </w:pPr>
    </w:p>
    <w:p w14:paraId="6137DA91" w14:textId="55E9A03C" w:rsidR="00BC29B7" w:rsidRDefault="00B842A1">
      <w:pPr>
        <w:spacing w:before="240" w:after="240"/>
        <w:jc w:val="both"/>
        <w:rPr>
          <w:rFonts w:eastAsia="Arial" w:cs="Calibri"/>
          <w:b/>
          <w:bCs/>
          <w:color w:val="FFFFFF"/>
          <w:sz w:val="24"/>
          <w:szCs w:val="24"/>
        </w:rPr>
      </w:pPr>
      <w:r w:rsidRPr="00B51676">
        <w:rPr>
          <w:rFonts w:eastAsia="Arial" w:cs="Calibri"/>
          <w:b/>
          <w:bCs/>
          <w:color w:val="auto"/>
          <w:sz w:val="24"/>
          <w:szCs w:val="24"/>
        </w:rPr>
        <w:t xml:space="preserve"> Digitální podnik – digitální podnik –</w:t>
      </w:r>
      <w:r w:rsidR="00401B7F">
        <w:rPr>
          <w:rFonts w:eastAsia="Arial" w:cs="Calibri"/>
          <w:b/>
          <w:bCs/>
          <w:color w:val="auto"/>
          <w:sz w:val="24"/>
          <w:szCs w:val="24"/>
        </w:rPr>
        <w:t xml:space="preserve"> </w:t>
      </w:r>
      <w:r w:rsidRPr="00B51676">
        <w:rPr>
          <w:rFonts w:eastAsia="Arial" w:cs="Calibri"/>
          <w:b/>
          <w:bCs/>
          <w:color w:val="auto"/>
          <w:sz w:val="24"/>
          <w:szCs w:val="24"/>
        </w:rPr>
        <w:t>OP</w:t>
      </w:r>
      <w:r w:rsidR="00401B7F">
        <w:rPr>
          <w:rFonts w:eastAsia="Arial" w:cs="Calibri"/>
          <w:b/>
          <w:bCs/>
          <w:color w:val="auto"/>
          <w:sz w:val="24"/>
          <w:szCs w:val="24"/>
        </w:rPr>
        <w:t xml:space="preserve"> TAK</w:t>
      </w:r>
      <w:r>
        <w:rPr>
          <w:rFonts w:eastAsia="Arial" w:cs="Calibri"/>
          <w:b/>
          <w:bCs/>
          <w:color w:val="FFFFFF"/>
          <w:sz w:val="24"/>
          <w:szCs w:val="24"/>
        </w:rPr>
        <w:t xml:space="preserve"> TAK II. výzva</w:t>
      </w:r>
    </w:p>
    <w:p w14:paraId="36C8C89D" w14:textId="69F15283" w:rsidR="00BC29B7" w:rsidRDefault="00B842A1">
      <w:pPr>
        <w:pStyle w:val="Odstavecseseznamem"/>
        <w:numPr>
          <w:ilvl w:val="0"/>
          <w:numId w:val="20"/>
        </w:numPr>
        <w:spacing w:after="0"/>
        <w:jc w:val="both"/>
        <w:rPr>
          <w:rFonts w:eastAsia="Arial" w:cs="Calibri"/>
          <w:sz w:val="24"/>
          <w:szCs w:val="24"/>
        </w:rPr>
      </w:pPr>
      <w:r>
        <w:rPr>
          <w:rFonts w:eastAsia="Arial" w:cs="Calibri"/>
          <w:sz w:val="24"/>
          <w:szCs w:val="24"/>
        </w:rPr>
        <w:t>Cílem opatření je přispívat k digitální transformaci MSP včetně zavádění AI</w:t>
      </w:r>
      <w:r w:rsidR="00401B7F">
        <w:rPr>
          <w:rFonts w:eastAsia="Arial" w:cs="Calibri"/>
          <w:sz w:val="24"/>
          <w:szCs w:val="24"/>
        </w:rPr>
        <w:t>;</w:t>
      </w:r>
    </w:p>
    <w:p w14:paraId="4FC50401" w14:textId="4AD9F5F0" w:rsidR="00BC29B7" w:rsidRDefault="00B842A1">
      <w:pPr>
        <w:pStyle w:val="Odstavecseseznamem"/>
        <w:numPr>
          <w:ilvl w:val="0"/>
          <w:numId w:val="20"/>
        </w:numPr>
        <w:spacing w:after="0"/>
        <w:jc w:val="both"/>
        <w:rPr>
          <w:rFonts w:eastAsia="Arial" w:cs="Calibri"/>
          <w:sz w:val="24"/>
          <w:szCs w:val="24"/>
        </w:rPr>
      </w:pPr>
      <w:r>
        <w:rPr>
          <w:rFonts w:eastAsia="Arial" w:cs="Calibri"/>
          <w:sz w:val="24"/>
          <w:szCs w:val="24"/>
        </w:rPr>
        <w:t>Opatření probíhá od roku 2024 do roku 2026</w:t>
      </w:r>
      <w:r w:rsidR="00401B7F">
        <w:rPr>
          <w:rFonts w:eastAsia="Arial" w:cs="Calibri"/>
          <w:sz w:val="24"/>
          <w:szCs w:val="24"/>
        </w:rPr>
        <w:t>;</w:t>
      </w:r>
    </w:p>
    <w:p w14:paraId="54377374" w14:textId="538A80F2" w:rsidR="00BC29B7" w:rsidRDefault="00B842A1">
      <w:pPr>
        <w:pStyle w:val="Odstavecseseznamem"/>
        <w:numPr>
          <w:ilvl w:val="0"/>
          <w:numId w:val="20"/>
        </w:numPr>
        <w:spacing w:after="0"/>
        <w:jc w:val="both"/>
        <w:rPr>
          <w:rFonts w:eastAsia="Arial" w:cs="Calibri"/>
          <w:sz w:val="24"/>
          <w:szCs w:val="24"/>
        </w:rPr>
      </w:pPr>
      <w:r>
        <w:rPr>
          <w:rFonts w:eastAsia="Arial" w:cs="Calibri"/>
          <w:sz w:val="24"/>
          <w:szCs w:val="24"/>
        </w:rPr>
        <w:t xml:space="preserve">Rozpočet - </w:t>
      </w:r>
      <w:r w:rsidR="00015DBC">
        <w:rPr>
          <w:rFonts w:eastAsia="Arial" w:cs="Calibri"/>
          <w:sz w:val="24"/>
          <w:szCs w:val="24"/>
        </w:rPr>
        <w:t>1</w:t>
      </w:r>
      <w:r>
        <w:rPr>
          <w:rFonts w:eastAsia="Arial" w:cs="Calibri"/>
          <w:sz w:val="24"/>
          <w:szCs w:val="24"/>
        </w:rPr>
        <w:t xml:space="preserve"> mld. Kč</w:t>
      </w:r>
      <w:r w:rsidR="00401B7F">
        <w:rPr>
          <w:rFonts w:eastAsia="Arial" w:cs="Calibri"/>
          <w:sz w:val="24"/>
          <w:szCs w:val="24"/>
        </w:rPr>
        <w:t>;</w:t>
      </w:r>
    </w:p>
    <w:p w14:paraId="6E5501DA" w14:textId="77777777" w:rsidR="00BC29B7" w:rsidRDefault="00B842A1">
      <w:pPr>
        <w:pStyle w:val="Odstavecseseznamem"/>
        <w:numPr>
          <w:ilvl w:val="0"/>
          <w:numId w:val="20"/>
        </w:numPr>
        <w:spacing w:after="0"/>
        <w:jc w:val="both"/>
        <w:rPr>
          <w:rFonts w:eastAsia="Arial" w:cs="Calibri"/>
          <w:sz w:val="24"/>
          <w:szCs w:val="24"/>
        </w:rPr>
      </w:pPr>
      <w:r>
        <w:rPr>
          <w:rFonts w:eastAsia="Arial" w:cs="Calibri"/>
          <w:sz w:val="24"/>
          <w:szCs w:val="24"/>
        </w:rPr>
        <w:t>V rámci výzvy se předpokládá dopad na cca 400 podniků, což značně přispěje k digitální transformaci podniků.</w:t>
      </w:r>
    </w:p>
    <w:p w14:paraId="4E350ACB" w14:textId="77777777" w:rsidR="00BC29B7" w:rsidRDefault="00B842A1">
      <w:pPr>
        <w:spacing w:before="240" w:after="240"/>
        <w:jc w:val="both"/>
        <w:rPr>
          <w:rFonts w:eastAsia="Arial" w:cs="Calibri"/>
          <w:sz w:val="24"/>
          <w:szCs w:val="24"/>
        </w:rPr>
      </w:pPr>
      <w:r>
        <w:rPr>
          <w:rFonts w:eastAsia="Arial" w:cs="Calibri"/>
          <w:sz w:val="24"/>
          <w:szCs w:val="24"/>
        </w:rPr>
        <w:t xml:space="preserve"> </w:t>
      </w:r>
    </w:p>
    <w:p w14:paraId="63EBFEA9" w14:textId="77777777" w:rsidR="00BC29B7" w:rsidRDefault="00B842A1">
      <w:pPr>
        <w:spacing w:before="240" w:after="240" w:line="251" w:lineRule="auto"/>
        <w:jc w:val="both"/>
        <w:rPr>
          <w:rFonts w:eastAsia="Arial" w:cs="Calibri"/>
          <w:b/>
          <w:bCs/>
          <w:sz w:val="24"/>
          <w:szCs w:val="24"/>
        </w:rPr>
      </w:pPr>
      <w:r>
        <w:rPr>
          <w:rFonts w:eastAsia="Arial" w:cs="Calibri"/>
          <w:b/>
          <w:bCs/>
          <w:sz w:val="24"/>
          <w:szCs w:val="24"/>
        </w:rPr>
        <w:lastRenderedPageBreak/>
        <w:t>Digitální a virtuální podnik – Přímá podpora digitální transformace podniků</w:t>
      </w:r>
    </w:p>
    <w:p w14:paraId="6F958F54" w14:textId="0C556468" w:rsidR="00BC29B7" w:rsidRDefault="00B842A1">
      <w:pPr>
        <w:pStyle w:val="Odstavecseseznamem"/>
        <w:numPr>
          <w:ilvl w:val="0"/>
          <w:numId w:val="21"/>
        </w:numPr>
        <w:spacing w:after="0" w:line="251" w:lineRule="auto"/>
        <w:jc w:val="both"/>
        <w:rPr>
          <w:rFonts w:eastAsia="Arial" w:cs="Calibri"/>
          <w:sz w:val="24"/>
          <w:szCs w:val="24"/>
        </w:rPr>
      </w:pPr>
      <w:r>
        <w:rPr>
          <w:rFonts w:eastAsia="Arial" w:cs="Calibri"/>
          <w:sz w:val="24"/>
          <w:szCs w:val="24"/>
        </w:rPr>
        <w:t>Využití prostředků z Národního plánu obnovy</w:t>
      </w:r>
      <w:r w:rsidR="00015DBC">
        <w:rPr>
          <w:rFonts w:eastAsia="Arial" w:cs="Calibri"/>
          <w:sz w:val="24"/>
          <w:szCs w:val="24"/>
        </w:rPr>
        <w:t>;</w:t>
      </w:r>
      <w:r>
        <w:rPr>
          <w:rFonts w:eastAsia="Arial" w:cs="Calibri"/>
          <w:sz w:val="24"/>
          <w:szCs w:val="24"/>
        </w:rPr>
        <w:t xml:space="preserve"> </w:t>
      </w:r>
    </w:p>
    <w:p w14:paraId="57A885F8" w14:textId="1D1AF778" w:rsidR="00BC29B7" w:rsidRDefault="00B842A1">
      <w:pPr>
        <w:pStyle w:val="Odstavecseseznamem"/>
        <w:numPr>
          <w:ilvl w:val="0"/>
          <w:numId w:val="21"/>
        </w:numPr>
        <w:spacing w:after="0" w:line="251" w:lineRule="auto"/>
        <w:jc w:val="both"/>
        <w:rPr>
          <w:rFonts w:eastAsia="Arial" w:cs="Calibri"/>
          <w:sz w:val="24"/>
          <w:szCs w:val="24"/>
        </w:rPr>
      </w:pPr>
      <w:r>
        <w:rPr>
          <w:rFonts w:eastAsia="Arial" w:cs="Calibri"/>
          <w:sz w:val="24"/>
          <w:szCs w:val="24"/>
        </w:rPr>
        <w:t>Rozpočet - 1,6 mld. Kč</w:t>
      </w:r>
      <w:r w:rsidR="00015DBC">
        <w:rPr>
          <w:rFonts w:eastAsia="Arial" w:cs="Calibri"/>
          <w:sz w:val="24"/>
          <w:szCs w:val="24"/>
        </w:rPr>
        <w:t>;</w:t>
      </w:r>
      <w:r>
        <w:rPr>
          <w:rFonts w:eastAsia="Arial" w:cs="Calibri"/>
          <w:sz w:val="24"/>
          <w:szCs w:val="24"/>
        </w:rPr>
        <w:t xml:space="preserve"> </w:t>
      </w:r>
    </w:p>
    <w:p w14:paraId="7728700E" w14:textId="2E948A84" w:rsidR="00BC29B7" w:rsidRDefault="00B842A1">
      <w:pPr>
        <w:pStyle w:val="Odstavecseseznamem"/>
        <w:numPr>
          <w:ilvl w:val="0"/>
          <w:numId w:val="21"/>
        </w:numPr>
        <w:spacing w:after="0" w:line="251" w:lineRule="auto"/>
        <w:jc w:val="both"/>
        <w:rPr>
          <w:rFonts w:eastAsia="Arial" w:cs="Calibri"/>
          <w:sz w:val="24"/>
          <w:szCs w:val="24"/>
        </w:rPr>
      </w:pPr>
      <w:r>
        <w:rPr>
          <w:rFonts w:eastAsia="Arial" w:cs="Calibri"/>
          <w:sz w:val="24"/>
          <w:szCs w:val="24"/>
        </w:rPr>
        <w:t>Komponenta 1.5. Digitální transformace podniků</w:t>
      </w:r>
      <w:r w:rsidR="00015DBC">
        <w:rPr>
          <w:rFonts w:eastAsia="Arial" w:cs="Calibri"/>
          <w:sz w:val="24"/>
          <w:szCs w:val="24"/>
        </w:rPr>
        <w:t>;</w:t>
      </w:r>
      <w:r>
        <w:rPr>
          <w:rFonts w:eastAsia="Arial" w:cs="Calibri"/>
          <w:sz w:val="24"/>
          <w:szCs w:val="24"/>
        </w:rPr>
        <w:t xml:space="preserve"> </w:t>
      </w:r>
    </w:p>
    <w:p w14:paraId="655FB7AE" w14:textId="3474D279" w:rsidR="00BC29B7" w:rsidRDefault="00B842A1">
      <w:pPr>
        <w:pStyle w:val="Odstavecseseznamem"/>
        <w:numPr>
          <w:ilvl w:val="0"/>
          <w:numId w:val="21"/>
        </w:numPr>
        <w:spacing w:after="0"/>
        <w:jc w:val="both"/>
        <w:rPr>
          <w:rFonts w:eastAsia="Arial" w:cs="Calibri"/>
          <w:sz w:val="24"/>
          <w:szCs w:val="24"/>
        </w:rPr>
      </w:pPr>
      <w:r>
        <w:rPr>
          <w:rFonts w:eastAsia="Arial" w:cs="Calibri"/>
          <w:sz w:val="24"/>
          <w:szCs w:val="24"/>
        </w:rPr>
        <w:t>377 podpořených firem</w:t>
      </w:r>
      <w:r w:rsidR="00015DBC">
        <w:rPr>
          <w:rFonts w:eastAsia="Arial" w:cs="Calibri"/>
          <w:sz w:val="24"/>
          <w:szCs w:val="24"/>
        </w:rPr>
        <w:t>.</w:t>
      </w:r>
    </w:p>
    <w:p w14:paraId="0B3805AC" w14:textId="314574A5" w:rsidR="00BC29B7" w:rsidRDefault="00B842A1">
      <w:pPr>
        <w:spacing w:before="240" w:after="240"/>
        <w:jc w:val="both"/>
        <w:rPr>
          <w:rFonts w:eastAsia="Arial" w:cs="Calibri"/>
          <w:b/>
          <w:bCs/>
          <w:sz w:val="24"/>
          <w:szCs w:val="24"/>
        </w:rPr>
      </w:pPr>
      <w:r>
        <w:rPr>
          <w:rFonts w:eastAsia="Arial" w:cs="Calibri"/>
          <w:sz w:val="24"/>
          <w:szCs w:val="24"/>
        </w:rPr>
        <w:t xml:space="preserve"> </w:t>
      </w:r>
      <w:r>
        <w:rPr>
          <w:rFonts w:eastAsia="Arial" w:cs="Calibri"/>
          <w:b/>
          <w:bCs/>
          <w:sz w:val="24"/>
          <w:szCs w:val="24"/>
        </w:rPr>
        <w:t>Aplikace – DEEP TECH – Výzva III. (OP TAK)</w:t>
      </w:r>
    </w:p>
    <w:p w14:paraId="7F3E5A64" w14:textId="1392AE37" w:rsidR="00BC29B7" w:rsidRDefault="00B842A1">
      <w:pPr>
        <w:pStyle w:val="Odstavecseseznamem"/>
        <w:numPr>
          <w:ilvl w:val="0"/>
          <w:numId w:val="22"/>
        </w:numPr>
        <w:spacing w:after="0"/>
        <w:jc w:val="both"/>
        <w:rPr>
          <w:rFonts w:eastAsia="Arial" w:cs="Calibri"/>
          <w:sz w:val="24"/>
          <w:szCs w:val="24"/>
        </w:rPr>
      </w:pPr>
      <w:r>
        <w:rPr>
          <w:rFonts w:eastAsia="Arial" w:cs="Calibri"/>
          <w:sz w:val="24"/>
          <w:szCs w:val="24"/>
        </w:rPr>
        <w:t>Cílem opatření je posílit výkonnost podniků, zejména malých a středních, v oblasti výzkumu, vývoje a inovací a jejich digitální transformace</w:t>
      </w:r>
      <w:r w:rsidR="00015DBC">
        <w:rPr>
          <w:rFonts w:eastAsia="Arial" w:cs="Calibri"/>
          <w:sz w:val="24"/>
          <w:szCs w:val="24"/>
        </w:rPr>
        <w:t>;</w:t>
      </w:r>
      <w:r>
        <w:rPr>
          <w:rFonts w:eastAsia="Arial" w:cs="Calibri"/>
          <w:sz w:val="24"/>
          <w:szCs w:val="24"/>
        </w:rPr>
        <w:t xml:space="preserve"> </w:t>
      </w:r>
    </w:p>
    <w:p w14:paraId="161EB667" w14:textId="7D3239A9" w:rsidR="00BC29B7" w:rsidRDefault="00B842A1">
      <w:pPr>
        <w:pStyle w:val="Odstavecseseznamem"/>
        <w:numPr>
          <w:ilvl w:val="0"/>
          <w:numId w:val="22"/>
        </w:numPr>
        <w:spacing w:after="0"/>
        <w:jc w:val="both"/>
        <w:rPr>
          <w:rFonts w:eastAsia="Arial" w:cs="Calibri"/>
          <w:sz w:val="24"/>
          <w:szCs w:val="24"/>
        </w:rPr>
      </w:pPr>
      <w:r>
        <w:rPr>
          <w:rFonts w:eastAsia="Arial" w:cs="Calibri"/>
          <w:sz w:val="24"/>
          <w:szCs w:val="24"/>
        </w:rPr>
        <w:t>Opatření probíhá od roku 2024 do roku 2028</w:t>
      </w:r>
      <w:r w:rsidR="00015DBC">
        <w:rPr>
          <w:rFonts w:eastAsia="Arial" w:cs="Calibri"/>
          <w:sz w:val="24"/>
          <w:szCs w:val="24"/>
        </w:rPr>
        <w:t>;</w:t>
      </w:r>
    </w:p>
    <w:p w14:paraId="33483B80" w14:textId="0ADB05C1" w:rsidR="00BC29B7" w:rsidRDefault="00B842A1">
      <w:pPr>
        <w:pStyle w:val="Odstavecseseznamem"/>
        <w:numPr>
          <w:ilvl w:val="0"/>
          <w:numId w:val="22"/>
        </w:numPr>
        <w:spacing w:after="0"/>
        <w:jc w:val="both"/>
        <w:rPr>
          <w:rFonts w:eastAsia="Arial" w:cs="Calibri"/>
          <w:sz w:val="24"/>
          <w:szCs w:val="24"/>
        </w:rPr>
      </w:pPr>
      <w:r>
        <w:rPr>
          <w:rFonts w:eastAsia="Arial" w:cs="Calibri"/>
          <w:sz w:val="24"/>
          <w:szCs w:val="24"/>
        </w:rPr>
        <w:t>Rozpočet – 3 mld. Kč</w:t>
      </w:r>
      <w:r w:rsidR="00015DBC">
        <w:rPr>
          <w:rFonts w:eastAsia="Arial" w:cs="Calibri"/>
          <w:sz w:val="24"/>
          <w:szCs w:val="24"/>
        </w:rPr>
        <w:t>;</w:t>
      </w:r>
    </w:p>
    <w:p w14:paraId="751F6C2C" w14:textId="0F786C3F" w:rsidR="00BC29B7" w:rsidRDefault="00B842A1">
      <w:pPr>
        <w:pStyle w:val="Odstavecseseznamem"/>
        <w:numPr>
          <w:ilvl w:val="0"/>
          <w:numId w:val="22"/>
        </w:numPr>
        <w:spacing w:after="0"/>
        <w:jc w:val="both"/>
        <w:rPr>
          <w:rFonts w:eastAsia="Arial" w:cs="Calibri"/>
          <w:sz w:val="24"/>
          <w:szCs w:val="24"/>
        </w:rPr>
      </w:pPr>
      <w:r>
        <w:rPr>
          <w:rFonts w:eastAsia="Arial" w:cs="Calibri"/>
          <w:sz w:val="24"/>
          <w:szCs w:val="24"/>
        </w:rPr>
        <w:t>Opatření přispěje mj. k rozšíření technologií umělé inteligence, analýzy dat, 5G mezi podniky a inovacím ve výrobě polovodičů v ČR</w:t>
      </w:r>
      <w:r w:rsidR="00015DBC">
        <w:rPr>
          <w:rFonts w:eastAsia="Arial" w:cs="Calibri"/>
          <w:sz w:val="24"/>
          <w:szCs w:val="24"/>
        </w:rPr>
        <w:t>;</w:t>
      </w:r>
    </w:p>
    <w:p w14:paraId="30FEA473" w14:textId="77777777" w:rsidR="00514022" w:rsidRDefault="00514022" w:rsidP="00015DBC">
      <w:pPr>
        <w:spacing w:after="0"/>
        <w:jc w:val="both"/>
        <w:rPr>
          <w:rFonts w:eastAsia="Arial" w:cs="Calibri"/>
          <w:sz w:val="24"/>
          <w:szCs w:val="24"/>
        </w:rPr>
      </w:pPr>
    </w:p>
    <w:p w14:paraId="352E6B12" w14:textId="19DD6A08" w:rsidR="00015DBC" w:rsidRDefault="00B842A1" w:rsidP="00015DBC">
      <w:pPr>
        <w:spacing w:after="0"/>
        <w:jc w:val="both"/>
        <w:rPr>
          <w:rFonts w:eastAsia="Arial" w:cs="Calibri"/>
          <w:b/>
          <w:bCs/>
          <w:sz w:val="24"/>
          <w:szCs w:val="24"/>
        </w:rPr>
      </w:pPr>
      <w:r w:rsidRPr="00F36206">
        <w:rPr>
          <w:rFonts w:eastAsia="Arial" w:cs="Calibri"/>
          <w:b/>
          <w:bCs/>
          <w:sz w:val="24"/>
          <w:szCs w:val="24"/>
        </w:rPr>
        <w:t xml:space="preserve">Program Technologická inkubace </w:t>
      </w:r>
    </w:p>
    <w:p w14:paraId="3A53B9F5" w14:textId="43BEBD38" w:rsidR="00BC29B7" w:rsidRDefault="00B842A1" w:rsidP="00F36206">
      <w:pPr>
        <w:pStyle w:val="Odstavecseseznamem"/>
        <w:numPr>
          <w:ilvl w:val="0"/>
          <w:numId w:val="34"/>
        </w:numPr>
        <w:spacing w:after="0"/>
        <w:jc w:val="both"/>
      </w:pPr>
      <w:r w:rsidRPr="00F36206">
        <w:rPr>
          <w:rFonts w:eastAsia="Arial" w:cs="Calibri"/>
          <w:sz w:val="24"/>
          <w:szCs w:val="24"/>
        </w:rPr>
        <w:t>Podpora startupů (339 z registrovaných 1508 je zaměřeno na AI) prostřednictvím agentury CzechInvest</w:t>
      </w:r>
      <w:r w:rsidR="00015DBC">
        <w:rPr>
          <w:rFonts w:eastAsia="Arial" w:cs="Calibri"/>
          <w:sz w:val="24"/>
          <w:szCs w:val="24"/>
        </w:rPr>
        <w:t>;</w:t>
      </w:r>
      <w:r w:rsidRPr="00F36206">
        <w:rPr>
          <w:rFonts w:eastAsia="Arial" w:cs="Calibri"/>
          <w:sz w:val="24"/>
          <w:szCs w:val="24"/>
        </w:rPr>
        <w:t xml:space="preserve"> </w:t>
      </w:r>
    </w:p>
    <w:p w14:paraId="3911CDA3" w14:textId="5E3970C6" w:rsidR="00BC29B7" w:rsidRDefault="00B842A1">
      <w:pPr>
        <w:pStyle w:val="Odstavecseseznamem"/>
        <w:numPr>
          <w:ilvl w:val="0"/>
          <w:numId w:val="24"/>
        </w:numPr>
        <w:spacing w:after="0"/>
        <w:jc w:val="both"/>
        <w:rPr>
          <w:rFonts w:eastAsia="Arial" w:cs="Calibri"/>
          <w:sz w:val="24"/>
          <w:szCs w:val="24"/>
        </w:rPr>
      </w:pPr>
      <w:r>
        <w:rPr>
          <w:rFonts w:eastAsia="Arial" w:cs="Calibri"/>
          <w:sz w:val="24"/>
          <w:szCs w:val="24"/>
        </w:rPr>
        <w:t>Opatření je implementováno v období od začátku června 2022 do konce roku 2027</w:t>
      </w:r>
      <w:r w:rsidR="00015DBC">
        <w:rPr>
          <w:rFonts w:eastAsia="Arial" w:cs="Calibri"/>
          <w:sz w:val="24"/>
          <w:szCs w:val="24"/>
        </w:rPr>
        <w:t>;</w:t>
      </w:r>
    </w:p>
    <w:p w14:paraId="7B0AB3B0" w14:textId="17EE35AA" w:rsidR="00BC29B7" w:rsidRDefault="00015DBC">
      <w:pPr>
        <w:pStyle w:val="Odstavecseseznamem"/>
        <w:numPr>
          <w:ilvl w:val="0"/>
          <w:numId w:val="24"/>
        </w:numPr>
        <w:spacing w:after="0"/>
        <w:jc w:val="both"/>
        <w:rPr>
          <w:rFonts w:eastAsia="Arial" w:cs="Calibri"/>
          <w:sz w:val="24"/>
          <w:szCs w:val="24"/>
        </w:rPr>
      </w:pPr>
      <w:r>
        <w:rPr>
          <w:rFonts w:eastAsia="Arial" w:cs="Calibri"/>
          <w:sz w:val="24"/>
          <w:szCs w:val="24"/>
        </w:rPr>
        <w:t xml:space="preserve">Rozpočet </w:t>
      </w:r>
      <w:r w:rsidR="00B842A1">
        <w:rPr>
          <w:rFonts w:eastAsia="Arial" w:cs="Calibri"/>
          <w:sz w:val="24"/>
          <w:szCs w:val="24"/>
        </w:rPr>
        <w:t>857 milionů Kč (státní rozpočet)</w:t>
      </w:r>
      <w:r>
        <w:rPr>
          <w:rFonts w:eastAsia="Arial" w:cs="Calibri"/>
          <w:sz w:val="24"/>
          <w:szCs w:val="24"/>
        </w:rPr>
        <w:t>.</w:t>
      </w:r>
    </w:p>
    <w:p w14:paraId="288D6EAF" w14:textId="77777777" w:rsidR="004D6D79" w:rsidRDefault="004D6D79" w:rsidP="00F36206">
      <w:pPr>
        <w:pStyle w:val="Odstavecseseznamem"/>
        <w:spacing w:after="0"/>
        <w:jc w:val="both"/>
        <w:rPr>
          <w:rFonts w:eastAsia="Arial" w:cs="Calibri"/>
          <w:sz w:val="24"/>
          <w:szCs w:val="24"/>
        </w:rPr>
      </w:pPr>
    </w:p>
    <w:p w14:paraId="76CB1A49" w14:textId="5CA83ACA" w:rsidR="00BC29B7" w:rsidRDefault="00B842A1" w:rsidP="00F36206">
      <w:pPr>
        <w:spacing w:after="0"/>
        <w:jc w:val="both"/>
        <w:rPr>
          <w:rFonts w:eastAsia="Arial" w:cs="Calibri"/>
          <w:b/>
          <w:bCs/>
          <w:sz w:val="24"/>
          <w:szCs w:val="24"/>
        </w:rPr>
      </w:pPr>
      <w:r>
        <w:rPr>
          <w:rFonts w:eastAsia="Arial" w:cs="Calibri"/>
          <w:b/>
          <w:bCs/>
          <w:sz w:val="24"/>
          <w:szCs w:val="24"/>
        </w:rPr>
        <w:t xml:space="preserve">Podpora exportu </w:t>
      </w:r>
    </w:p>
    <w:p w14:paraId="254F880C" w14:textId="76968B16" w:rsidR="00015DBC" w:rsidRDefault="00B842A1" w:rsidP="004D6D79">
      <w:pPr>
        <w:pStyle w:val="Odstavecseseznamem"/>
        <w:numPr>
          <w:ilvl w:val="0"/>
          <w:numId w:val="24"/>
        </w:numPr>
        <w:spacing w:after="0"/>
        <w:jc w:val="both"/>
        <w:rPr>
          <w:rFonts w:eastAsia="Arial" w:cs="Calibri"/>
          <w:sz w:val="24"/>
          <w:szCs w:val="24"/>
        </w:rPr>
      </w:pPr>
      <w:r>
        <w:rPr>
          <w:rFonts w:eastAsia="Arial" w:cs="Calibri"/>
          <w:sz w:val="24"/>
          <w:szCs w:val="24"/>
        </w:rPr>
        <w:t>Podpora prostřednictvím agentury CzechTrade</w:t>
      </w:r>
      <w:r w:rsidR="00015DBC">
        <w:rPr>
          <w:rFonts w:eastAsia="Arial" w:cs="Calibri"/>
          <w:sz w:val="24"/>
          <w:szCs w:val="24"/>
        </w:rPr>
        <w:t>;</w:t>
      </w:r>
      <w:r>
        <w:rPr>
          <w:rFonts w:eastAsia="Arial" w:cs="Calibri"/>
          <w:sz w:val="24"/>
          <w:szCs w:val="24"/>
        </w:rPr>
        <w:t xml:space="preserve"> </w:t>
      </w:r>
    </w:p>
    <w:p w14:paraId="68BC5622" w14:textId="3CE42F93" w:rsidR="00BC29B7" w:rsidRDefault="00015DBC" w:rsidP="004D6D79">
      <w:pPr>
        <w:pStyle w:val="Odstavecseseznamem"/>
        <w:numPr>
          <w:ilvl w:val="0"/>
          <w:numId w:val="24"/>
        </w:numPr>
        <w:spacing w:after="0"/>
        <w:jc w:val="both"/>
        <w:rPr>
          <w:rFonts w:eastAsia="Arial" w:cs="Calibri"/>
          <w:sz w:val="24"/>
          <w:szCs w:val="24"/>
        </w:rPr>
      </w:pPr>
      <w:r>
        <w:rPr>
          <w:rFonts w:eastAsia="Arial" w:cs="Calibri"/>
          <w:sz w:val="24"/>
          <w:szCs w:val="24"/>
        </w:rPr>
        <w:t>V</w:t>
      </w:r>
      <w:r w:rsidR="00B842A1">
        <w:rPr>
          <w:rFonts w:eastAsia="Arial" w:cs="Calibri"/>
          <w:sz w:val="24"/>
          <w:szCs w:val="24"/>
        </w:rPr>
        <w:t>yhledání partnerů, consulting, data</w:t>
      </w:r>
      <w:r>
        <w:rPr>
          <w:rFonts w:eastAsia="Arial" w:cs="Calibri"/>
          <w:sz w:val="24"/>
          <w:szCs w:val="24"/>
        </w:rPr>
        <w:t>.</w:t>
      </w:r>
    </w:p>
    <w:p w14:paraId="5DA8790A" w14:textId="77777777" w:rsidR="00BC29B7" w:rsidRDefault="00B842A1">
      <w:pPr>
        <w:spacing w:before="240" w:after="240"/>
        <w:jc w:val="both"/>
        <w:rPr>
          <w:rFonts w:eastAsia="Arial" w:cs="Calibri"/>
          <w:b/>
          <w:bCs/>
          <w:sz w:val="24"/>
          <w:szCs w:val="24"/>
        </w:rPr>
      </w:pPr>
      <w:r>
        <w:rPr>
          <w:rFonts w:eastAsia="Arial" w:cs="Calibri"/>
          <w:b/>
          <w:bCs/>
          <w:sz w:val="24"/>
          <w:szCs w:val="24"/>
        </w:rPr>
        <w:t xml:space="preserve">Mezinárodní spolupráce v oblasti AI </w:t>
      </w:r>
    </w:p>
    <w:p w14:paraId="233850F2" w14:textId="303BEB44" w:rsidR="00BC29B7" w:rsidRDefault="00B842A1">
      <w:pPr>
        <w:pStyle w:val="Odstavecseseznamem"/>
        <w:numPr>
          <w:ilvl w:val="0"/>
          <w:numId w:val="25"/>
        </w:numPr>
        <w:spacing w:after="0"/>
        <w:jc w:val="both"/>
        <w:rPr>
          <w:rFonts w:eastAsia="Arial" w:cs="Calibri"/>
          <w:sz w:val="24"/>
          <w:szCs w:val="24"/>
        </w:rPr>
      </w:pPr>
      <w:r>
        <w:rPr>
          <w:rFonts w:eastAsia="Arial" w:cs="Calibri"/>
          <w:sz w:val="24"/>
          <w:szCs w:val="24"/>
        </w:rPr>
        <w:t>Účast MPO v pracovní skupině OECD v AI (Working Party on Artificial Intelligence Governance (AIGO) – sdílení dobré praxe v implementaci národních iniciativ v</w:t>
      </w:r>
      <w:r w:rsidR="00015DBC">
        <w:rPr>
          <w:rFonts w:eastAsia="Arial" w:cs="Calibri"/>
          <w:sz w:val="24"/>
          <w:szCs w:val="24"/>
        </w:rPr>
        <w:t> </w:t>
      </w:r>
      <w:r>
        <w:rPr>
          <w:rFonts w:eastAsia="Arial" w:cs="Calibri"/>
          <w:sz w:val="24"/>
          <w:szCs w:val="24"/>
        </w:rPr>
        <w:t>AI</w:t>
      </w:r>
      <w:r w:rsidR="00015DBC">
        <w:rPr>
          <w:rFonts w:eastAsia="Arial" w:cs="Calibri"/>
          <w:sz w:val="24"/>
          <w:szCs w:val="24"/>
        </w:rPr>
        <w:t>;</w:t>
      </w:r>
    </w:p>
    <w:p w14:paraId="4286255C" w14:textId="5F5464F7" w:rsidR="00BC29B7" w:rsidRDefault="00B842A1">
      <w:pPr>
        <w:pStyle w:val="Odstavecseseznamem"/>
        <w:numPr>
          <w:ilvl w:val="0"/>
          <w:numId w:val="25"/>
        </w:numPr>
        <w:spacing w:after="0"/>
        <w:jc w:val="both"/>
        <w:rPr>
          <w:rFonts w:eastAsia="Arial" w:cs="Calibri"/>
          <w:sz w:val="24"/>
          <w:szCs w:val="24"/>
        </w:rPr>
      </w:pPr>
      <w:r>
        <w:rPr>
          <w:rFonts w:eastAsia="Arial" w:cs="Calibri"/>
          <w:sz w:val="24"/>
          <w:szCs w:val="24"/>
        </w:rPr>
        <w:t xml:space="preserve">Organizace mezinárodních kulatých stolů s like-minded partnery </w:t>
      </w:r>
      <w:r w:rsidR="00015DBC">
        <w:rPr>
          <w:rFonts w:eastAsia="Arial" w:cs="Calibri"/>
          <w:sz w:val="24"/>
          <w:szCs w:val="24"/>
        </w:rPr>
        <w:t xml:space="preserve">z </w:t>
      </w:r>
      <w:r>
        <w:rPr>
          <w:rFonts w:eastAsia="Arial" w:cs="Calibri"/>
          <w:sz w:val="24"/>
          <w:szCs w:val="24"/>
        </w:rPr>
        <w:t>Nizozem</w:t>
      </w:r>
      <w:r w:rsidR="00015DBC">
        <w:rPr>
          <w:rFonts w:eastAsia="Arial" w:cs="Calibri"/>
          <w:sz w:val="24"/>
          <w:szCs w:val="24"/>
        </w:rPr>
        <w:t>ska</w:t>
      </w:r>
      <w:r>
        <w:rPr>
          <w:rFonts w:eastAsia="Arial" w:cs="Calibri"/>
          <w:sz w:val="24"/>
          <w:szCs w:val="24"/>
        </w:rPr>
        <w:t>, Velk</w:t>
      </w:r>
      <w:r w:rsidR="00015DBC">
        <w:rPr>
          <w:rFonts w:eastAsia="Arial" w:cs="Calibri"/>
          <w:sz w:val="24"/>
          <w:szCs w:val="24"/>
        </w:rPr>
        <w:t>é</w:t>
      </w:r>
      <w:r>
        <w:rPr>
          <w:rFonts w:eastAsia="Arial" w:cs="Calibri"/>
          <w:sz w:val="24"/>
          <w:szCs w:val="24"/>
        </w:rPr>
        <w:t xml:space="preserve"> Británie, USA a Kanad</w:t>
      </w:r>
      <w:r w:rsidR="00015DBC">
        <w:rPr>
          <w:rFonts w:eastAsia="Arial" w:cs="Calibri"/>
          <w:sz w:val="24"/>
          <w:szCs w:val="24"/>
        </w:rPr>
        <w:t>y</w:t>
      </w:r>
      <w:r>
        <w:rPr>
          <w:rFonts w:eastAsia="Arial" w:cs="Calibri"/>
          <w:sz w:val="24"/>
          <w:szCs w:val="24"/>
        </w:rPr>
        <w:t xml:space="preserve"> únor 2024</w:t>
      </w:r>
      <w:r w:rsidR="00015DBC">
        <w:rPr>
          <w:rFonts w:eastAsia="Arial" w:cs="Calibri"/>
          <w:sz w:val="24"/>
          <w:szCs w:val="24"/>
        </w:rPr>
        <w:t>;</w:t>
      </w:r>
      <w:r>
        <w:rPr>
          <w:rFonts w:eastAsia="Arial" w:cs="Calibri"/>
          <w:sz w:val="24"/>
          <w:szCs w:val="24"/>
        </w:rPr>
        <w:t xml:space="preserve"> </w:t>
      </w:r>
    </w:p>
    <w:p w14:paraId="2F542545" w14:textId="018C7065" w:rsidR="00BC29B7" w:rsidRDefault="00B842A1">
      <w:pPr>
        <w:pStyle w:val="Odstavecseseznamem"/>
        <w:numPr>
          <w:ilvl w:val="0"/>
          <w:numId w:val="25"/>
        </w:numPr>
        <w:spacing w:after="0"/>
        <w:jc w:val="both"/>
        <w:rPr>
          <w:rFonts w:eastAsia="Arial" w:cs="Calibri"/>
          <w:sz w:val="24"/>
          <w:szCs w:val="24"/>
        </w:rPr>
      </w:pPr>
      <w:r>
        <w:rPr>
          <w:rFonts w:eastAsia="Arial" w:cs="Calibri"/>
          <w:sz w:val="24"/>
          <w:szCs w:val="24"/>
        </w:rPr>
        <w:t>Mise do Kanady, Francie a Velké Británie v oblasti AI v roce 2023</w:t>
      </w:r>
      <w:r w:rsidR="00B37329">
        <w:rPr>
          <w:rFonts w:eastAsia="Arial" w:cs="Calibri"/>
          <w:sz w:val="24"/>
          <w:szCs w:val="24"/>
        </w:rPr>
        <w:t>;</w:t>
      </w:r>
    </w:p>
    <w:p w14:paraId="4A26A2A8" w14:textId="77777777" w:rsidR="00BC29B7" w:rsidRDefault="00B842A1">
      <w:pPr>
        <w:pStyle w:val="Odstavecseseznamem"/>
        <w:numPr>
          <w:ilvl w:val="0"/>
          <w:numId w:val="25"/>
        </w:numPr>
        <w:spacing w:after="0"/>
        <w:jc w:val="both"/>
        <w:rPr>
          <w:rFonts w:eastAsia="Arial" w:cs="Calibri"/>
          <w:sz w:val="24"/>
          <w:szCs w:val="24"/>
        </w:rPr>
      </w:pPr>
      <w:r>
        <w:rPr>
          <w:rFonts w:eastAsia="Arial" w:cs="Calibri"/>
          <w:sz w:val="24"/>
          <w:szCs w:val="24"/>
        </w:rPr>
        <w:t xml:space="preserve">Účast v D9+ skupině digitálně vyspělých zemí EU. </w:t>
      </w:r>
    </w:p>
    <w:p w14:paraId="368A16F0" w14:textId="73C36730" w:rsidR="00BC29B7" w:rsidRDefault="00B842A1">
      <w:pPr>
        <w:spacing w:before="240" w:after="240"/>
        <w:jc w:val="both"/>
        <w:rPr>
          <w:rFonts w:eastAsia="Arial" w:cs="Calibri"/>
          <w:b/>
          <w:bCs/>
          <w:sz w:val="24"/>
          <w:szCs w:val="24"/>
        </w:rPr>
      </w:pPr>
      <w:r>
        <w:rPr>
          <w:rFonts w:eastAsia="Arial" w:cs="Calibri"/>
          <w:sz w:val="24"/>
          <w:szCs w:val="24"/>
        </w:rPr>
        <w:t xml:space="preserve"> </w:t>
      </w:r>
      <w:r>
        <w:rPr>
          <w:rFonts w:eastAsia="Arial" w:cs="Calibri"/>
          <w:b/>
          <w:bCs/>
          <w:sz w:val="24"/>
          <w:szCs w:val="24"/>
        </w:rPr>
        <w:t>EU AI Act Board</w:t>
      </w:r>
    </w:p>
    <w:p w14:paraId="6A9EC728" w14:textId="03C07876" w:rsidR="00BC29B7" w:rsidRDefault="00B842A1">
      <w:pPr>
        <w:pStyle w:val="Odstavecseseznamem"/>
        <w:numPr>
          <w:ilvl w:val="0"/>
          <w:numId w:val="13"/>
        </w:numPr>
        <w:spacing w:after="0"/>
        <w:jc w:val="both"/>
        <w:rPr>
          <w:rFonts w:eastAsia="Arial" w:cs="Calibri"/>
          <w:sz w:val="24"/>
          <w:szCs w:val="24"/>
        </w:rPr>
      </w:pPr>
      <w:r>
        <w:rPr>
          <w:rFonts w:eastAsia="Arial" w:cs="Calibri"/>
          <w:sz w:val="24"/>
          <w:szCs w:val="24"/>
        </w:rPr>
        <w:t>Účastníci: Ú</w:t>
      </w:r>
      <w:r w:rsidR="00FA175F">
        <w:rPr>
          <w:rFonts w:eastAsia="Arial" w:cs="Calibri"/>
          <w:sz w:val="24"/>
          <w:szCs w:val="24"/>
        </w:rPr>
        <w:t>řad vlády</w:t>
      </w:r>
      <w:r>
        <w:rPr>
          <w:rFonts w:eastAsia="Arial" w:cs="Calibri"/>
          <w:sz w:val="24"/>
          <w:szCs w:val="24"/>
        </w:rPr>
        <w:t xml:space="preserve"> je gestor a MPO je spolugestor</w:t>
      </w:r>
      <w:r w:rsidR="00FA175F">
        <w:rPr>
          <w:rFonts w:eastAsia="Arial" w:cs="Calibri"/>
          <w:sz w:val="24"/>
          <w:szCs w:val="24"/>
        </w:rPr>
        <w:t>,</w:t>
      </w:r>
      <w:r>
        <w:rPr>
          <w:rFonts w:eastAsia="Arial" w:cs="Calibri"/>
          <w:sz w:val="24"/>
          <w:szCs w:val="24"/>
        </w:rPr>
        <w:t xml:space="preserve"> aktivně zastupuje ČR na EU v orgánu AI Board</w:t>
      </w:r>
      <w:r w:rsidR="00FA175F">
        <w:rPr>
          <w:rFonts w:eastAsia="Arial" w:cs="Calibri"/>
          <w:sz w:val="24"/>
          <w:szCs w:val="24"/>
        </w:rPr>
        <w:t>;</w:t>
      </w:r>
    </w:p>
    <w:p w14:paraId="684B3ECB" w14:textId="09D9E8F7" w:rsidR="00BC29B7" w:rsidRPr="00F36206" w:rsidRDefault="00B842A1">
      <w:pPr>
        <w:pStyle w:val="Odstavecseseznamem"/>
        <w:numPr>
          <w:ilvl w:val="0"/>
          <w:numId w:val="13"/>
        </w:numPr>
        <w:spacing w:after="0"/>
        <w:jc w:val="both"/>
      </w:pPr>
      <w:r w:rsidRPr="00F36206">
        <w:rPr>
          <w:rFonts w:eastAsia="Arial" w:cs="Calibri"/>
          <w:sz w:val="24"/>
          <w:szCs w:val="24"/>
        </w:rPr>
        <w:t>Jedná se o regulační a koordinační orgán na úrovni Evropské unie, který podporuje harmonizované uplatňování pravidel AI Aktu napříč EU</w:t>
      </w:r>
      <w:r w:rsidR="00FA175F" w:rsidRPr="00F36206">
        <w:rPr>
          <w:rFonts w:eastAsia="Arial" w:cs="Calibri"/>
          <w:sz w:val="24"/>
          <w:szCs w:val="24"/>
        </w:rPr>
        <w:t>;</w:t>
      </w:r>
    </w:p>
    <w:p w14:paraId="29B4D5DA" w14:textId="77777777" w:rsidR="00BC29B7" w:rsidRDefault="00B842A1">
      <w:pPr>
        <w:pStyle w:val="Odstavecseseznamem"/>
        <w:numPr>
          <w:ilvl w:val="0"/>
          <w:numId w:val="13"/>
        </w:numPr>
        <w:spacing w:after="0"/>
        <w:jc w:val="both"/>
        <w:rPr>
          <w:rFonts w:eastAsia="Arial" w:cs="Calibri"/>
          <w:sz w:val="24"/>
          <w:szCs w:val="24"/>
        </w:rPr>
      </w:pPr>
      <w:r>
        <w:rPr>
          <w:rFonts w:eastAsia="Arial" w:cs="Calibri"/>
          <w:sz w:val="24"/>
          <w:szCs w:val="24"/>
        </w:rPr>
        <w:t>Orgán dozoruje nad implementací a výkladem pravidel AI Aktu, zejména v oblasti vysoce rizikových AI systémů.</w:t>
      </w:r>
    </w:p>
    <w:p w14:paraId="13C23180" w14:textId="4C4AF812" w:rsidR="003D5A96" w:rsidRPr="003D5A96" w:rsidRDefault="003D5A96" w:rsidP="003D5A96">
      <w:pPr>
        <w:spacing w:before="240" w:after="240"/>
        <w:ind w:left="66"/>
        <w:jc w:val="both"/>
        <w:rPr>
          <w:rFonts w:eastAsia="Arial" w:cs="Calibri"/>
          <w:b/>
          <w:bCs/>
          <w:sz w:val="24"/>
          <w:szCs w:val="24"/>
        </w:rPr>
      </w:pPr>
      <w:r>
        <w:rPr>
          <w:rFonts w:eastAsia="Arial" w:cs="Calibri"/>
          <w:b/>
          <w:bCs/>
          <w:sz w:val="24"/>
          <w:szCs w:val="24"/>
        </w:rPr>
        <w:lastRenderedPageBreak/>
        <w:t xml:space="preserve">Budoucí </w:t>
      </w:r>
      <w:r w:rsidRPr="003D5A96">
        <w:rPr>
          <w:rFonts w:eastAsia="Arial" w:cs="Calibri"/>
          <w:b/>
          <w:bCs/>
          <w:sz w:val="24"/>
          <w:szCs w:val="24"/>
        </w:rPr>
        <w:t xml:space="preserve">AI Gigafactory </w:t>
      </w:r>
    </w:p>
    <w:p w14:paraId="77EAE9C7" w14:textId="6821F765" w:rsidR="00FA175F" w:rsidRDefault="003D5A96" w:rsidP="003D5A96">
      <w:pPr>
        <w:pStyle w:val="Odstavecseseznamem"/>
        <w:numPr>
          <w:ilvl w:val="0"/>
          <w:numId w:val="32"/>
        </w:numPr>
        <w:spacing w:before="240" w:after="240"/>
        <w:jc w:val="both"/>
        <w:rPr>
          <w:rFonts w:eastAsia="Arial" w:cs="Calibri"/>
          <w:sz w:val="24"/>
          <w:szCs w:val="24"/>
        </w:rPr>
      </w:pPr>
      <w:r w:rsidRPr="009A1EC2">
        <w:rPr>
          <w:rFonts w:eastAsia="Arial" w:cs="Calibri"/>
          <w:sz w:val="24"/>
          <w:szCs w:val="24"/>
        </w:rPr>
        <w:t>Do budoucna se chystají v Evropské uni</w:t>
      </w:r>
      <w:r w:rsidR="00FA175F">
        <w:rPr>
          <w:rFonts w:eastAsia="Arial" w:cs="Calibri"/>
          <w:sz w:val="24"/>
          <w:szCs w:val="24"/>
        </w:rPr>
        <w:t>i</w:t>
      </w:r>
      <w:r w:rsidRPr="009A1EC2">
        <w:rPr>
          <w:rFonts w:eastAsia="Arial" w:cs="Calibri"/>
          <w:sz w:val="24"/>
          <w:szCs w:val="24"/>
        </w:rPr>
        <w:t xml:space="preserve"> další investice do </w:t>
      </w:r>
      <w:r w:rsidR="004D6D79">
        <w:rPr>
          <w:rFonts w:eastAsia="Arial" w:cs="Calibri"/>
          <w:sz w:val="24"/>
          <w:szCs w:val="24"/>
        </w:rPr>
        <w:t>umělé inteligence</w:t>
      </w:r>
      <w:r w:rsidRPr="009A1EC2">
        <w:rPr>
          <w:rFonts w:eastAsia="Arial" w:cs="Calibri"/>
          <w:sz w:val="24"/>
          <w:szCs w:val="24"/>
        </w:rPr>
        <w:t>. Má vzniknout Fond InvestAI Evropské unie, který bude financovat</w:t>
      </w:r>
      <w:r w:rsidRPr="00F36206">
        <w:rPr>
          <w:rFonts w:eastAsia="Arial" w:cs="Calibri"/>
          <w:sz w:val="24"/>
          <w:szCs w:val="24"/>
        </w:rPr>
        <w:t xml:space="preserve"> čtyři budoucí AI </w:t>
      </w:r>
      <w:r w:rsidR="00F36206">
        <w:rPr>
          <w:rFonts w:eastAsia="Arial" w:cs="Calibri"/>
          <w:sz w:val="24"/>
          <w:szCs w:val="24"/>
        </w:rPr>
        <w:t>G</w:t>
      </w:r>
      <w:r w:rsidRPr="00F36206">
        <w:rPr>
          <w:rFonts w:eastAsia="Arial" w:cs="Calibri"/>
          <w:sz w:val="24"/>
          <w:szCs w:val="24"/>
        </w:rPr>
        <w:t xml:space="preserve">igafactory po celé EU. </w:t>
      </w:r>
      <w:r w:rsidRPr="009A1EC2">
        <w:rPr>
          <w:rFonts w:eastAsia="Arial" w:cs="Calibri"/>
          <w:sz w:val="24"/>
          <w:szCs w:val="24"/>
        </w:rPr>
        <w:t xml:space="preserve">Nové AI </w:t>
      </w:r>
      <w:r w:rsidR="00F36206">
        <w:rPr>
          <w:rFonts w:eastAsia="Arial" w:cs="Calibri"/>
          <w:sz w:val="24"/>
          <w:szCs w:val="24"/>
        </w:rPr>
        <w:t>G</w:t>
      </w:r>
      <w:r w:rsidRPr="009A1EC2">
        <w:rPr>
          <w:rFonts w:eastAsia="Arial" w:cs="Calibri"/>
          <w:sz w:val="24"/>
          <w:szCs w:val="24"/>
        </w:rPr>
        <w:t xml:space="preserve">igafactory se budou specializovat na trénování nejsložitějších, velmi velkých AI modelů. Tyto modely nové generace vyžadují rozsáhlou výpočetní infrastrukturu pro průlomy v konkrétních oblastech, jako je medicína nebo věda. Gigafactory budou mít kolem 100 000 </w:t>
      </w:r>
      <w:r w:rsidR="00FA175F">
        <w:rPr>
          <w:rFonts w:eastAsia="Arial" w:cs="Calibri"/>
          <w:sz w:val="24"/>
          <w:szCs w:val="24"/>
        </w:rPr>
        <w:t xml:space="preserve">AI </w:t>
      </w:r>
      <w:r w:rsidRPr="009A1EC2">
        <w:rPr>
          <w:rFonts w:eastAsia="Arial" w:cs="Calibri"/>
          <w:sz w:val="24"/>
          <w:szCs w:val="24"/>
        </w:rPr>
        <w:t>čipů poslední generace, což je zhruba čtyřikrát více než AI továrny, které se právě zřizují</w:t>
      </w:r>
      <w:r w:rsidR="00FA175F">
        <w:rPr>
          <w:rFonts w:eastAsia="Arial" w:cs="Calibri"/>
          <w:sz w:val="24"/>
          <w:szCs w:val="24"/>
        </w:rPr>
        <w:t>;</w:t>
      </w:r>
      <w:r w:rsidRPr="009A1EC2">
        <w:rPr>
          <w:rFonts w:eastAsia="Arial" w:cs="Calibri"/>
          <w:sz w:val="24"/>
          <w:szCs w:val="24"/>
        </w:rPr>
        <w:t xml:space="preserve"> </w:t>
      </w:r>
    </w:p>
    <w:p w14:paraId="65AECEAB" w14:textId="3E574470" w:rsidR="00BC29B7" w:rsidRPr="009A1EC2" w:rsidRDefault="004D6D79" w:rsidP="003D5A96">
      <w:pPr>
        <w:pStyle w:val="Odstavecseseznamem"/>
        <w:numPr>
          <w:ilvl w:val="0"/>
          <w:numId w:val="32"/>
        </w:numPr>
        <w:spacing w:before="240" w:after="240"/>
        <w:jc w:val="both"/>
        <w:rPr>
          <w:rFonts w:eastAsia="Arial" w:cs="Calibri"/>
          <w:sz w:val="24"/>
          <w:szCs w:val="24"/>
        </w:rPr>
      </w:pPr>
      <w:r>
        <w:rPr>
          <w:rFonts w:eastAsia="Arial" w:cs="Calibri"/>
          <w:sz w:val="24"/>
          <w:szCs w:val="24"/>
        </w:rPr>
        <w:t xml:space="preserve">AI </w:t>
      </w:r>
      <w:r w:rsidR="00F36206">
        <w:rPr>
          <w:rFonts w:eastAsia="Arial" w:cs="Calibri"/>
          <w:sz w:val="24"/>
          <w:szCs w:val="24"/>
        </w:rPr>
        <w:t>G</w:t>
      </w:r>
      <w:r w:rsidR="003D5A96" w:rsidRPr="009A1EC2">
        <w:rPr>
          <w:rFonts w:eastAsia="Arial" w:cs="Calibri"/>
          <w:sz w:val="24"/>
          <w:szCs w:val="24"/>
        </w:rPr>
        <w:t>igafactory financované prostřednictvím InvestAI budou největší veřejně-privátním partnerstvím na světě pro rozvoj důvěryhodného AI.</w:t>
      </w:r>
      <w:r>
        <w:rPr>
          <w:rFonts w:eastAsia="Arial" w:cs="Calibri"/>
          <w:sz w:val="24"/>
          <w:szCs w:val="24"/>
        </w:rPr>
        <w:t xml:space="preserve"> </w:t>
      </w:r>
      <w:r w:rsidR="003D5A96" w:rsidRPr="009A1EC2">
        <w:rPr>
          <w:rFonts w:eastAsia="Arial" w:cs="Calibri"/>
          <w:sz w:val="24"/>
          <w:szCs w:val="24"/>
        </w:rPr>
        <w:t>Budou sloužit evropskému modelu kooperativní, otevřené inovace se zaměřením na složitá průmyslov</w:t>
      </w:r>
      <w:r w:rsidR="00FA175F">
        <w:rPr>
          <w:rFonts w:eastAsia="Arial" w:cs="Calibri"/>
          <w:sz w:val="24"/>
          <w:szCs w:val="24"/>
        </w:rPr>
        <w:t>é</w:t>
      </w:r>
      <w:r w:rsidR="003D5A96" w:rsidRPr="009A1EC2">
        <w:rPr>
          <w:rFonts w:eastAsia="Arial" w:cs="Calibri"/>
          <w:sz w:val="24"/>
          <w:szCs w:val="24"/>
        </w:rPr>
        <w:t xml:space="preserve"> a kriticky důležité aplikace. Cílem je, aby každá společnost, nejen největší hráči, mohla mít přístup k rozsáhlé výpočetní síle pro budování budoucnosti</w:t>
      </w:r>
      <w:r w:rsidR="00FA175F">
        <w:rPr>
          <w:rFonts w:eastAsia="Arial" w:cs="Calibri"/>
          <w:sz w:val="24"/>
          <w:szCs w:val="24"/>
        </w:rPr>
        <w:t>;</w:t>
      </w:r>
    </w:p>
    <w:p w14:paraId="3DAE20E0" w14:textId="185BD71E" w:rsidR="003D5A96" w:rsidRPr="009A1EC2" w:rsidRDefault="004D6D79" w:rsidP="003D5A96">
      <w:pPr>
        <w:pStyle w:val="Odstavecseseznamem"/>
        <w:numPr>
          <w:ilvl w:val="0"/>
          <w:numId w:val="32"/>
        </w:numPr>
        <w:spacing w:before="240" w:after="240"/>
        <w:jc w:val="both"/>
        <w:rPr>
          <w:rFonts w:cs="Calibri"/>
          <w:sz w:val="24"/>
          <w:szCs w:val="24"/>
        </w:rPr>
      </w:pPr>
      <w:r>
        <w:rPr>
          <w:rFonts w:eastAsia="Arial" w:cs="Calibri"/>
          <w:sz w:val="24"/>
          <w:szCs w:val="24"/>
        </w:rPr>
        <w:t xml:space="preserve">Zástupce z </w:t>
      </w:r>
      <w:r w:rsidR="003D5A96" w:rsidRPr="009A1EC2">
        <w:rPr>
          <w:rFonts w:eastAsia="Arial" w:cs="Calibri"/>
          <w:sz w:val="24"/>
          <w:szCs w:val="24"/>
        </w:rPr>
        <w:t>Česk</w:t>
      </w:r>
      <w:r>
        <w:rPr>
          <w:rFonts w:eastAsia="Arial" w:cs="Calibri"/>
          <w:sz w:val="24"/>
          <w:szCs w:val="24"/>
        </w:rPr>
        <w:t>é</w:t>
      </w:r>
      <w:r w:rsidR="003D5A96" w:rsidRPr="009A1EC2">
        <w:rPr>
          <w:rFonts w:eastAsia="Arial" w:cs="Calibri"/>
          <w:sz w:val="24"/>
          <w:szCs w:val="24"/>
        </w:rPr>
        <w:t xml:space="preserve"> republik</w:t>
      </w:r>
      <w:r>
        <w:rPr>
          <w:rFonts w:eastAsia="Arial" w:cs="Calibri"/>
          <w:sz w:val="24"/>
          <w:szCs w:val="24"/>
        </w:rPr>
        <w:t>y</w:t>
      </w:r>
      <w:r w:rsidR="003D5A96" w:rsidRPr="009A1EC2">
        <w:rPr>
          <w:rFonts w:eastAsia="Arial" w:cs="Calibri"/>
          <w:sz w:val="24"/>
          <w:szCs w:val="24"/>
        </w:rPr>
        <w:t xml:space="preserve"> </w:t>
      </w:r>
      <w:r>
        <w:rPr>
          <w:rFonts w:eastAsia="Arial" w:cs="Calibri"/>
          <w:sz w:val="24"/>
          <w:szCs w:val="24"/>
        </w:rPr>
        <w:t xml:space="preserve">má zájem se do </w:t>
      </w:r>
      <w:r w:rsidR="003D5A96" w:rsidRPr="009A1EC2">
        <w:rPr>
          <w:rFonts w:eastAsia="Arial" w:cs="Calibri"/>
          <w:sz w:val="24"/>
          <w:szCs w:val="24"/>
        </w:rPr>
        <w:t xml:space="preserve">této iniciativy zapojit. </w:t>
      </w:r>
    </w:p>
    <w:p w14:paraId="5694E19B" w14:textId="7C9F642F" w:rsidR="00503A5D" w:rsidRDefault="00503A5D">
      <w:pPr>
        <w:suppressAutoHyphens w:val="0"/>
        <w:spacing w:after="200" w:line="276" w:lineRule="auto"/>
        <w:rPr>
          <w:rFonts w:eastAsia="MS Gothic"/>
          <w:b/>
          <w:sz w:val="28"/>
          <w:szCs w:val="32"/>
        </w:rPr>
      </w:pPr>
      <w:bookmarkStart w:id="34" w:name="_Toc193380595"/>
      <w:r>
        <w:br w:type="page"/>
      </w:r>
    </w:p>
    <w:p w14:paraId="6C487A67" w14:textId="73440CE4" w:rsidR="00BC29B7" w:rsidRDefault="00B842A1" w:rsidP="00F36206">
      <w:pPr>
        <w:pStyle w:val="Nadpis1"/>
        <w:numPr>
          <w:ilvl w:val="0"/>
          <w:numId w:val="0"/>
        </w:numPr>
        <w:ind w:left="357" w:hanging="357"/>
      </w:pPr>
      <w:bookmarkStart w:id="35" w:name="_Toc194654531"/>
      <w:bookmarkEnd w:id="34"/>
      <w:r>
        <w:lastRenderedPageBreak/>
        <w:t>Příloha II. Mapování potřeb</w:t>
      </w:r>
      <w:bookmarkEnd w:id="35"/>
    </w:p>
    <w:p w14:paraId="72410B76" w14:textId="25DB2B3D" w:rsidR="00E25580" w:rsidRPr="008A0D9B" w:rsidRDefault="00E25580" w:rsidP="00E25580">
      <w:pPr>
        <w:ind w:left="360"/>
        <w:rPr>
          <w:b/>
          <w:bCs/>
          <w:color w:val="1F4E79" w:themeColor="accent5" w:themeShade="80"/>
          <w:sz w:val="28"/>
          <w:szCs w:val="28"/>
        </w:rPr>
      </w:pPr>
      <w:r w:rsidRPr="008A0D9B">
        <w:rPr>
          <w:b/>
          <w:bCs/>
          <w:color w:val="auto"/>
          <w:sz w:val="28"/>
          <w:szCs w:val="28"/>
        </w:rPr>
        <w:t>Český telekomunikační úřad</w:t>
      </w:r>
      <w:r w:rsidR="008A0D9B">
        <w:rPr>
          <w:b/>
          <w:bCs/>
          <w:color w:val="auto"/>
          <w:sz w:val="28"/>
          <w:szCs w:val="28"/>
        </w:rPr>
        <w:t xml:space="preserve"> (ČTÚ)</w:t>
      </w:r>
    </w:p>
    <w:p w14:paraId="44618FE0" w14:textId="77777777" w:rsidR="00E25580" w:rsidRPr="00503A5D" w:rsidRDefault="00E25580" w:rsidP="00E25580">
      <w:pPr>
        <w:ind w:left="360"/>
        <w:rPr>
          <w:rFonts w:asciiTheme="minorHAnsi" w:hAnsiTheme="minorHAnsi"/>
          <w:color w:val="auto"/>
          <w:sz w:val="24"/>
          <w:szCs w:val="24"/>
        </w:rPr>
      </w:pPr>
      <w:r w:rsidRPr="00503A5D">
        <w:rPr>
          <w:rFonts w:asciiTheme="minorHAnsi" w:hAnsiTheme="minorHAnsi"/>
          <w:color w:val="auto"/>
          <w:sz w:val="24"/>
          <w:szCs w:val="24"/>
        </w:rPr>
        <w:t>Dozorový orgán</w:t>
      </w:r>
    </w:p>
    <w:p w14:paraId="6DD94E54" w14:textId="77777777" w:rsidR="00E25580" w:rsidRPr="00503A5D" w:rsidRDefault="00E25580" w:rsidP="00E25580">
      <w:pPr>
        <w:ind w:left="360"/>
        <w:rPr>
          <w:rFonts w:asciiTheme="minorHAnsi" w:hAnsiTheme="minorHAnsi"/>
          <w:color w:val="auto"/>
          <w:sz w:val="24"/>
          <w:szCs w:val="24"/>
        </w:rPr>
      </w:pPr>
      <w:r w:rsidRPr="00503A5D">
        <w:rPr>
          <w:rFonts w:asciiTheme="minorHAnsi" w:hAnsiTheme="minorHAnsi"/>
          <w:color w:val="auto"/>
          <w:sz w:val="24"/>
          <w:szCs w:val="24"/>
        </w:rPr>
        <w:t>•</w:t>
      </w:r>
      <w:r w:rsidRPr="00503A5D">
        <w:rPr>
          <w:rFonts w:asciiTheme="minorHAnsi" w:hAnsiTheme="minorHAnsi"/>
          <w:color w:val="auto"/>
          <w:sz w:val="24"/>
          <w:szCs w:val="24"/>
        </w:rPr>
        <w:tab/>
        <w:t>Povinnost plynoucí z AIA čl. 70, termín plnění: 2/8/2025</w:t>
      </w:r>
    </w:p>
    <w:p w14:paraId="3102F1CC" w14:textId="7C5030CB" w:rsidR="0013693E" w:rsidRPr="00503A5D" w:rsidRDefault="00B51676"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S</w:t>
      </w:r>
      <w:r w:rsidR="0013693E" w:rsidRPr="00503A5D">
        <w:rPr>
          <w:rFonts w:asciiTheme="minorHAnsi" w:hAnsiTheme="minorHAnsi"/>
          <w:b/>
          <w:bCs/>
          <w:color w:val="auto"/>
          <w:sz w:val="24"/>
          <w:szCs w:val="24"/>
        </w:rPr>
        <w:t>tátní rozpočet 2026</w:t>
      </w:r>
    </w:p>
    <w:p w14:paraId="5902F919" w14:textId="77777777" w:rsidR="0013693E" w:rsidRPr="00F36206" w:rsidRDefault="0013693E" w:rsidP="0013693E">
      <w:pPr>
        <w:ind w:left="360"/>
        <w:rPr>
          <w:rFonts w:asciiTheme="minorHAnsi" w:hAnsiTheme="minorHAnsi"/>
          <w:b/>
          <w:bCs/>
          <w:color w:val="auto"/>
          <w:sz w:val="24"/>
          <w:szCs w:val="24"/>
        </w:rPr>
      </w:pPr>
      <w:r w:rsidRPr="00F36206">
        <w:rPr>
          <w:rFonts w:asciiTheme="minorHAnsi" w:hAnsiTheme="minorHAnsi"/>
          <w:b/>
          <w:bCs/>
          <w:color w:val="auto"/>
          <w:sz w:val="24"/>
          <w:szCs w:val="24"/>
        </w:rPr>
        <w:t>Osobní náklady</w:t>
      </w:r>
    </w:p>
    <w:p w14:paraId="621B13B0"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 xml:space="preserve">Počet přepočtených úvazků (FTE): 8 (oddělení 1+7) </w:t>
      </w:r>
    </w:p>
    <w:p w14:paraId="43CF3E73" w14:textId="77777777" w:rsidR="0013693E" w:rsidRPr="00F36206" w:rsidRDefault="0013693E" w:rsidP="0013693E">
      <w:pPr>
        <w:ind w:left="360"/>
        <w:jc w:val="both"/>
        <w:rPr>
          <w:rFonts w:asciiTheme="minorHAnsi" w:hAnsiTheme="minorHAnsi"/>
          <w:b/>
          <w:bCs/>
          <w:color w:val="auto"/>
          <w:sz w:val="24"/>
          <w:szCs w:val="24"/>
        </w:rPr>
      </w:pPr>
      <w:r w:rsidRPr="00F36206">
        <w:rPr>
          <w:rFonts w:asciiTheme="minorHAnsi" w:hAnsiTheme="minorHAnsi"/>
          <w:b/>
          <w:bCs/>
          <w:color w:val="auto"/>
          <w:sz w:val="24"/>
          <w:szCs w:val="24"/>
        </w:rPr>
        <w:t xml:space="preserve">Mzdy (úplné náklady na zaměstnance) v Kč: 9.600.000 Kč (bez 33,8 % povinných odvodů zaměstnavatele). </w:t>
      </w:r>
    </w:p>
    <w:p w14:paraId="009B90C2"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 xml:space="preserve">Specifikace: platové třídy (15. tř. představení, 14. třídy odborné pozice, nižší třídy pro podpůrný personál). </w:t>
      </w:r>
    </w:p>
    <w:p w14:paraId="6B0D00D2"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 xml:space="preserve">Zdůvodnění: požadavek vysoké odbornosti a nedostatku personálních kapacit na trhu práce v odvětví AI Act. </w:t>
      </w:r>
    </w:p>
    <w:p w14:paraId="6CE567C8"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Náklady na odborné vybavení pro výkon funkce dle AI Act</w:t>
      </w:r>
    </w:p>
    <w:p w14:paraId="37CB53D3"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 xml:space="preserve">Specifikace (typově): Běžné IT vybavení (hardware a software) zaměstnance + místní server s licencemi (jednorázově). </w:t>
      </w:r>
    </w:p>
    <w:p w14:paraId="0E5B9C59" w14:textId="77777777" w:rsidR="0013693E" w:rsidRPr="00F36206" w:rsidRDefault="0013693E" w:rsidP="0013693E">
      <w:pPr>
        <w:ind w:left="360"/>
        <w:jc w:val="both"/>
        <w:rPr>
          <w:rFonts w:asciiTheme="minorHAnsi" w:hAnsiTheme="minorHAnsi"/>
          <w:b/>
          <w:bCs/>
          <w:color w:val="auto"/>
          <w:sz w:val="24"/>
          <w:szCs w:val="24"/>
        </w:rPr>
      </w:pPr>
      <w:r w:rsidRPr="00F36206">
        <w:rPr>
          <w:rFonts w:asciiTheme="minorHAnsi" w:hAnsiTheme="minorHAnsi"/>
          <w:b/>
          <w:bCs/>
          <w:color w:val="auto"/>
          <w:sz w:val="24"/>
          <w:szCs w:val="24"/>
        </w:rPr>
        <w:t>Náklady v Kč: Cca 90.000 Kč jednorázově při pořízení a 10.000 Kč roční předplatné za SW na zaměstnance, tj. 720.000 Kč (jednorázově) a 80.000 Kč (ročně) + server (HW i SW) 300.000 Kč.</w:t>
      </w:r>
    </w:p>
    <w:p w14:paraId="6B89BBE0"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Náklady na provoz pro výkon funkce dle AI Act</w:t>
      </w:r>
    </w:p>
    <w:p w14:paraId="1DF96D66" w14:textId="14AF7E44" w:rsidR="0013693E" w:rsidRPr="00F36206" w:rsidRDefault="0013693E" w:rsidP="0013693E">
      <w:pPr>
        <w:ind w:left="360"/>
        <w:jc w:val="both"/>
        <w:rPr>
          <w:rFonts w:asciiTheme="minorHAnsi" w:hAnsiTheme="minorHAnsi"/>
          <w:b/>
          <w:bCs/>
          <w:color w:val="auto"/>
          <w:sz w:val="24"/>
          <w:szCs w:val="24"/>
        </w:rPr>
      </w:pPr>
      <w:r w:rsidRPr="00F36206">
        <w:rPr>
          <w:rFonts w:asciiTheme="minorHAnsi" w:hAnsiTheme="minorHAnsi"/>
          <w:b/>
          <w:bCs/>
          <w:color w:val="auto"/>
          <w:sz w:val="24"/>
          <w:szCs w:val="24"/>
        </w:rPr>
        <w:t>Specifikace (typově): nájmy, kancelářské věci atd. – uvažovaná lokalita Brno, tržní nájem pro 32 zaměstnanců (plocha cca 450-500 m</w:t>
      </w:r>
      <w:r w:rsidRPr="00F36206">
        <w:rPr>
          <w:rFonts w:asciiTheme="minorHAnsi" w:hAnsiTheme="minorHAnsi"/>
          <w:b/>
          <w:bCs/>
          <w:color w:val="auto"/>
          <w:sz w:val="24"/>
          <w:szCs w:val="24"/>
          <w:vertAlign w:val="superscript"/>
        </w:rPr>
        <w:t>2</w:t>
      </w:r>
      <w:r w:rsidRPr="00F36206">
        <w:rPr>
          <w:rFonts w:asciiTheme="minorHAnsi" w:hAnsiTheme="minorHAnsi"/>
          <w:b/>
          <w:bCs/>
          <w:color w:val="auto"/>
          <w:sz w:val="24"/>
          <w:szCs w:val="24"/>
        </w:rPr>
        <w:t xml:space="preserve">) – cca 2.000.000 Kč ročně + služby spojené s nájmem ve výši cca 700.000 Kč, jednorázová úprava nájemních prostor – cca 3.000.000 Kč + základní nábytek na 1 zaměstnance cca 50.000 Kč + nábytek a vybavení pro společné prostory (jednací místnosti a technika) – cca 600.000 Kč. </w:t>
      </w:r>
    </w:p>
    <w:p w14:paraId="04E6A0A0" w14:textId="77777777" w:rsidR="0013693E" w:rsidRPr="00F36206" w:rsidRDefault="0013693E" w:rsidP="0013693E">
      <w:pPr>
        <w:ind w:left="360"/>
        <w:jc w:val="both"/>
        <w:rPr>
          <w:rFonts w:asciiTheme="minorHAnsi" w:hAnsiTheme="minorHAnsi"/>
          <w:b/>
          <w:bCs/>
          <w:color w:val="auto"/>
          <w:sz w:val="24"/>
          <w:szCs w:val="24"/>
        </w:rPr>
      </w:pPr>
      <w:r w:rsidRPr="00F36206">
        <w:rPr>
          <w:rFonts w:asciiTheme="minorHAnsi" w:hAnsiTheme="minorHAnsi"/>
          <w:b/>
          <w:bCs/>
          <w:color w:val="auto"/>
          <w:sz w:val="24"/>
          <w:szCs w:val="24"/>
        </w:rPr>
        <w:t xml:space="preserve">Náklady v Kč: Jednorázově na vybavení cca 4.000.000 Kč + 2.700.000 Kč ročně na nájem a služby spojené s nájmem. </w:t>
      </w:r>
    </w:p>
    <w:p w14:paraId="1EACC0F1"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Nákup externích služeb (např. školení)</w:t>
      </w:r>
    </w:p>
    <w:p w14:paraId="64729479"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 xml:space="preserve">Popis služeb (typově): Specificky zaměřená odborná školení. </w:t>
      </w:r>
    </w:p>
    <w:p w14:paraId="1AB6C545" w14:textId="77777777" w:rsidR="0013693E" w:rsidRPr="00F36206" w:rsidRDefault="0013693E" w:rsidP="0013693E">
      <w:pPr>
        <w:ind w:left="360"/>
        <w:jc w:val="both"/>
        <w:rPr>
          <w:rFonts w:asciiTheme="minorHAnsi" w:hAnsiTheme="minorHAnsi"/>
          <w:b/>
          <w:bCs/>
          <w:color w:val="auto"/>
          <w:sz w:val="24"/>
          <w:szCs w:val="24"/>
        </w:rPr>
      </w:pPr>
      <w:r w:rsidRPr="00F36206">
        <w:rPr>
          <w:rFonts w:asciiTheme="minorHAnsi" w:hAnsiTheme="minorHAnsi"/>
          <w:b/>
          <w:bCs/>
          <w:color w:val="auto"/>
          <w:sz w:val="24"/>
          <w:szCs w:val="24"/>
        </w:rPr>
        <w:t xml:space="preserve">Náklady v Kč: 1.000.000 Kč ročně. </w:t>
      </w:r>
    </w:p>
    <w:p w14:paraId="70BA9D56" w14:textId="59D44EC2" w:rsidR="00BC3531" w:rsidRDefault="00BC3531">
      <w:pPr>
        <w:suppressAutoHyphens w:val="0"/>
        <w:spacing w:after="200" w:line="276" w:lineRule="auto"/>
        <w:rPr>
          <w:rFonts w:asciiTheme="minorHAnsi" w:hAnsiTheme="minorHAnsi"/>
          <w:b/>
          <w:bCs/>
          <w:color w:val="auto"/>
          <w:sz w:val="24"/>
          <w:szCs w:val="24"/>
        </w:rPr>
      </w:pPr>
      <w:r>
        <w:rPr>
          <w:rFonts w:asciiTheme="minorHAnsi" w:hAnsiTheme="minorHAnsi"/>
          <w:b/>
          <w:bCs/>
          <w:color w:val="auto"/>
          <w:sz w:val="24"/>
          <w:szCs w:val="24"/>
        </w:rPr>
        <w:br w:type="page"/>
      </w:r>
    </w:p>
    <w:p w14:paraId="4232F210" w14:textId="77777777" w:rsidR="0013693E" w:rsidRPr="00503A5D" w:rsidRDefault="0013693E" w:rsidP="0013693E">
      <w:pPr>
        <w:ind w:left="360"/>
        <w:jc w:val="both"/>
        <w:rPr>
          <w:rFonts w:asciiTheme="minorHAnsi" w:hAnsiTheme="minorHAnsi"/>
          <w:b/>
          <w:bCs/>
          <w:color w:val="auto"/>
          <w:sz w:val="24"/>
          <w:szCs w:val="24"/>
        </w:rPr>
      </w:pPr>
      <w:r w:rsidRPr="00503A5D">
        <w:rPr>
          <w:rFonts w:asciiTheme="minorHAnsi" w:hAnsiTheme="minorHAnsi"/>
          <w:b/>
          <w:bCs/>
          <w:color w:val="auto"/>
          <w:sz w:val="24"/>
          <w:szCs w:val="24"/>
        </w:rPr>
        <w:lastRenderedPageBreak/>
        <w:t>Rozpočtový výhled 2027</w:t>
      </w:r>
    </w:p>
    <w:p w14:paraId="377D398A" w14:textId="77777777" w:rsidR="0013693E" w:rsidRPr="00F36206" w:rsidRDefault="0013693E" w:rsidP="0013693E">
      <w:pPr>
        <w:ind w:left="360"/>
        <w:jc w:val="both"/>
        <w:rPr>
          <w:rFonts w:asciiTheme="minorHAnsi" w:hAnsiTheme="minorHAnsi"/>
          <w:b/>
          <w:bCs/>
          <w:color w:val="auto"/>
          <w:sz w:val="24"/>
          <w:szCs w:val="24"/>
        </w:rPr>
      </w:pPr>
      <w:r w:rsidRPr="00F36206">
        <w:rPr>
          <w:rFonts w:asciiTheme="minorHAnsi" w:hAnsiTheme="minorHAnsi"/>
          <w:b/>
          <w:bCs/>
          <w:color w:val="auto"/>
          <w:sz w:val="24"/>
          <w:szCs w:val="24"/>
        </w:rPr>
        <w:t>Osobní náklady</w:t>
      </w:r>
    </w:p>
    <w:p w14:paraId="5A1521EC"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Počet přepočtených úvazků (FTE): 16</w:t>
      </w:r>
    </w:p>
    <w:p w14:paraId="77C33CD0" w14:textId="77777777" w:rsidR="0013693E" w:rsidRPr="00F36206" w:rsidRDefault="0013693E" w:rsidP="0013693E">
      <w:pPr>
        <w:ind w:left="360"/>
        <w:jc w:val="both"/>
        <w:rPr>
          <w:rFonts w:asciiTheme="minorHAnsi" w:hAnsiTheme="minorHAnsi"/>
          <w:b/>
          <w:bCs/>
          <w:color w:val="auto"/>
          <w:sz w:val="24"/>
          <w:szCs w:val="24"/>
        </w:rPr>
      </w:pPr>
      <w:r w:rsidRPr="00F36206">
        <w:rPr>
          <w:rFonts w:asciiTheme="minorHAnsi" w:hAnsiTheme="minorHAnsi"/>
          <w:b/>
          <w:bCs/>
          <w:color w:val="auto"/>
          <w:sz w:val="24"/>
          <w:szCs w:val="24"/>
        </w:rPr>
        <w:t xml:space="preserve">Mzdy (úplné náklady na zaměstnance) v Kč: 19.200.000 Kč (bez 33,8 % povinných odvodů zaměstnavatele). </w:t>
      </w:r>
    </w:p>
    <w:p w14:paraId="1800EEDA"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 xml:space="preserve">Specifikace: platové třídy (15. tř. představení, 14. třídy odborné pozice, nižší třídy pro podpůrný personál). </w:t>
      </w:r>
    </w:p>
    <w:p w14:paraId="76D7DB43"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 xml:space="preserve">Zdůvodnění: požadavek vysoké odbornosti a nedostatku personálních kapacit na trhu práce v odvětví AI Act. </w:t>
      </w:r>
    </w:p>
    <w:p w14:paraId="520390C6"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Náklady na odborné vybavení pro výkon funkce dle AI Act</w:t>
      </w:r>
    </w:p>
    <w:p w14:paraId="6DD5EA72"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 xml:space="preserve">Specifikace (typově): Běžné IT (hardware a software) vybavení zaměstnance </w:t>
      </w:r>
    </w:p>
    <w:p w14:paraId="4290148B" w14:textId="77777777" w:rsidR="0013693E" w:rsidRPr="00F36206" w:rsidRDefault="0013693E" w:rsidP="0013693E">
      <w:pPr>
        <w:ind w:left="360"/>
        <w:jc w:val="both"/>
        <w:rPr>
          <w:rFonts w:asciiTheme="minorHAnsi" w:hAnsiTheme="minorHAnsi"/>
          <w:b/>
          <w:bCs/>
          <w:color w:val="auto"/>
          <w:sz w:val="24"/>
          <w:szCs w:val="24"/>
        </w:rPr>
      </w:pPr>
      <w:r w:rsidRPr="00F36206">
        <w:rPr>
          <w:rFonts w:asciiTheme="minorHAnsi" w:hAnsiTheme="minorHAnsi"/>
          <w:b/>
          <w:bCs/>
          <w:color w:val="auto"/>
          <w:sz w:val="24"/>
          <w:szCs w:val="24"/>
        </w:rPr>
        <w:t>Náklady v Kč: cca 90.000 Kč jednorázově při pořízení a 10.000 Kč roční předplatné za SW na zaměstnance, tj. 720.000 Kč (jednorázově) a 80.000 Kč (ročně).</w:t>
      </w:r>
    </w:p>
    <w:p w14:paraId="2C70FF86"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Náklady na provoz pro výkon funkce dle AI Act</w:t>
      </w:r>
    </w:p>
    <w:p w14:paraId="06078828"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Specifikace (typově): nájmy, kancelářské věci, atd. – uvažovaná lokalita Brno, tržní nájem a služby pro 32 zaměstnanců (plocha cca 450-500 m</w:t>
      </w:r>
      <w:r w:rsidRPr="00503A5D">
        <w:rPr>
          <w:rFonts w:asciiTheme="minorHAnsi" w:hAnsiTheme="minorHAnsi"/>
          <w:color w:val="auto"/>
          <w:sz w:val="24"/>
          <w:szCs w:val="24"/>
          <w:vertAlign w:val="superscript"/>
        </w:rPr>
        <w:t>2</w:t>
      </w:r>
      <w:r w:rsidRPr="00503A5D">
        <w:rPr>
          <w:rFonts w:asciiTheme="minorHAnsi" w:hAnsiTheme="minorHAnsi"/>
          <w:color w:val="auto"/>
          <w:sz w:val="24"/>
          <w:szCs w:val="24"/>
        </w:rPr>
        <w:t xml:space="preserve">) – cca 2.700.000 Kč ročně + základní nábytek pro zaměstnance.  </w:t>
      </w:r>
    </w:p>
    <w:p w14:paraId="69FF1D27" w14:textId="77777777" w:rsidR="0013693E" w:rsidRPr="00F36206" w:rsidRDefault="0013693E" w:rsidP="0013693E">
      <w:pPr>
        <w:ind w:left="360"/>
        <w:jc w:val="both"/>
        <w:rPr>
          <w:rFonts w:asciiTheme="minorHAnsi" w:hAnsiTheme="minorHAnsi"/>
          <w:b/>
          <w:bCs/>
          <w:color w:val="auto"/>
          <w:sz w:val="24"/>
          <w:szCs w:val="24"/>
        </w:rPr>
      </w:pPr>
      <w:r w:rsidRPr="00F36206">
        <w:rPr>
          <w:rFonts w:asciiTheme="minorHAnsi" w:hAnsiTheme="minorHAnsi"/>
          <w:b/>
          <w:bCs/>
          <w:color w:val="auto"/>
          <w:sz w:val="24"/>
          <w:szCs w:val="24"/>
        </w:rPr>
        <w:t xml:space="preserve">Náklady v Kč: Jednorázově cca 500.000 Kč (nábytek pro další zaměstnance) + 2.700.000 Kč ročně na nájem a služby spojené s nájmem. </w:t>
      </w:r>
    </w:p>
    <w:p w14:paraId="7B0E4AF7"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Nákup externích služeb (např. školení)</w:t>
      </w:r>
    </w:p>
    <w:p w14:paraId="6E5ED1D9"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 xml:space="preserve">Popis služeb (typově): Specificky zaměřená odborná školení. </w:t>
      </w:r>
    </w:p>
    <w:p w14:paraId="46A5763B" w14:textId="77777777" w:rsidR="0013693E" w:rsidRPr="00F36206" w:rsidRDefault="0013693E" w:rsidP="0013693E">
      <w:pPr>
        <w:ind w:left="360"/>
        <w:jc w:val="both"/>
        <w:rPr>
          <w:rFonts w:asciiTheme="minorHAnsi" w:hAnsiTheme="minorHAnsi"/>
          <w:b/>
          <w:bCs/>
          <w:color w:val="auto"/>
          <w:sz w:val="24"/>
          <w:szCs w:val="24"/>
        </w:rPr>
      </w:pPr>
      <w:r w:rsidRPr="00F36206">
        <w:rPr>
          <w:rFonts w:asciiTheme="minorHAnsi" w:hAnsiTheme="minorHAnsi"/>
          <w:b/>
          <w:bCs/>
          <w:color w:val="auto"/>
          <w:sz w:val="24"/>
          <w:szCs w:val="24"/>
        </w:rPr>
        <w:t xml:space="preserve">Náklady v Kč: 1.000.000 Kč ročně. </w:t>
      </w:r>
    </w:p>
    <w:p w14:paraId="540CC4B0" w14:textId="77777777" w:rsidR="0013693E" w:rsidRPr="00503A5D" w:rsidRDefault="0013693E" w:rsidP="0013693E">
      <w:pPr>
        <w:ind w:left="360"/>
        <w:jc w:val="both"/>
        <w:rPr>
          <w:rFonts w:asciiTheme="minorHAnsi" w:hAnsiTheme="minorHAnsi"/>
          <w:b/>
          <w:bCs/>
          <w:color w:val="auto"/>
          <w:sz w:val="24"/>
          <w:szCs w:val="24"/>
        </w:rPr>
      </w:pPr>
      <w:r w:rsidRPr="00503A5D">
        <w:rPr>
          <w:rFonts w:asciiTheme="minorHAnsi" w:hAnsiTheme="minorHAnsi"/>
          <w:b/>
          <w:bCs/>
          <w:color w:val="auto"/>
          <w:sz w:val="24"/>
          <w:szCs w:val="24"/>
        </w:rPr>
        <w:t>Rozpočtový výhled 2028</w:t>
      </w:r>
    </w:p>
    <w:p w14:paraId="08E27306" w14:textId="77777777" w:rsidR="0013693E" w:rsidRPr="00F36206" w:rsidRDefault="0013693E" w:rsidP="0013693E">
      <w:pPr>
        <w:ind w:left="360"/>
        <w:jc w:val="both"/>
        <w:rPr>
          <w:rFonts w:asciiTheme="minorHAnsi" w:hAnsiTheme="minorHAnsi"/>
          <w:b/>
          <w:bCs/>
          <w:color w:val="auto"/>
          <w:sz w:val="24"/>
          <w:szCs w:val="24"/>
        </w:rPr>
      </w:pPr>
      <w:r w:rsidRPr="00F36206">
        <w:rPr>
          <w:rFonts w:asciiTheme="minorHAnsi" w:hAnsiTheme="minorHAnsi"/>
          <w:b/>
          <w:bCs/>
          <w:color w:val="auto"/>
          <w:sz w:val="24"/>
          <w:szCs w:val="24"/>
        </w:rPr>
        <w:t>Osobní náklady</w:t>
      </w:r>
    </w:p>
    <w:p w14:paraId="726373E9"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Počet přepočtených úvazků (FTE): 32</w:t>
      </w:r>
    </w:p>
    <w:p w14:paraId="6C629D77" w14:textId="77777777" w:rsidR="0013693E" w:rsidRPr="00F36206" w:rsidRDefault="0013693E" w:rsidP="0013693E">
      <w:pPr>
        <w:ind w:left="360"/>
        <w:jc w:val="both"/>
        <w:rPr>
          <w:rFonts w:asciiTheme="minorHAnsi" w:hAnsiTheme="minorHAnsi"/>
          <w:b/>
          <w:bCs/>
          <w:color w:val="auto"/>
          <w:sz w:val="24"/>
          <w:szCs w:val="24"/>
        </w:rPr>
      </w:pPr>
      <w:r w:rsidRPr="00F36206">
        <w:rPr>
          <w:rFonts w:asciiTheme="minorHAnsi" w:hAnsiTheme="minorHAnsi"/>
          <w:b/>
          <w:bCs/>
          <w:color w:val="auto"/>
          <w:sz w:val="24"/>
          <w:szCs w:val="24"/>
        </w:rPr>
        <w:t>Mzdy (úplné náklady na zaměstnance) v Kč: 38.400.000 Kč (bez 33,8 % povinných odvodů zaměstnavatele) s trvalým vlivem na rozpočtovou kapitolu ČTÚ - 328.</w:t>
      </w:r>
    </w:p>
    <w:p w14:paraId="1E3FC6C2"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 xml:space="preserve">Specifikace: (15. tř. představení, 14. třídy odborné pozice, nižší třídy pro podpůrný personál). </w:t>
      </w:r>
    </w:p>
    <w:p w14:paraId="0FB8C2F1"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 xml:space="preserve">Zdůvodnění: požadavek vysoké odbornosti a nedostatku personálních kapacit na trhu práce v odvětví AI Act. </w:t>
      </w:r>
    </w:p>
    <w:p w14:paraId="3E1B4F73"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Náklady na odborné vybavení pro výkon funkce dle AI Act</w:t>
      </w:r>
    </w:p>
    <w:p w14:paraId="38C3B596"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lastRenderedPageBreak/>
        <w:t xml:space="preserve">Specifikace (typově): běžné IT vybavení (hardware a software) zaměstnance + vývoj a servisní podpora dozorového IT systému, úprava a rozvoj současných IT systémů a jejich napojení na dozorový IT systém.  </w:t>
      </w:r>
    </w:p>
    <w:p w14:paraId="471A07EB" w14:textId="77777777" w:rsidR="0013693E" w:rsidRPr="00F36206" w:rsidRDefault="0013693E" w:rsidP="0013693E">
      <w:pPr>
        <w:ind w:left="360"/>
        <w:jc w:val="both"/>
        <w:rPr>
          <w:rFonts w:asciiTheme="minorHAnsi" w:hAnsiTheme="minorHAnsi"/>
          <w:b/>
          <w:bCs/>
          <w:color w:val="auto"/>
          <w:sz w:val="24"/>
          <w:szCs w:val="24"/>
        </w:rPr>
      </w:pPr>
      <w:r w:rsidRPr="00F36206">
        <w:rPr>
          <w:rFonts w:asciiTheme="minorHAnsi" w:hAnsiTheme="minorHAnsi"/>
          <w:b/>
          <w:bCs/>
          <w:color w:val="auto"/>
          <w:sz w:val="24"/>
          <w:szCs w:val="24"/>
        </w:rPr>
        <w:t xml:space="preserve">Náklady v Kč: cca 90.000 Kč jednorázově při pořízení a 10.000 Kč roční předplatné za SW na zaměstnance, tj. 1.440.000 Kč (jednorázově) a 160.000 Kč (ročně) + 20.000.000 Kč na IT systémy. </w:t>
      </w:r>
    </w:p>
    <w:p w14:paraId="4CAEA6B3"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Náklady na provoz pro výkon funkce dle AI Act</w:t>
      </w:r>
    </w:p>
    <w:p w14:paraId="633E032E" w14:textId="2B8BBEDC"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Specifikace (typově): nájmy, kancelářské věci atd. – uvažovaná lokalita Brno, tržní nájem a služby pro 32 zaměstnanců (plocha cca 450-500 m</w:t>
      </w:r>
      <w:r w:rsidRPr="00503A5D">
        <w:rPr>
          <w:rFonts w:asciiTheme="minorHAnsi" w:hAnsiTheme="minorHAnsi"/>
          <w:color w:val="auto"/>
          <w:sz w:val="24"/>
          <w:szCs w:val="24"/>
          <w:vertAlign w:val="superscript"/>
        </w:rPr>
        <w:t>2</w:t>
      </w:r>
      <w:r w:rsidRPr="00503A5D">
        <w:rPr>
          <w:rFonts w:asciiTheme="minorHAnsi" w:hAnsiTheme="minorHAnsi"/>
          <w:color w:val="auto"/>
          <w:sz w:val="24"/>
          <w:szCs w:val="24"/>
        </w:rPr>
        <w:t xml:space="preserve">) – cca 2.700.000 Kč ročně + základní nábytek na 1 zaměstnance.  </w:t>
      </w:r>
    </w:p>
    <w:p w14:paraId="5D0CF9F7" w14:textId="77777777" w:rsidR="0013693E" w:rsidRPr="00F36206" w:rsidRDefault="0013693E" w:rsidP="0013693E">
      <w:pPr>
        <w:ind w:left="360"/>
        <w:jc w:val="both"/>
        <w:rPr>
          <w:rFonts w:asciiTheme="minorHAnsi" w:hAnsiTheme="minorHAnsi"/>
          <w:b/>
          <w:bCs/>
          <w:color w:val="auto"/>
          <w:sz w:val="24"/>
          <w:szCs w:val="24"/>
        </w:rPr>
      </w:pPr>
      <w:r w:rsidRPr="00F36206">
        <w:rPr>
          <w:rFonts w:asciiTheme="minorHAnsi" w:hAnsiTheme="minorHAnsi"/>
          <w:b/>
          <w:bCs/>
          <w:color w:val="auto"/>
          <w:sz w:val="24"/>
          <w:szCs w:val="24"/>
        </w:rPr>
        <w:t xml:space="preserve">Náklady v Kč: Jednorázově cca 1.000.000 Kč (nábytek pro další zaměstnance) + 2.700.000 Kč ročně na nájem a služby spojené s nájmem. </w:t>
      </w:r>
    </w:p>
    <w:p w14:paraId="55DE550B"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Nákup externích služeb (např. školení)</w:t>
      </w:r>
    </w:p>
    <w:p w14:paraId="4D715871" w14:textId="77777777" w:rsidR="0013693E" w:rsidRPr="00503A5D" w:rsidRDefault="0013693E" w:rsidP="0013693E">
      <w:pPr>
        <w:ind w:left="360"/>
        <w:jc w:val="both"/>
        <w:rPr>
          <w:rFonts w:asciiTheme="minorHAnsi" w:hAnsiTheme="minorHAnsi"/>
          <w:color w:val="auto"/>
          <w:sz w:val="24"/>
          <w:szCs w:val="24"/>
        </w:rPr>
      </w:pPr>
      <w:r w:rsidRPr="00503A5D">
        <w:rPr>
          <w:rFonts w:asciiTheme="minorHAnsi" w:hAnsiTheme="minorHAnsi"/>
          <w:color w:val="auto"/>
          <w:sz w:val="24"/>
          <w:szCs w:val="24"/>
        </w:rPr>
        <w:t xml:space="preserve">Popis služeb (typově): Specificky zaměřená odborná školení. </w:t>
      </w:r>
    </w:p>
    <w:p w14:paraId="105AD1E7" w14:textId="77777777" w:rsidR="0013693E" w:rsidRPr="00F36206" w:rsidRDefault="0013693E" w:rsidP="0013693E">
      <w:pPr>
        <w:ind w:left="360"/>
        <w:jc w:val="both"/>
        <w:rPr>
          <w:rFonts w:asciiTheme="minorHAnsi" w:hAnsiTheme="minorHAnsi"/>
          <w:b/>
          <w:bCs/>
          <w:color w:val="auto"/>
          <w:sz w:val="24"/>
          <w:szCs w:val="24"/>
        </w:rPr>
      </w:pPr>
      <w:r w:rsidRPr="00F36206">
        <w:rPr>
          <w:rFonts w:asciiTheme="minorHAnsi" w:hAnsiTheme="minorHAnsi"/>
          <w:b/>
          <w:bCs/>
          <w:color w:val="auto"/>
          <w:sz w:val="24"/>
          <w:szCs w:val="24"/>
        </w:rPr>
        <w:t xml:space="preserve">Náklady v Kč: 2.000.000 Kč ročně. </w:t>
      </w:r>
    </w:p>
    <w:p w14:paraId="5DFA9F1B" w14:textId="0B438194" w:rsidR="00BC29B7" w:rsidRPr="00503A5D" w:rsidRDefault="00BC29B7">
      <w:pPr>
        <w:rPr>
          <w:rFonts w:asciiTheme="minorHAnsi" w:hAnsiTheme="minorHAnsi" w:cs="Calibri"/>
          <w:b/>
          <w:color w:val="005DB1"/>
          <w:sz w:val="24"/>
          <w:szCs w:val="24"/>
        </w:rPr>
      </w:pPr>
    </w:p>
    <w:p w14:paraId="0F0F7DD8" w14:textId="77777777" w:rsidR="008A0D9B" w:rsidRDefault="008A0D9B" w:rsidP="0013693E">
      <w:pPr>
        <w:ind w:left="360"/>
        <w:rPr>
          <w:rFonts w:asciiTheme="minorHAnsi" w:hAnsiTheme="minorHAnsi"/>
          <w:b/>
          <w:bCs/>
          <w:color w:val="auto"/>
          <w:sz w:val="24"/>
          <w:szCs w:val="24"/>
        </w:rPr>
      </w:pPr>
    </w:p>
    <w:p w14:paraId="1DECBE0A" w14:textId="77777777" w:rsidR="008C5B15" w:rsidRDefault="008C5B15" w:rsidP="0013693E">
      <w:pPr>
        <w:ind w:left="360"/>
        <w:rPr>
          <w:b/>
          <w:bCs/>
          <w:color w:val="auto"/>
          <w:sz w:val="28"/>
          <w:szCs w:val="28"/>
        </w:rPr>
      </w:pPr>
    </w:p>
    <w:p w14:paraId="16769BE1" w14:textId="77777777" w:rsidR="008C5B15" w:rsidRDefault="008C5B15" w:rsidP="0013693E">
      <w:pPr>
        <w:ind w:left="360"/>
        <w:rPr>
          <w:b/>
          <w:bCs/>
          <w:color w:val="auto"/>
          <w:sz w:val="28"/>
          <w:szCs w:val="28"/>
        </w:rPr>
      </w:pPr>
    </w:p>
    <w:p w14:paraId="36F56691" w14:textId="77777777" w:rsidR="008C5B15" w:rsidRDefault="008C5B15" w:rsidP="0013693E">
      <w:pPr>
        <w:ind w:left="360"/>
        <w:rPr>
          <w:b/>
          <w:bCs/>
          <w:color w:val="auto"/>
          <w:sz w:val="28"/>
          <w:szCs w:val="28"/>
        </w:rPr>
      </w:pPr>
    </w:p>
    <w:p w14:paraId="060AEEF9" w14:textId="77777777" w:rsidR="008C5B15" w:rsidRDefault="008C5B15" w:rsidP="0013693E">
      <w:pPr>
        <w:ind w:left="360"/>
        <w:rPr>
          <w:b/>
          <w:bCs/>
          <w:color w:val="auto"/>
          <w:sz w:val="28"/>
          <w:szCs w:val="28"/>
        </w:rPr>
      </w:pPr>
    </w:p>
    <w:p w14:paraId="4BD08F38" w14:textId="77777777" w:rsidR="008C5B15" w:rsidRDefault="008C5B15" w:rsidP="0013693E">
      <w:pPr>
        <w:ind w:left="360"/>
        <w:rPr>
          <w:b/>
          <w:bCs/>
          <w:color w:val="auto"/>
          <w:sz w:val="28"/>
          <w:szCs w:val="28"/>
        </w:rPr>
      </w:pPr>
    </w:p>
    <w:p w14:paraId="4AFF21FC" w14:textId="77777777" w:rsidR="008C5B15" w:rsidRDefault="008C5B15" w:rsidP="0013693E">
      <w:pPr>
        <w:ind w:left="360"/>
        <w:rPr>
          <w:b/>
          <w:bCs/>
          <w:color w:val="auto"/>
          <w:sz w:val="28"/>
          <w:szCs w:val="28"/>
        </w:rPr>
      </w:pPr>
    </w:p>
    <w:p w14:paraId="5F99B5AF" w14:textId="77777777" w:rsidR="008C5B15" w:rsidRDefault="008C5B15" w:rsidP="0013693E">
      <w:pPr>
        <w:ind w:left="360"/>
        <w:rPr>
          <w:b/>
          <w:bCs/>
          <w:color w:val="auto"/>
          <w:sz w:val="28"/>
          <w:szCs w:val="28"/>
        </w:rPr>
      </w:pPr>
    </w:p>
    <w:p w14:paraId="5B28AFE7" w14:textId="77777777" w:rsidR="008C5B15" w:rsidRDefault="008C5B15" w:rsidP="0013693E">
      <w:pPr>
        <w:ind w:left="360"/>
        <w:rPr>
          <w:b/>
          <w:bCs/>
          <w:color w:val="auto"/>
          <w:sz w:val="28"/>
          <w:szCs w:val="28"/>
        </w:rPr>
      </w:pPr>
    </w:p>
    <w:p w14:paraId="34DD3EA6" w14:textId="2C604F8B" w:rsidR="00BC3531" w:rsidRDefault="00BC3531">
      <w:pPr>
        <w:suppressAutoHyphens w:val="0"/>
        <w:spacing w:after="200" w:line="276" w:lineRule="auto"/>
        <w:rPr>
          <w:b/>
          <w:bCs/>
          <w:color w:val="auto"/>
          <w:sz w:val="28"/>
          <w:szCs w:val="28"/>
        </w:rPr>
      </w:pPr>
      <w:r>
        <w:rPr>
          <w:b/>
          <w:bCs/>
          <w:color w:val="auto"/>
          <w:sz w:val="28"/>
          <w:szCs w:val="28"/>
        </w:rPr>
        <w:br w:type="page"/>
      </w:r>
    </w:p>
    <w:p w14:paraId="7397D94C" w14:textId="293448B5" w:rsidR="0013693E" w:rsidRPr="008A0D9B" w:rsidRDefault="0013693E" w:rsidP="0013693E">
      <w:pPr>
        <w:ind w:left="360"/>
        <w:rPr>
          <w:b/>
          <w:bCs/>
          <w:color w:val="auto"/>
          <w:sz w:val="28"/>
          <w:szCs w:val="28"/>
        </w:rPr>
      </w:pPr>
      <w:r w:rsidRPr="008A0D9B">
        <w:rPr>
          <w:b/>
          <w:bCs/>
          <w:color w:val="auto"/>
          <w:sz w:val="28"/>
          <w:szCs w:val="28"/>
        </w:rPr>
        <w:lastRenderedPageBreak/>
        <w:t>Úřad pro technickou normalizaci, metrologii a státní zkušebnictví (ÚNMZ)</w:t>
      </w:r>
    </w:p>
    <w:p w14:paraId="23783B96" w14:textId="77777777" w:rsidR="0013693E" w:rsidRPr="001514B8" w:rsidRDefault="0013693E" w:rsidP="0013693E">
      <w:pPr>
        <w:ind w:left="360"/>
        <w:rPr>
          <w:rFonts w:asciiTheme="minorHAnsi" w:hAnsiTheme="minorHAnsi"/>
          <w:b/>
          <w:bCs/>
          <w:color w:val="auto"/>
          <w:sz w:val="24"/>
          <w:szCs w:val="24"/>
        </w:rPr>
      </w:pPr>
      <w:r w:rsidRPr="001514B8">
        <w:rPr>
          <w:rFonts w:asciiTheme="minorHAnsi" w:hAnsiTheme="minorHAnsi"/>
          <w:b/>
          <w:bCs/>
          <w:color w:val="auto"/>
          <w:sz w:val="24"/>
          <w:szCs w:val="24"/>
        </w:rPr>
        <w:t>Oznamující orgán</w:t>
      </w:r>
    </w:p>
    <w:p w14:paraId="5692B073"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w:t>
      </w:r>
      <w:r w:rsidRPr="00503A5D">
        <w:rPr>
          <w:rFonts w:asciiTheme="minorHAnsi" w:hAnsiTheme="minorHAnsi"/>
          <w:color w:val="auto"/>
          <w:sz w:val="24"/>
          <w:szCs w:val="24"/>
        </w:rPr>
        <w:tab/>
        <w:t>Povinnost plynoucí z AIA čl. 70, termín plnění: 2/8/2025</w:t>
      </w:r>
    </w:p>
    <w:p w14:paraId="09B6BDAF"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Státní rozpočet 2026</w:t>
      </w:r>
    </w:p>
    <w:p w14:paraId="4297A7BC"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Osobní náklady</w:t>
      </w:r>
    </w:p>
    <w:p w14:paraId="4F0AA3DF" w14:textId="77777777" w:rsidR="0013693E" w:rsidRPr="00503A5D" w:rsidRDefault="0013693E" w:rsidP="0013693E">
      <w:pPr>
        <w:ind w:left="360"/>
        <w:rPr>
          <w:rFonts w:asciiTheme="minorHAnsi" w:hAnsiTheme="minorHAnsi"/>
          <w:color w:val="auto"/>
          <w:sz w:val="24"/>
          <w:szCs w:val="24"/>
        </w:rPr>
      </w:pPr>
      <w:bookmarkStart w:id="36" w:name="_Hlk192573461"/>
      <w:r w:rsidRPr="00503A5D">
        <w:rPr>
          <w:rFonts w:asciiTheme="minorHAnsi" w:hAnsiTheme="minorHAnsi"/>
          <w:color w:val="auto"/>
          <w:sz w:val="24"/>
          <w:szCs w:val="24"/>
        </w:rPr>
        <w:t>Počet přepočtených úvazků (FTE): 6 + 1</w:t>
      </w:r>
    </w:p>
    <w:p w14:paraId="0BF6972A" w14:textId="77777777" w:rsidR="00B51676" w:rsidRPr="00503A5D" w:rsidRDefault="00B51676" w:rsidP="0013693E">
      <w:pPr>
        <w:ind w:left="360"/>
        <w:rPr>
          <w:rFonts w:asciiTheme="minorHAnsi" w:hAnsiTheme="minorHAnsi"/>
          <w:b/>
          <w:bCs/>
          <w:color w:val="auto"/>
          <w:sz w:val="24"/>
          <w:szCs w:val="24"/>
        </w:rPr>
      </w:pPr>
    </w:p>
    <w:p w14:paraId="663D9446" w14:textId="2B6CE76A"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 xml:space="preserve">Mzdy (úplné náklady na zaměstnance) v Kč: 9 000 000,- </w:t>
      </w:r>
    </w:p>
    <w:p w14:paraId="636E41B5"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14. platové třídy, excelentní pracovníci</w:t>
      </w:r>
    </w:p>
    <w:p w14:paraId="17DB9566"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Zdůvodnění: požadavek vysoké odbornosti dle AI Act, viz uvedené informace v předkládací zprávě</w:t>
      </w:r>
    </w:p>
    <w:p w14:paraId="5DFF18F5"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Dohody mimo hlavní pracovní poměr – počet: 0</w:t>
      </w:r>
    </w:p>
    <w:p w14:paraId="1E6D63F8"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Dohody mimo hlavní pracovní poměr – Kč: 0,-</w:t>
      </w:r>
    </w:p>
    <w:p w14:paraId="65A0E953"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Výše uvedené osobní náklady představují realistický odhad pro ohodnocení lidských kapacit v této specifické oblasti</w:t>
      </w:r>
    </w:p>
    <w:p w14:paraId="6923F2E3" w14:textId="77777777" w:rsidR="0013693E" w:rsidRPr="00503A5D" w:rsidRDefault="0013693E" w:rsidP="0013693E">
      <w:pPr>
        <w:ind w:left="360"/>
        <w:rPr>
          <w:rFonts w:asciiTheme="minorHAnsi" w:hAnsiTheme="minorHAnsi"/>
          <w:color w:val="auto"/>
          <w:sz w:val="24"/>
          <w:szCs w:val="24"/>
        </w:rPr>
      </w:pPr>
    </w:p>
    <w:bookmarkEnd w:id="36"/>
    <w:p w14:paraId="2329D139"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Náklady na odborné vybavení pro výkon funkce dle AI Act</w:t>
      </w:r>
    </w:p>
    <w:p w14:paraId="164C3A9F"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(typově): stroje, technika, zařízení, software, hardware apod.</w:t>
      </w:r>
    </w:p>
    <w:p w14:paraId="0571A11C"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 xml:space="preserve">Náklady v Kč: 500 000,- </w:t>
      </w:r>
    </w:p>
    <w:p w14:paraId="733E5D40" w14:textId="77777777" w:rsidR="0013693E" w:rsidRPr="00503A5D" w:rsidRDefault="0013693E" w:rsidP="0013693E">
      <w:pPr>
        <w:ind w:left="360"/>
        <w:rPr>
          <w:rFonts w:asciiTheme="minorHAnsi" w:hAnsiTheme="minorHAnsi"/>
          <w:b/>
          <w:bCs/>
          <w:color w:val="auto"/>
          <w:sz w:val="24"/>
          <w:szCs w:val="24"/>
        </w:rPr>
      </w:pPr>
    </w:p>
    <w:p w14:paraId="3A8C554A"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Náklady na provoz pro výkon funkce dle AI Act</w:t>
      </w:r>
    </w:p>
    <w:p w14:paraId="34B0C73C"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(typově): nájmy, nábytek, kancelářské věci atd.</w:t>
      </w:r>
    </w:p>
    <w:p w14:paraId="7CD809FB"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Náklady v Kč: celkem 760 000,-</w:t>
      </w:r>
    </w:p>
    <w:p w14:paraId="0703E370"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Nájem 50 m2(včetně energie, ostrahy, úklidu): 460 000,-Kč</w:t>
      </w:r>
    </w:p>
    <w:p w14:paraId="3B38FFE7"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Nábytek, kancelářské potřeby: 300 000,-Kč</w:t>
      </w:r>
    </w:p>
    <w:p w14:paraId="14BE0DF2" w14:textId="77777777" w:rsidR="0013693E" w:rsidRPr="00503A5D" w:rsidRDefault="0013693E" w:rsidP="0013693E">
      <w:pPr>
        <w:ind w:left="360"/>
        <w:rPr>
          <w:rFonts w:asciiTheme="minorHAnsi" w:hAnsiTheme="minorHAnsi"/>
          <w:color w:val="auto"/>
          <w:sz w:val="24"/>
          <w:szCs w:val="24"/>
        </w:rPr>
      </w:pPr>
    </w:p>
    <w:p w14:paraId="5A29CC43"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Nákup externích služeb (např. školení)</w:t>
      </w:r>
    </w:p>
    <w:p w14:paraId="108E0DE5"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Popis služeb (typově): školení, služební cesty</w:t>
      </w:r>
    </w:p>
    <w:p w14:paraId="34B7BEB8"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Náklady v Kč: 500 000,-</w:t>
      </w:r>
    </w:p>
    <w:p w14:paraId="081C58FC" w14:textId="77777777" w:rsidR="0013693E" w:rsidRPr="00503A5D" w:rsidRDefault="0013693E" w:rsidP="0013693E">
      <w:pPr>
        <w:ind w:left="360"/>
        <w:rPr>
          <w:rFonts w:asciiTheme="minorHAnsi" w:hAnsiTheme="minorHAnsi"/>
          <w:b/>
          <w:bCs/>
          <w:color w:val="auto"/>
          <w:sz w:val="24"/>
          <w:szCs w:val="24"/>
        </w:rPr>
      </w:pPr>
    </w:p>
    <w:p w14:paraId="428E819B"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Rozpočtový výhled 2027</w:t>
      </w:r>
    </w:p>
    <w:p w14:paraId="700EEAC7"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Osobní náklady</w:t>
      </w:r>
    </w:p>
    <w:p w14:paraId="0751BB79"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Počet přepočtených úvazků (FTE): 6 + 1</w:t>
      </w:r>
    </w:p>
    <w:p w14:paraId="6591C914"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 xml:space="preserve">Mzdy (úplné náklady na zaměstnance) v Kč: 9 000 000,- </w:t>
      </w:r>
    </w:p>
    <w:p w14:paraId="24DBDFFB"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14. platové třídy, excelentní pracovníci</w:t>
      </w:r>
    </w:p>
    <w:p w14:paraId="222C6040"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Zdůvodnění: požadavek vysoké odbornosti dle AI Act, viz uvedené informace v předkládací zprávě</w:t>
      </w:r>
    </w:p>
    <w:p w14:paraId="1B753658"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Dohody mimo hlavní pracovní poměr – počet: 0</w:t>
      </w:r>
    </w:p>
    <w:p w14:paraId="7AB27F32"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Dohody mimo hlavní pracovní poměr – Kč: 0,-</w:t>
      </w:r>
    </w:p>
    <w:p w14:paraId="2CC687F8" w14:textId="77777777" w:rsidR="0013693E" w:rsidRPr="00503A5D" w:rsidRDefault="0013693E" w:rsidP="0013693E">
      <w:pPr>
        <w:ind w:left="360"/>
        <w:rPr>
          <w:rFonts w:asciiTheme="minorHAnsi" w:hAnsiTheme="minorHAnsi"/>
          <w:color w:val="auto"/>
          <w:sz w:val="24"/>
          <w:szCs w:val="24"/>
        </w:rPr>
      </w:pPr>
    </w:p>
    <w:p w14:paraId="575AF0A9"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Náklady na odborné vybavení pro výkon funkce dle AI Act</w:t>
      </w:r>
    </w:p>
    <w:p w14:paraId="56CF6CBE"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(typově): stroje, technika, zařízení, software, hardware apod.</w:t>
      </w:r>
    </w:p>
    <w:p w14:paraId="6E8B9DB2"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 xml:space="preserve">Náklady v Kč: 150 000,- </w:t>
      </w:r>
    </w:p>
    <w:p w14:paraId="7D2DAC59" w14:textId="77777777" w:rsidR="0013693E" w:rsidRPr="00503A5D" w:rsidRDefault="0013693E" w:rsidP="0013693E">
      <w:pPr>
        <w:ind w:left="360"/>
        <w:rPr>
          <w:rFonts w:asciiTheme="minorHAnsi" w:hAnsiTheme="minorHAnsi"/>
          <w:b/>
          <w:bCs/>
          <w:color w:val="auto"/>
          <w:sz w:val="24"/>
          <w:szCs w:val="24"/>
        </w:rPr>
      </w:pPr>
    </w:p>
    <w:p w14:paraId="5C39C7BE"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Náklady na provoz pro výkon funkce dle AI Act</w:t>
      </w:r>
    </w:p>
    <w:p w14:paraId="2FB0B624"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(typově): nájmy, kancelářské věci atd.</w:t>
      </w:r>
    </w:p>
    <w:p w14:paraId="29484F0F"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Náklady v Kč: celkem 500 000,-</w:t>
      </w:r>
    </w:p>
    <w:p w14:paraId="560DACF8"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Nájem (včetně energie, ostrahy, úklidu): 460 000,-Kč</w:t>
      </w:r>
    </w:p>
    <w:p w14:paraId="65B17A9C"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Kancelářské potřeby: 40 000,-Kč</w:t>
      </w:r>
    </w:p>
    <w:p w14:paraId="64B9AEAD" w14:textId="77777777" w:rsidR="0013693E" w:rsidRPr="00503A5D" w:rsidRDefault="0013693E" w:rsidP="0013693E">
      <w:pPr>
        <w:ind w:left="360"/>
        <w:rPr>
          <w:rFonts w:asciiTheme="minorHAnsi" w:hAnsiTheme="minorHAnsi"/>
          <w:color w:val="auto"/>
          <w:sz w:val="24"/>
          <w:szCs w:val="24"/>
        </w:rPr>
      </w:pPr>
    </w:p>
    <w:p w14:paraId="426F144A"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Nákup externích služeb (např. školení, služební cesty)</w:t>
      </w:r>
    </w:p>
    <w:p w14:paraId="3A6A34DF" w14:textId="77777777" w:rsidR="0013693E" w:rsidRPr="00503A5D" w:rsidRDefault="0013693E" w:rsidP="0013693E">
      <w:pPr>
        <w:ind w:left="360"/>
        <w:rPr>
          <w:rFonts w:asciiTheme="minorHAnsi" w:hAnsiTheme="minorHAnsi"/>
          <w:color w:val="auto"/>
          <w:sz w:val="24"/>
          <w:szCs w:val="24"/>
        </w:rPr>
      </w:pPr>
      <w:bookmarkStart w:id="37" w:name="_Hlk192589163"/>
      <w:r w:rsidRPr="00503A5D">
        <w:rPr>
          <w:rFonts w:asciiTheme="minorHAnsi" w:hAnsiTheme="minorHAnsi"/>
          <w:color w:val="auto"/>
          <w:sz w:val="24"/>
          <w:szCs w:val="24"/>
        </w:rPr>
        <w:t>Popis služeb (typově): školení, služební cesty</w:t>
      </w:r>
    </w:p>
    <w:p w14:paraId="177B2E9F"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Náklady v Kč: 500 000,-</w:t>
      </w:r>
    </w:p>
    <w:bookmarkEnd w:id="37"/>
    <w:p w14:paraId="6BB85AE8" w14:textId="19A0DF3A" w:rsidR="0013693E" w:rsidRDefault="0013693E" w:rsidP="0013693E">
      <w:pPr>
        <w:ind w:left="360"/>
        <w:rPr>
          <w:rFonts w:asciiTheme="minorHAnsi" w:hAnsiTheme="minorHAnsi"/>
          <w:color w:val="auto"/>
          <w:sz w:val="24"/>
          <w:szCs w:val="24"/>
        </w:rPr>
      </w:pPr>
    </w:p>
    <w:p w14:paraId="4BA0618D" w14:textId="77777777" w:rsidR="00F462E3" w:rsidRPr="00503A5D" w:rsidRDefault="00F462E3" w:rsidP="0013693E">
      <w:pPr>
        <w:ind w:left="360"/>
        <w:rPr>
          <w:rFonts w:asciiTheme="minorHAnsi" w:hAnsiTheme="minorHAnsi"/>
          <w:color w:val="auto"/>
          <w:sz w:val="24"/>
          <w:szCs w:val="24"/>
        </w:rPr>
      </w:pPr>
    </w:p>
    <w:p w14:paraId="1A846B9F"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Rozpočtový výhled 2028</w:t>
      </w:r>
    </w:p>
    <w:p w14:paraId="6521779E"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Osobní náklady</w:t>
      </w:r>
    </w:p>
    <w:p w14:paraId="4FF6E5D4"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Počet přepočtených úvazků (FTE): 6 + 1</w:t>
      </w:r>
    </w:p>
    <w:p w14:paraId="4DDBD267"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lastRenderedPageBreak/>
        <w:t xml:space="preserve">Mzdy (úplné náklady na zaměstnance) v Kč: 9 000 000,- </w:t>
      </w:r>
    </w:p>
    <w:p w14:paraId="052391D6"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14. platové třídy, excelentní pracovníci</w:t>
      </w:r>
    </w:p>
    <w:p w14:paraId="409E7F1B"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Zdůvodnění: požadavek vysoké odbornosti dle AI Act, viz uvedené informace v předkládací zprávě</w:t>
      </w:r>
    </w:p>
    <w:p w14:paraId="1B7F09C6"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Dohody mimo hlavní pracovní poměr – počet: 0</w:t>
      </w:r>
    </w:p>
    <w:p w14:paraId="73A6B809"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Dohody mimo hlavní pracovní poměr – Kč: 0,-</w:t>
      </w:r>
    </w:p>
    <w:p w14:paraId="5DEF1991" w14:textId="77777777" w:rsidR="0013693E" w:rsidRPr="00503A5D" w:rsidRDefault="0013693E" w:rsidP="0013693E">
      <w:pPr>
        <w:ind w:left="360"/>
        <w:rPr>
          <w:rFonts w:asciiTheme="minorHAnsi" w:hAnsiTheme="minorHAnsi"/>
          <w:color w:val="auto"/>
          <w:sz w:val="24"/>
          <w:szCs w:val="24"/>
        </w:rPr>
      </w:pPr>
    </w:p>
    <w:p w14:paraId="38B4C9E2"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Náklady na odborné vybavení pro výkon funkce dle AI Act</w:t>
      </w:r>
    </w:p>
    <w:p w14:paraId="0AB1C6C3"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(typově): stroje, technika, zařízení, software, hardware apod.</w:t>
      </w:r>
    </w:p>
    <w:p w14:paraId="6122CA47"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 xml:space="preserve">Náklady v Kč: 150 000,- </w:t>
      </w:r>
    </w:p>
    <w:p w14:paraId="0EB702C7" w14:textId="77777777" w:rsidR="0013693E" w:rsidRPr="00503A5D" w:rsidRDefault="0013693E" w:rsidP="0013693E">
      <w:pPr>
        <w:ind w:left="360"/>
        <w:rPr>
          <w:rFonts w:asciiTheme="minorHAnsi" w:hAnsiTheme="minorHAnsi"/>
          <w:b/>
          <w:bCs/>
          <w:color w:val="auto"/>
          <w:sz w:val="24"/>
          <w:szCs w:val="24"/>
        </w:rPr>
      </w:pPr>
    </w:p>
    <w:p w14:paraId="1DF23EDF"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Náklady na provoz pro výkon funkce dle AI Act</w:t>
      </w:r>
    </w:p>
    <w:p w14:paraId="7162BBCA"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(typově): nájmy, kancelářské věci atd.</w:t>
      </w:r>
    </w:p>
    <w:p w14:paraId="73CB18DC"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Náklady v Kč: celkem 500 000,-</w:t>
      </w:r>
    </w:p>
    <w:p w14:paraId="5185A017"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Nájem (včetně energie, ostrahy, úklidu): 460 000,-Kč</w:t>
      </w:r>
    </w:p>
    <w:p w14:paraId="0E5B690D"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Kancelářské potřeby: 40 000,-Kč</w:t>
      </w:r>
    </w:p>
    <w:p w14:paraId="63D9D144" w14:textId="77777777" w:rsidR="0013693E" w:rsidRPr="00503A5D" w:rsidRDefault="0013693E" w:rsidP="0013693E">
      <w:pPr>
        <w:ind w:left="360"/>
        <w:rPr>
          <w:rFonts w:asciiTheme="minorHAnsi" w:hAnsiTheme="minorHAnsi"/>
          <w:color w:val="auto"/>
          <w:sz w:val="24"/>
          <w:szCs w:val="24"/>
        </w:rPr>
      </w:pPr>
    </w:p>
    <w:p w14:paraId="363E0ABA"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Nákup externích služeb (např. školení, služební cesty)</w:t>
      </w:r>
    </w:p>
    <w:p w14:paraId="052E4010"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Popis služeb (typově): školení, služební cesty</w:t>
      </w:r>
    </w:p>
    <w:p w14:paraId="5A5C6C05"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Náklady v Kč: 500 000,-</w:t>
      </w:r>
    </w:p>
    <w:p w14:paraId="67C68A91" w14:textId="77777777" w:rsidR="00BC29B7" w:rsidRPr="00503A5D" w:rsidRDefault="00BC29B7">
      <w:pPr>
        <w:autoSpaceDE w:val="0"/>
        <w:jc w:val="both"/>
        <w:rPr>
          <w:rFonts w:asciiTheme="minorHAnsi" w:hAnsiTheme="minorHAnsi" w:cs="Calibri"/>
          <w:sz w:val="24"/>
          <w:szCs w:val="24"/>
        </w:rPr>
      </w:pPr>
    </w:p>
    <w:p w14:paraId="75B33326" w14:textId="77777777" w:rsidR="008A0D9B" w:rsidRDefault="008A0D9B" w:rsidP="0013693E">
      <w:pPr>
        <w:ind w:left="360"/>
        <w:rPr>
          <w:rFonts w:asciiTheme="minorHAnsi" w:hAnsiTheme="minorHAnsi"/>
          <w:color w:val="auto"/>
          <w:sz w:val="24"/>
          <w:szCs w:val="24"/>
        </w:rPr>
      </w:pPr>
    </w:p>
    <w:p w14:paraId="78229020" w14:textId="77777777" w:rsidR="008A0D9B" w:rsidRDefault="008A0D9B" w:rsidP="0013693E">
      <w:pPr>
        <w:ind w:left="360"/>
        <w:rPr>
          <w:rFonts w:asciiTheme="minorHAnsi" w:hAnsiTheme="minorHAnsi"/>
          <w:color w:val="auto"/>
          <w:sz w:val="24"/>
          <w:szCs w:val="24"/>
        </w:rPr>
      </w:pPr>
    </w:p>
    <w:p w14:paraId="5CC25F8E" w14:textId="77777777" w:rsidR="008A0D9B" w:rsidRDefault="008A0D9B" w:rsidP="0013693E">
      <w:pPr>
        <w:ind w:left="360"/>
        <w:rPr>
          <w:rFonts w:asciiTheme="minorHAnsi" w:hAnsiTheme="minorHAnsi"/>
          <w:color w:val="auto"/>
          <w:sz w:val="24"/>
          <w:szCs w:val="24"/>
        </w:rPr>
      </w:pPr>
    </w:p>
    <w:p w14:paraId="512920E6" w14:textId="77777777" w:rsidR="00572EB5" w:rsidRDefault="00572EB5">
      <w:pPr>
        <w:suppressAutoHyphens w:val="0"/>
        <w:spacing w:after="200" w:line="276" w:lineRule="auto"/>
        <w:rPr>
          <w:b/>
          <w:bCs/>
          <w:color w:val="auto"/>
          <w:sz w:val="28"/>
          <w:szCs w:val="28"/>
        </w:rPr>
      </w:pPr>
      <w:r>
        <w:rPr>
          <w:b/>
          <w:bCs/>
          <w:color w:val="auto"/>
          <w:sz w:val="28"/>
          <w:szCs w:val="28"/>
        </w:rPr>
        <w:br w:type="page"/>
      </w:r>
    </w:p>
    <w:p w14:paraId="78E7C56B" w14:textId="03683E42" w:rsidR="0013693E" w:rsidRPr="008A0D9B" w:rsidRDefault="0013693E" w:rsidP="0013693E">
      <w:pPr>
        <w:ind w:left="360"/>
        <w:rPr>
          <w:b/>
          <w:bCs/>
          <w:color w:val="auto"/>
          <w:sz w:val="28"/>
          <w:szCs w:val="28"/>
        </w:rPr>
      </w:pPr>
      <w:r w:rsidRPr="008A0D9B">
        <w:rPr>
          <w:b/>
          <w:bCs/>
          <w:color w:val="auto"/>
          <w:sz w:val="28"/>
          <w:szCs w:val="28"/>
        </w:rPr>
        <w:lastRenderedPageBreak/>
        <w:t>Oznámený subjekt</w:t>
      </w:r>
    </w:p>
    <w:p w14:paraId="475A13B9" w14:textId="794EB244"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w:t>
      </w:r>
      <w:r w:rsidRPr="00503A5D">
        <w:rPr>
          <w:rFonts w:asciiTheme="minorHAnsi" w:hAnsiTheme="minorHAnsi"/>
          <w:color w:val="auto"/>
          <w:sz w:val="24"/>
          <w:szCs w:val="24"/>
        </w:rPr>
        <w:tab/>
        <w:t xml:space="preserve">Nepovinné z AIA, ale nutné pro AI sektor, termín plnění: 2/8/2026 </w:t>
      </w:r>
    </w:p>
    <w:p w14:paraId="0D85B984"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Státní rozpočet 2026</w:t>
      </w:r>
    </w:p>
    <w:p w14:paraId="5E2AB24D"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Osobní náklady</w:t>
      </w:r>
    </w:p>
    <w:p w14:paraId="27071A67"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color w:val="auto"/>
          <w:sz w:val="24"/>
          <w:szCs w:val="24"/>
        </w:rPr>
        <w:t xml:space="preserve">Počet přepočtených úvazků (FTE): </w:t>
      </w:r>
      <w:r w:rsidRPr="00503A5D">
        <w:rPr>
          <w:rFonts w:asciiTheme="minorHAnsi" w:hAnsiTheme="minorHAnsi"/>
          <w:b/>
          <w:bCs/>
          <w:color w:val="auto"/>
          <w:sz w:val="24"/>
          <w:szCs w:val="24"/>
        </w:rPr>
        <w:t>4,0</w:t>
      </w:r>
    </w:p>
    <w:p w14:paraId="568CA082"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color w:val="auto"/>
          <w:sz w:val="24"/>
          <w:szCs w:val="24"/>
        </w:rPr>
        <w:t xml:space="preserve">Mzdy (úplné náklady na zaměstnance) v Kč: </w:t>
      </w:r>
      <w:r w:rsidRPr="00503A5D">
        <w:rPr>
          <w:rFonts w:asciiTheme="minorHAnsi" w:hAnsiTheme="minorHAnsi"/>
          <w:b/>
          <w:bCs/>
          <w:color w:val="auto"/>
          <w:sz w:val="24"/>
          <w:szCs w:val="24"/>
        </w:rPr>
        <w:t xml:space="preserve">6,0 mil. Kč </w:t>
      </w:r>
    </w:p>
    <w:p w14:paraId="6BF672D1"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color w:val="auto"/>
          <w:sz w:val="24"/>
          <w:szCs w:val="24"/>
        </w:rPr>
        <w:t xml:space="preserve">Specifikace: </w:t>
      </w:r>
      <w:r w:rsidRPr="00503A5D">
        <w:rPr>
          <w:rFonts w:asciiTheme="minorHAnsi" w:hAnsiTheme="minorHAnsi"/>
          <w:b/>
          <w:bCs/>
          <w:color w:val="auto"/>
          <w:sz w:val="24"/>
          <w:szCs w:val="24"/>
        </w:rPr>
        <w:t>VŠ vzdělaní zaměstnanci v ICT oboru, min. 5 let dokumentované odborné praxe v oboru, plnící podmínky nestrannosti a nezávislosti, znalost jednotlivých technologií AI a posuzování</w:t>
      </w:r>
    </w:p>
    <w:p w14:paraId="689FA2BA"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 xml:space="preserve">Zdůvodnění: </w:t>
      </w:r>
      <w:r w:rsidRPr="00503A5D">
        <w:rPr>
          <w:rFonts w:asciiTheme="minorHAnsi" w:hAnsiTheme="minorHAnsi"/>
          <w:b/>
          <w:bCs/>
          <w:color w:val="auto"/>
          <w:sz w:val="24"/>
          <w:szCs w:val="24"/>
        </w:rPr>
        <w:t xml:space="preserve">požadavek vysoké odbornosti na jednotlivé technologie AI, vysoké nároky na VŠ vzdělání v oboru a </w:t>
      </w:r>
      <w:r w:rsidRPr="00503A5D">
        <w:rPr>
          <w:rFonts w:asciiTheme="minorHAnsi" w:hAnsiTheme="minorHAnsi"/>
          <w:b/>
          <w:bCs/>
          <w:color w:val="auto"/>
          <w:sz w:val="24"/>
          <w:szCs w:val="24"/>
          <w:u w:val="single"/>
        </w:rPr>
        <w:t>prokázanou praxi a pracovní zkušenost s jednotlivými technologiemi</w:t>
      </w:r>
      <w:r w:rsidRPr="00503A5D">
        <w:rPr>
          <w:rFonts w:asciiTheme="minorHAnsi" w:hAnsiTheme="minorHAnsi"/>
          <w:b/>
          <w:bCs/>
          <w:color w:val="auto"/>
          <w:sz w:val="24"/>
          <w:szCs w:val="24"/>
        </w:rPr>
        <w:t>, znalost problematiky posuzování shody</w:t>
      </w:r>
    </w:p>
    <w:p w14:paraId="4F329B80"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 xml:space="preserve">Dohody mimo hlavní pracovní poměr – počet: </w:t>
      </w:r>
      <w:r w:rsidRPr="00503A5D">
        <w:rPr>
          <w:rFonts w:asciiTheme="minorHAnsi" w:hAnsiTheme="minorHAnsi"/>
          <w:b/>
          <w:bCs/>
          <w:color w:val="auto"/>
          <w:sz w:val="24"/>
          <w:szCs w:val="24"/>
        </w:rPr>
        <w:t>4</w:t>
      </w:r>
    </w:p>
    <w:p w14:paraId="638466D9"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color w:val="auto"/>
          <w:sz w:val="24"/>
          <w:szCs w:val="24"/>
        </w:rPr>
        <w:t xml:space="preserve">Dohody mimo hlavní pracovní poměr – Kč: </w:t>
      </w:r>
      <w:r w:rsidRPr="00503A5D">
        <w:rPr>
          <w:rFonts w:asciiTheme="minorHAnsi" w:hAnsiTheme="minorHAnsi"/>
          <w:b/>
          <w:bCs/>
          <w:color w:val="auto"/>
          <w:sz w:val="24"/>
          <w:szCs w:val="24"/>
        </w:rPr>
        <w:t>0,5 mil. Kč</w:t>
      </w:r>
    </w:p>
    <w:p w14:paraId="696A7B81"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Náklady na odborné vybavení pro výkon funkce dle AI Act</w:t>
      </w:r>
    </w:p>
    <w:p w14:paraId="3510FA8D"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(typově): stroje, technika, zařízení, software, hardware apod.</w:t>
      </w:r>
    </w:p>
    <w:p w14:paraId="6768C245" w14:textId="77777777" w:rsidR="0013693E" w:rsidRPr="00503A5D" w:rsidRDefault="0013693E" w:rsidP="0013693E">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Vhodné HW testovací zařízení, např. NVIDIA DGX B200 (vzhledem k rychlému technologickému vývoji a nutnosti soutěžit přes veřejnou zakázku nelze zařízení dopředu přesně určit) s parametry:</w:t>
      </w:r>
    </w:p>
    <w:tbl>
      <w:tblPr>
        <w:tblW w:w="0" w:type="auto"/>
        <w:tblCellMar>
          <w:left w:w="0" w:type="dxa"/>
          <w:right w:w="0" w:type="dxa"/>
        </w:tblCellMar>
        <w:tblLook w:val="04A0" w:firstRow="1" w:lastRow="0" w:firstColumn="1" w:lastColumn="0" w:noHBand="0" w:noVBand="1"/>
      </w:tblPr>
      <w:tblGrid>
        <w:gridCol w:w="2632"/>
        <w:gridCol w:w="4734"/>
      </w:tblGrid>
      <w:tr w:rsidR="0013693E" w:rsidRPr="00503A5D" w14:paraId="24B09FB7" w14:textId="77777777" w:rsidTr="007D7367">
        <w:trPr>
          <w:trHeight w:val="339"/>
        </w:trPr>
        <w:tc>
          <w:tcPr>
            <w:tcW w:w="26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8F1C31C"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i/>
                <w:iCs/>
                <w:color w:val="auto"/>
                <w:sz w:val="24"/>
                <w:szCs w:val="24"/>
                <w:lang w:eastAsia="cs-CZ"/>
              </w:rPr>
              <w:t>Komponenta</w:t>
            </w:r>
          </w:p>
        </w:tc>
        <w:tc>
          <w:tcPr>
            <w:tcW w:w="47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DD6CE2F"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i/>
                <w:iCs/>
                <w:color w:val="auto"/>
                <w:sz w:val="24"/>
                <w:szCs w:val="24"/>
                <w:lang w:eastAsia="cs-CZ"/>
              </w:rPr>
              <w:t>Technická specifikace</w:t>
            </w:r>
          </w:p>
        </w:tc>
      </w:tr>
      <w:tr w:rsidR="0013693E" w:rsidRPr="00503A5D" w14:paraId="794FF890" w14:textId="77777777" w:rsidTr="007D7367">
        <w:trPr>
          <w:trHeight w:val="339"/>
        </w:trPr>
        <w:tc>
          <w:tcPr>
            <w:tcW w:w="26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EC03A0"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GPU</w:t>
            </w:r>
          </w:p>
        </w:tc>
        <w:tc>
          <w:tcPr>
            <w:tcW w:w="4734" w:type="dxa"/>
            <w:tcBorders>
              <w:top w:val="nil"/>
              <w:left w:val="nil"/>
              <w:bottom w:val="single" w:sz="8" w:space="0" w:color="auto"/>
              <w:right w:val="single" w:sz="8" w:space="0" w:color="auto"/>
            </w:tcBorders>
            <w:tcMar>
              <w:top w:w="0" w:type="dxa"/>
              <w:left w:w="108" w:type="dxa"/>
              <w:bottom w:w="0" w:type="dxa"/>
              <w:right w:w="108" w:type="dxa"/>
            </w:tcMar>
            <w:hideMark/>
          </w:tcPr>
          <w:p w14:paraId="4753EA4A"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8× NVIDIA Blackwell B200</w:t>
            </w:r>
          </w:p>
        </w:tc>
      </w:tr>
      <w:tr w:rsidR="0013693E" w:rsidRPr="00503A5D" w14:paraId="6618F107" w14:textId="77777777" w:rsidTr="007D7367">
        <w:trPr>
          <w:trHeight w:val="353"/>
        </w:trPr>
        <w:tc>
          <w:tcPr>
            <w:tcW w:w="26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FFAACC"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Celková GPU paměť</w:t>
            </w:r>
          </w:p>
        </w:tc>
        <w:tc>
          <w:tcPr>
            <w:tcW w:w="4734" w:type="dxa"/>
            <w:tcBorders>
              <w:top w:val="nil"/>
              <w:left w:val="nil"/>
              <w:bottom w:val="single" w:sz="8" w:space="0" w:color="auto"/>
              <w:right w:val="single" w:sz="8" w:space="0" w:color="auto"/>
            </w:tcBorders>
            <w:tcMar>
              <w:top w:w="0" w:type="dxa"/>
              <w:left w:w="108" w:type="dxa"/>
              <w:bottom w:w="0" w:type="dxa"/>
              <w:right w:w="108" w:type="dxa"/>
            </w:tcMar>
            <w:hideMark/>
          </w:tcPr>
          <w:p w14:paraId="6A47F899"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1 440 GB HBM3e</w:t>
            </w:r>
          </w:p>
        </w:tc>
      </w:tr>
      <w:tr w:rsidR="0013693E" w:rsidRPr="00503A5D" w14:paraId="0047985D" w14:textId="77777777" w:rsidTr="007D7367">
        <w:trPr>
          <w:trHeight w:val="339"/>
        </w:trPr>
        <w:tc>
          <w:tcPr>
            <w:tcW w:w="26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E38583"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CPU</w:t>
            </w:r>
          </w:p>
        </w:tc>
        <w:tc>
          <w:tcPr>
            <w:tcW w:w="4734" w:type="dxa"/>
            <w:tcBorders>
              <w:top w:val="nil"/>
              <w:left w:val="nil"/>
              <w:bottom w:val="single" w:sz="8" w:space="0" w:color="auto"/>
              <w:right w:val="single" w:sz="8" w:space="0" w:color="auto"/>
            </w:tcBorders>
            <w:tcMar>
              <w:top w:w="0" w:type="dxa"/>
              <w:left w:w="108" w:type="dxa"/>
              <w:bottom w:w="0" w:type="dxa"/>
              <w:right w:w="108" w:type="dxa"/>
            </w:tcMar>
            <w:hideMark/>
          </w:tcPr>
          <w:p w14:paraId="6485E8FA"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2× Intel Xeon Platinum 8570 (112 jader)</w:t>
            </w:r>
          </w:p>
        </w:tc>
      </w:tr>
      <w:tr w:rsidR="0013693E" w:rsidRPr="00503A5D" w14:paraId="78F10C79" w14:textId="77777777" w:rsidTr="007D7367">
        <w:trPr>
          <w:trHeight w:val="339"/>
        </w:trPr>
        <w:tc>
          <w:tcPr>
            <w:tcW w:w="26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ACDD95"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RAM</w:t>
            </w:r>
          </w:p>
        </w:tc>
        <w:tc>
          <w:tcPr>
            <w:tcW w:w="4734" w:type="dxa"/>
            <w:tcBorders>
              <w:top w:val="nil"/>
              <w:left w:val="nil"/>
              <w:bottom w:val="single" w:sz="8" w:space="0" w:color="auto"/>
              <w:right w:val="single" w:sz="8" w:space="0" w:color="auto"/>
            </w:tcBorders>
            <w:tcMar>
              <w:top w:w="0" w:type="dxa"/>
              <w:left w:w="108" w:type="dxa"/>
              <w:bottom w:w="0" w:type="dxa"/>
              <w:right w:w="108" w:type="dxa"/>
            </w:tcMar>
            <w:hideMark/>
          </w:tcPr>
          <w:p w14:paraId="63BD8701"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4 TB DDR5</w:t>
            </w:r>
          </w:p>
        </w:tc>
      </w:tr>
      <w:tr w:rsidR="0013693E" w:rsidRPr="00503A5D" w14:paraId="679346EE" w14:textId="77777777" w:rsidTr="007D7367">
        <w:trPr>
          <w:trHeight w:val="339"/>
        </w:trPr>
        <w:tc>
          <w:tcPr>
            <w:tcW w:w="26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78795D"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Úložiště</w:t>
            </w:r>
          </w:p>
        </w:tc>
        <w:tc>
          <w:tcPr>
            <w:tcW w:w="4734" w:type="dxa"/>
            <w:tcBorders>
              <w:top w:val="nil"/>
              <w:left w:val="nil"/>
              <w:bottom w:val="single" w:sz="8" w:space="0" w:color="auto"/>
              <w:right w:val="single" w:sz="8" w:space="0" w:color="auto"/>
            </w:tcBorders>
            <w:tcMar>
              <w:top w:w="0" w:type="dxa"/>
              <w:left w:w="108" w:type="dxa"/>
              <w:bottom w:w="0" w:type="dxa"/>
              <w:right w:w="108" w:type="dxa"/>
            </w:tcMar>
            <w:hideMark/>
          </w:tcPr>
          <w:p w14:paraId="72D4C4EA"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2× 1,9 TB NVMe + 8× 3,84 TB NVMe</w:t>
            </w:r>
          </w:p>
        </w:tc>
      </w:tr>
      <w:tr w:rsidR="0013693E" w:rsidRPr="00503A5D" w14:paraId="2609CE1A" w14:textId="77777777" w:rsidTr="007D7367">
        <w:trPr>
          <w:trHeight w:val="339"/>
        </w:trPr>
        <w:tc>
          <w:tcPr>
            <w:tcW w:w="26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151778"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Síťové připojení</w:t>
            </w:r>
          </w:p>
        </w:tc>
        <w:tc>
          <w:tcPr>
            <w:tcW w:w="4734" w:type="dxa"/>
            <w:tcBorders>
              <w:top w:val="nil"/>
              <w:left w:val="nil"/>
              <w:bottom w:val="single" w:sz="8" w:space="0" w:color="auto"/>
              <w:right w:val="single" w:sz="8" w:space="0" w:color="auto"/>
            </w:tcBorders>
            <w:tcMar>
              <w:top w:w="0" w:type="dxa"/>
              <w:left w:w="108" w:type="dxa"/>
              <w:bottom w:w="0" w:type="dxa"/>
              <w:right w:w="108" w:type="dxa"/>
            </w:tcMar>
            <w:hideMark/>
          </w:tcPr>
          <w:p w14:paraId="7C32057F"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4× OSFP (8× 400Gb/s InfiniBand/Ethernet)</w:t>
            </w:r>
          </w:p>
        </w:tc>
      </w:tr>
      <w:tr w:rsidR="0013693E" w:rsidRPr="00503A5D" w14:paraId="7C6EDDC6" w14:textId="77777777" w:rsidTr="007D7367">
        <w:trPr>
          <w:trHeight w:val="339"/>
        </w:trPr>
        <w:tc>
          <w:tcPr>
            <w:tcW w:w="26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3483C0"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Výkon (FLOPS)</w:t>
            </w:r>
          </w:p>
        </w:tc>
        <w:tc>
          <w:tcPr>
            <w:tcW w:w="4734" w:type="dxa"/>
            <w:tcBorders>
              <w:top w:val="nil"/>
              <w:left w:val="nil"/>
              <w:bottom w:val="single" w:sz="8" w:space="0" w:color="auto"/>
              <w:right w:val="single" w:sz="8" w:space="0" w:color="auto"/>
            </w:tcBorders>
            <w:tcMar>
              <w:top w:w="0" w:type="dxa"/>
              <w:left w:w="108" w:type="dxa"/>
              <w:bottom w:w="0" w:type="dxa"/>
              <w:right w:w="108" w:type="dxa"/>
            </w:tcMar>
            <w:hideMark/>
          </w:tcPr>
          <w:p w14:paraId="36AF4174"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72 petaFLOPS</w:t>
            </w:r>
          </w:p>
        </w:tc>
      </w:tr>
      <w:tr w:rsidR="0013693E" w:rsidRPr="00503A5D" w14:paraId="4BD65D38" w14:textId="77777777" w:rsidTr="007D7367">
        <w:trPr>
          <w:trHeight w:val="339"/>
        </w:trPr>
        <w:tc>
          <w:tcPr>
            <w:tcW w:w="26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3EDE94"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Spotřeba energie</w:t>
            </w:r>
          </w:p>
        </w:tc>
        <w:tc>
          <w:tcPr>
            <w:tcW w:w="4734" w:type="dxa"/>
            <w:tcBorders>
              <w:top w:val="nil"/>
              <w:left w:val="nil"/>
              <w:bottom w:val="single" w:sz="8" w:space="0" w:color="auto"/>
              <w:right w:val="single" w:sz="8" w:space="0" w:color="auto"/>
            </w:tcBorders>
            <w:tcMar>
              <w:top w:w="0" w:type="dxa"/>
              <w:left w:w="108" w:type="dxa"/>
              <w:bottom w:w="0" w:type="dxa"/>
              <w:right w:w="108" w:type="dxa"/>
            </w:tcMar>
            <w:hideMark/>
          </w:tcPr>
          <w:p w14:paraId="3AEDB21A" w14:textId="77777777" w:rsidR="0013693E" w:rsidRPr="00503A5D" w:rsidRDefault="0013693E" w:rsidP="007D7367">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~14,3 kW</w:t>
            </w:r>
          </w:p>
        </w:tc>
      </w:tr>
    </w:tbl>
    <w:p w14:paraId="79C31C02" w14:textId="77777777" w:rsidR="0013693E" w:rsidRPr="00503A5D" w:rsidRDefault="0013693E" w:rsidP="0013693E">
      <w:pPr>
        <w:spacing w:before="100" w:beforeAutospacing="1" w:after="100" w:afterAutospacing="1" w:line="240" w:lineRule="auto"/>
        <w:rPr>
          <w:rFonts w:asciiTheme="minorHAnsi" w:eastAsia="Times New Roman" w:hAnsiTheme="minorHAnsi"/>
          <w:b/>
          <w:bCs/>
          <w:color w:val="auto"/>
          <w:sz w:val="24"/>
          <w:szCs w:val="24"/>
          <w:lang w:eastAsia="cs-CZ"/>
        </w:rPr>
      </w:pPr>
      <w:r w:rsidRPr="00503A5D">
        <w:rPr>
          <w:rFonts w:asciiTheme="minorHAnsi" w:eastAsia="Times New Roman" w:hAnsiTheme="minorHAnsi"/>
          <w:b/>
          <w:bCs/>
          <w:color w:val="auto"/>
          <w:sz w:val="24"/>
          <w:szCs w:val="24"/>
          <w:lang w:eastAsia="cs-CZ"/>
        </w:rPr>
        <w:t>       + vhodný soubor vhodného testovacího SW (předpokládá se, že bude v rámci AI Aktu upřesněno na evropské úrovni)</w:t>
      </w:r>
    </w:p>
    <w:p w14:paraId="4D1683CB" w14:textId="77777777" w:rsidR="0013693E" w:rsidRPr="00503A5D" w:rsidRDefault="0013693E" w:rsidP="0013693E">
      <w:pPr>
        <w:spacing w:before="100" w:beforeAutospacing="1" w:after="100" w:afterAutospacing="1" w:line="240" w:lineRule="auto"/>
        <w:rPr>
          <w:rFonts w:asciiTheme="minorHAnsi" w:hAnsiTheme="minorHAnsi"/>
          <w:color w:val="auto"/>
          <w:sz w:val="24"/>
          <w:szCs w:val="24"/>
        </w:rPr>
      </w:pPr>
      <w:r w:rsidRPr="00503A5D">
        <w:rPr>
          <w:rFonts w:asciiTheme="minorHAnsi" w:hAnsiTheme="minorHAnsi"/>
          <w:color w:val="auto"/>
          <w:sz w:val="24"/>
          <w:szCs w:val="24"/>
        </w:rPr>
        <w:t xml:space="preserve">       Náklady v Kč: </w:t>
      </w:r>
      <w:r w:rsidRPr="00503A5D">
        <w:rPr>
          <w:rFonts w:asciiTheme="minorHAnsi" w:hAnsiTheme="minorHAnsi"/>
          <w:b/>
          <w:bCs/>
          <w:color w:val="auto"/>
          <w:sz w:val="24"/>
          <w:szCs w:val="24"/>
        </w:rPr>
        <w:t>Aktuální cena cca 11,2 milionů Kč</w:t>
      </w:r>
    </w:p>
    <w:p w14:paraId="73CAE161"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Náklady na provoz pro výkon funkce dle AI Act</w:t>
      </w:r>
    </w:p>
    <w:p w14:paraId="49352FE3"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lastRenderedPageBreak/>
        <w:t>Specifikace (typově): nájmy, kancelářské věci, atd.</w:t>
      </w:r>
    </w:p>
    <w:p w14:paraId="187AF5CD"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Specializovaná datová laboratoř (předpokládá se umístění na ČMI OI Olomouc, přestavba a vybavení dosavadní místnosti v rámci budovy), konektivita, zabezpečení, klimatizace, spotřeba energie</w:t>
      </w:r>
    </w:p>
    <w:p w14:paraId="40348740"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color w:val="auto"/>
          <w:sz w:val="24"/>
          <w:szCs w:val="24"/>
        </w:rPr>
        <w:t xml:space="preserve">Náklady v Kč: </w:t>
      </w:r>
      <w:r w:rsidRPr="00503A5D">
        <w:rPr>
          <w:rFonts w:asciiTheme="minorHAnsi" w:hAnsiTheme="minorHAnsi"/>
          <w:b/>
          <w:bCs/>
          <w:color w:val="auto"/>
          <w:sz w:val="24"/>
          <w:szCs w:val="24"/>
        </w:rPr>
        <w:t>1,2 mil. Kč</w:t>
      </w:r>
    </w:p>
    <w:p w14:paraId="3A356A8E"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Nákup externích služeb (např. školení)</w:t>
      </w:r>
    </w:p>
    <w:p w14:paraId="2E45AE4A"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color w:val="auto"/>
          <w:sz w:val="24"/>
          <w:szCs w:val="24"/>
        </w:rPr>
        <w:t>Popis služeb (typově</w:t>
      </w:r>
      <w:r w:rsidRPr="00503A5D">
        <w:rPr>
          <w:rFonts w:asciiTheme="minorHAnsi" w:hAnsiTheme="minorHAnsi"/>
          <w:b/>
          <w:bCs/>
          <w:color w:val="auto"/>
          <w:sz w:val="24"/>
          <w:szCs w:val="24"/>
        </w:rPr>
        <w:t>): odborná certifikace zaměstnanců na jednotlivé technologie, validace jednotlivých postupů posuzování, účast ve srovnávacích slepých kruhových testech na jednotlivé technologie</w:t>
      </w:r>
    </w:p>
    <w:p w14:paraId="423C2B84"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Náklady v Kč: 1,4 mil. Kč</w:t>
      </w:r>
    </w:p>
    <w:p w14:paraId="195E509B" w14:textId="77777777" w:rsidR="0013693E" w:rsidRPr="00503A5D" w:rsidRDefault="0013693E" w:rsidP="0013693E">
      <w:pPr>
        <w:ind w:left="360"/>
        <w:rPr>
          <w:rFonts w:asciiTheme="minorHAnsi" w:hAnsiTheme="minorHAnsi"/>
          <w:color w:val="auto"/>
          <w:sz w:val="24"/>
          <w:szCs w:val="24"/>
        </w:rPr>
      </w:pPr>
    </w:p>
    <w:p w14:paraId="52470221"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Rozpočtový výhled 2027</w:t>
      </w:r>
    </w:p>
    <w:p w14:paraId="09299232"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 xml:space="preserve">V roce 2027 je předpokládané již částečné samofinancování z plateb za vykonané posouzení shody v druhé polovině roku 2027, nezbytné náklady do doby získání oznámení pro posuzování shody jsou odhadovány na 5 milionů Kč. Skutečné náklady budou záviset zejména na datu obdržení posouzení. </w:t>
      </w:r>
    </w:p>
    <w:p w14:paraId="4E296778" w14:textId="77777777" w:rsidR="0013693E" w:rsidRPr="00503A5D" w:rsidRDefault="0013693E" w:rsidP="0013693E">
      <w:pPr>
        <w:ind w:left="360"/>
        <w:rPr>
          <w:rFonts w:asciiTheme="minorHAnsi" w:hAnsiTheme="minorHAnsi"/>
          <w:color w:val="auto"/>
          <w:sz w:val="24"/>
          <w:szCs w:val="24"/>
        </w:rPr>
      </w:pPr>
    </w:p>
    <w:p w14:paraId="25733D5D"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Rozpočtový výhled 2028</w:t>
      </w:r>
    </w:p>
    <w:p w14:paraId="5105D94C" w14:textId="77777777" w:rsidR="0013693E" w:rsidRPr="00503A5D" w:rsidRDefault="0013693E" w:rsidP="0013693E">
      <w:pPr>
        <w:ind w:left="360"/>
        <w:rPr>
          <w:rFonts w:asciiTheme="minorHAnsi" w:hAnsiTheme="minorHAnsi"/>
          <w:b/>
          <w:bCs/>
          <w:color w:val="auto"/>
          <w:sz w:val="24"/>
          <w:szCs w:val="24"/>
        </w:rPr>
      </w:pPr>
      <w:bookmarkStart w:id="38" w:name="_Hlk192601009"/>
      <w:r w:rsidRPr="00503A5D">
        <w:rPr>
          <w:rFonts w:asciiTheme="minorHAnsi" w:hAnsiTheme="minorHAnsi"/>
          <w:b/>
          <w:bCs/>
          <w:color w:val="auto"/>
          <w:sz w:val="24"/>
          <w:szCs w:val="24"/>
        </w:rPr>
        <w:t>V roce 2028 je již předpokládá plné samofinancování z plateb za vykonané posouzení shody</w:t>
      </w:r>
      <w:bookmarkEnd w:id="38"/>
      <w:r w:rsidRPr="00503A5D">
        <w:rPr>
          <w:rFonts w:asciiTheme="minorHAnsi" w:hAnsiTheme="minorHAnsi"/>
          <w:b/>
          <w:bCs/>
          <w:color w:val="auto"/>
          <w:sz w:val="24"/>
          <w:szCs w:val="24"/>
        </w:rPr>
        <w:t xml:space="preserve"> </w:t>
      </w:r>
    </w:p>
    <w:p w14:paraId="2C166E38" w14:textId="77777777" w:rsidR="008A0D9B" w:rsidRDefault="008A0D9B" w:rsidP="0013693E">
      <w:pPr>
        <w:ind w:left="360"/>
        <w:rPr>
          <w:rFonts w:asciiTheme="minorHAnsi" w:hAnsiTheme="minorHAnsi"/>
          <w:color w:val="auto"/>
          <w:sz w:val="24"/>
          <w:szCs w:val="24"/>
          <w:u w:val="single"/>
        </w:rPr>
      </w:pPr>
    </w:p>
    <w:p w14:paraId="55E0771E" w14:textId="77777777" w:rsidR="008A0D9B" w:rsidRDefault="008A0D9B" w:rsidP="0013693E">
      <w:pPr>
        <w:ind w:left="360"/>
        <w:rPr>
          <w:rFonts w:asciiTheme="minorHAnsi" w:hAnsiTheme="minorHAnsi"/>
          <w:color w:val="auto"/>
          <w:sz w:val="24"/>
          <w:szCs w:val="24"/>
          <w:u w:val="single"/>
        </w:rPr>
      </w:pPr>
    </w:p>
    <w:p w14:paraId="74EBA54F" w14:textId="77777777" w:rsidR="008A0D9B" w:rsidRDefault="008A0D9B" w:rsidP="0013693E">
      <w:pPr>
        <w:ind w:left="360"/>
        <w:rPr>
          <w:rFonts w:asciiTheme="minorHAnsi" w:hAnsiTheme="minorHAnsi"/>
          <w:color w:val="auto"/>
          <w:sz w:val="24"/>
          <w:szCs w:val="24"/>
          <w:u w:val="single"/>
        </w:rPr>
      </w:pPr>
    </w:p>
    <w:p w14:paraId="0064E1FC" w14:textId="77777777" w:rsidR="008A0D9B" w:rsidRDefault="008A0D9B" w:rsidP="0013693E">
      <w:pPr>
        <w:ind w:left="360"/>
        <w:rPr>
          <w:rFonts w:asciiTheme="minorHAnsi" w:hAnsiTheme="minorHAnsi"/>
          <w:color w:val="auto"/>
          <w:sz w:val="24"/>
          <w:szCs w:val="24"/>
          <w:u w:val="single"/>
        </w:rPr>
      </w:pPr>
    </w:p>
    <w:p w14:paraId="215EC75D" w14:textId="77777777" w:rsidR="008A0D9B" w:rsidRDefault="008A0D9B" w:rsidP="0013693E">
      <w:pPr>
        <w:ind w:left="360"/>
        <w:rPr>
          <w:rFonts w:asciiTheme="minorHAnsi" w:hAnsiTheme="minorHAnsi"/>
          <w:color w:val="auto"/>
          <w:sz w:val="24"/>
          <w:szCs w:val="24"/>
          <w:u w:val="single"/>
        </w:rPr>
      </w:pPr>
    </w:p>
    <w:p w14:paraId="129AF4D8" w14:textId="77777777" w:rsidR="008A0D9B" w:rsidRDefault="008A0D9B" w:rsidP="0013693E">
      <w:pPr>
        <w:ind w:left="360"/>
        <w:rPr>
          <w:rFonts w:asciiTheme="minorHAnsi" w:hAnsiTheme="minorHAnsi"/>
          <w:color w:val="auto"/>
          <w:sz w:val="24"/>
          <w:szCs w:val="24"/>
          <w:u w:val="single"/>
        </w:rPr>
      </w:pPr>
    </w:p>
    <w:p w14:paraId="39E96AD1" w14:textId="77777777" w:rsidR="008A0D9B" w:rsidRDefault="008A0D9B" w:rsidP="0013693E">
      <w:pPr>
        <w:ind w:left="360"/>
        <w:rPr>
          <w:rFonts w:asciiTheme="minorHAnsi" w:hAnsiTheme="minorHAnsi"/>
          <w:color w:val="auto"/>
          <w:sz w:val="24"/>
          <w:szCs w:val="24"/>
          <w:u w:val="single"/>
        </w:rPr>
      </w:pPr>
    </w:p>
    <w:p w14:paraId="6B575BC7" w14:textId="363D16F4" w:rsidR="008A0D9B" w:rsidRDefault="008A0D9B" w:rsidP="0013693E">
      <w:pPr>
        <w:ind w:left="360"/>
        <w:rPr>
          <w:rFonts w:asciiTheme="minorHAnsi" w:hAnsiTheme="minorHAnsi"/>
          <w:color w:val="auto"/>
          <w:sz w:val="24"/>
          <w:szCs w:val="24"/>
          <w:u w:val="single"/>
        </w:rPr>
      </w:pPr>
    </w:p>
    <w:p w14:paraId="60A6622F" w14:textId="678BA5B6" w:rsidR="00B76BAC" w:rsidRDefault="00B76BAC">
      <w:pPr>
        <w:suppressAutoHyphens w:val="0"/>
        <w:spacing w:after="200" w:line="276" w:lineRule="auto"/>
        <w:rPr>
          <w:rFonts w:asciiTheme="minorHAnsi" w:hAnsiTheme="minorHAnsi"/>
          <w:color w:val="auto"/>
          <w:sz w:val="24"/>
          <w:szCs w:val="24"/>
          <w:u w:val="single"/>
        </w:rPr>
      </w:pPr>
      <w:r>
        <w:rPr>
          <w:rFonts w:asciiTheme="minorHAnsi" w:hAnsiTheme="minorHAnsi"/>
          <w:color w:val="auto"/>
          <w:sz w:val="24"/>
          <w:szCs w:val="24"/>
          <w:u w:val="single"/>
        </w:rPr>
        <w:br w:type="page"/>
      </w:r>
    </w:p>
    <w:p w14:paraId="7C5E324D" w14:textId="4657EF3F" w:rsidR="0013693E" w:rsidRPr="008A0D9B" w:rsidRDefault="0013693E" w:rsidP="0013693E">
      <w:pPr>
        <w:ind w:left="360"/>
        <w:rPr>
          <w:b/>
          <w:bCs/>
          <w:color w:val="auto"/>
          <w:sz w:val="28"/>
          <w:szCs w:val="28"/>
        </w:rPr>
      </w:pPr>
      <w:r w:rsidRPr="008A0D9B">
        <w:rPr>
          <w:b/>
          <w:bCs/>
          <w:color w:val="auto"/>
          <w:sz w:val="28"/>
          <w:szCs w:val="28"/>
        </w:rPr>
        <w:lastRenderedPageBreak/>
        <w:t xml:space="preserve">Česká agentura pro standardizaci </w:t>
      </w:r>
    </w:p>
    <w:p w14:paraId="44BCA424" w14:textId="40B3E89B" w:rsidR="0013693E" w:rsidRPr="00BC3531" w:rsidRDefault="0013693E" w:rsidP="0013693E">
      <w:pPr>
        <w:ind w:left="360"/>
        <w:rPr>
          <w:rFonts w:asciiTheme="minorHAnsi" w:hAnsiTheme="minorHAnsi"/>
          <w:b/>
          <w:bCs/>
          <w:color w:val="auto"/>
          <w:sz w:val="28"/>
          <w:szCs w:val="28"/>
        </w:rPr>
      </w:pPr>
      <w:r w:rsidRPr="00BC3531">
        <w:rPr>
          <w:rFonts w:asciiTheme="minorHAnsi" w:hAnsiTheme="minorHAnsi"/>
          <w:b/>
          <w:bCs/>
          <w:color w:val="auto"/>
          <w:sz w:val="28"/>
          <w:szCs w:val="28"/>
        </w:rPr>
        <w:t>Regula</w:t>
      </w:r>
      <w:r w:rsidR="00C01798" w:rsidRPr="00BC3531">
        <w:rPr>
          <w:rFonts w:asciiTheme="minorHAnsi" w:hAnsiTheme="minorHAnsi"/>
          <w:b/>
          <w:bCs/>
          <w:color w:val="auto"/>
          <w:sz w:val="28"/>
          <w:szCs w:val="28"/>
        </w:rPr>
        <w:t>ční</w:t>
      </w:r>
      <w:r w:rsidRPr="00BC3531">
        <w:rPr>
          <w:rFonts w:asciiTheme="minorHAnsi" w:hAnsiTheme="minorHAnsi"/>
          <w:b/>
          <w:bCs/>
          <w:color w:val="auto"/>
          <w:sz w:val="28"/>
          <w:szCs w:val="28"/>
        </w:rPr>
        <w:t xml:space="preserve"> sandbox</w:t>
      </w:r>
    </w:p>
    <w:p w14:paraId="13F1CFC6"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w:t>
      </w:r>
      <w:r w:rsidRPr="00503A5D">
        <w:rPr>
          <w:rFonts w:asciiTheme="minorHAnsi" w:hAnsiTheme="minorHAnsi"/>
          <w:color w:val="auto"/>
          <w:sz w:val="24"/>
          <w:szCs w:val="24"/>
        </w:rPr>
        <w:tab/>
        <w:t>Povinnost plynoucí z AIA čl. 57 (možno mezistátní), termín plnění: 2/8/2026</w:t>
      </w:r>
    </w:p>
    <w:p w14:paraId="1F7DDCE8"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Státní rozpočet 2026</w:t>
      </w:r>
    </w:p>
    <w:p w14:paraId="3A9081BB"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Osobní náklady</w:t>
      </w:r>
    </w:p>
    <w:p w14:paraId="54CDA76B"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Počet přepočtených úvazků (FTE): 5</w:t>
      </w:r>
    </w:p>
    <w:p w14:paraId="709C8E75" w14:textId="560CC478" w:rsidR="0013693E" w:rsidRPr="00F36206" w:rsidRDefault="0013693E" w:rsidP="0013693E">
      <w:pPr>
        <w:ind w:left="360"/>
        <w:rPr>
          <w:rFonts w:asciiTheme="minorHAnsi" w:hAnsiTheme="minorHAnsi"/>
          <w:b/>
          <w:bCs/>
          <w:color w:val="auto"/>
          <w:sz w:val="24"/>
          <w:szCs w:val="24"/>
        </w:rPr>
      </w:pPr>
      <w:r w:rsidRPr="00F36206">
        <w:rPr>
          <w:rFonts w:asciiTheme="minorHAnsi" w:hAnsiTheme="minorHAnsi"/>
          <w:b/>
          <w:bCs/>
          <w:color w:val="auto"/>
          <w:sz w:val="24"/>
          <w:szCs w:val="24"/>
        </w:rPr>
        <w:t xml:space="preserve">Mzdy (úplné náklady na zaměstnance) v Kč: </w:t>
      </w:r>
      <w:r w:rsidR="00E55EEA">
        <w:rPr>
          <w:rFonts w:asciiTheme="minorHAnsi" w:hAnsiTheme="minorHAnsi"/>
          <w:b/>
          <w:bCs/>
          <w:color w:val="auto"/>
          <w:sz w:val="24"/>
          <w:szCs w:val="24"/>
        </w:rPr>
        <w:t>9</w:t>
      </w:r>
      <w:r w:rsidRPr="00F36206">
        <w:rPr>
          <w:rFonts w:asciiTheme="minorHAnsi" w:hAnsiTheme="minorHAnsi"/>
          <w:b/>
          <w:bCs/>
          <w:color w:val="auto"/>
          <w:sz w:val="24"/>
          <w:szCs w:val="24"/>
        </w:rPr>
        <w:t>.</w:t>
      </w:r>
      <w:r w:rsidR="00E55EEA" w:rsidRPr="00F36206">
        <w:rPr>
          <w:rFonts w:asciiTheme="minorHAnsi" w:hAnsiTheme="minorHAnsi"/>
          <w:b/>
          <w:bCs/>
          <w:color w:val="auto"/>
          <w:sz w:val="24"/>
          <w:szCs w:val="24"/>
        </w:rPr>
        <w:t>0</w:t>
      </w:r>
      <w:r w:rsidR="00E55EEA">
        <w:rPr>
          <w:rFonts w:asciiTheme="minorHAnsi" w:hAnsiTheme="minorHAnsi"/>
          <w:b/>
          <w:bCs/>
          <w:color w:val="auto"/>
          <w:sz w:val="24"/>
          <w:szCs w:val="24"/>
        </w:rPr>
        <w:t>31</w:t>
      </w:r>
      <w:r w:rsidRPr="00F36206">
        <w:rPr>
          <w:rFonts w:asciiTheme="minorHAnsi" w:hAnsiTheme="minorHAnsi"/>
          <w:b/>
          <w:bCs/>
          <w:color w:val="auto"/>
          <w:sz w:val="24"/>
          <w:szCs w:val="24"/>
        </w:rPr>
        <w:t>.</w:t>
      </w:r>
      <w:r w:rsidR="00E55EEA">
        <w:rPr>
          <w:rFonts w:asciiTheme="minorHAnsi" w:hAnsiTheme="minorHAnsi"/>
          <w:b/>
          <w:bCs/>
          <w:color w:val="auto"/>
          <w:sz w:val="24"/>
          <w:szCs w:val="24"/>
        </w:rPr>
        <w:t>5</w:t>
      </w:r>
      <w:r w:rsidRPr="00F36206">
        <w:rPr>
          <w:rFonts w:asciiTheme="minorHAnsi" w:hAnsiTheme="minorHAnsi"/>
          <w:b/>
          <w:bCs/>
          <w:color w:val="auto"/>
          <w:sz w:val="24"/>
          <w:szCs w:val="24"/>
        </w:rPr>
        <w:t>00,- Kč</w:t>
      </w:r>
    </w:p>
    <w:p w14:paraId="41120F7F"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platové třídy, osobní ohodnocení, excelentní pracovníci</w:t>
      </w:r>
    </w:p>
    <w:p w14:paraId="6CE951AD"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Zdůvodnění: požadavek vysoké odbornosti dle AI Act atd.</w:t>
      </w:r>
    </w:p>
    <w:p w14:paraId="4DEF522F"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Dohody mimo hlavní pracovní poměr – počet: 0</w:t>
      </w:r>
    </w:p>
    <w:p w14:paraId="7130A41F"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Dohody mimo hlavní pracovní poměr – Kč: 0</w:t>
      </w:r>
    </w:p>
    <w:p w14:paraId="72152B4D"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Náklady na odborné vybavení pro výkon funkce dle AI Act</w:t>
      </w:r>
    </w:p>
    <w:p w14:paraId="312B147F"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(typově): stroje, technika, zařízení, software, hardware apod.</w:t>
      </w:r>
    </w:p>
    <w:p w14:paraId="5CBE18C9" w14:textId="42DA2588" w:rsidR="0013693E" w:rsidRPr="00F36206" w:rsidRDefault="0013693E" w:rsidP="0013693E">
      <w:pPr>
        <w:ind w:left="360"/>
        <w:rPr>
          <w:rFonts w:asciiTheme="minorHAnsi" w:hAnsiTheme="minorHAnsi"/>
          <w:b/>
          <w:bCs/>
          <w:color w:val="auto"/>
          <w:sz w:val="24"/>
          <w:szCs w:val="24"/>
        </w:rPr>
      </w:pPr>
      <w:r w:rsidRPr="00F36206">
        <w:rPr>
          <w:rFonts w:asciiTheme="minorHAnsi" w:hAnsiTheme="minorHAnsi"/>
          <w:b/>
          <w:bCs/>
          <w:color w:val="auto"/>
          <w:sz w:val="24"/>
          <w:szCs w:val="24"/>
        </w:rPr>
        <w:t xml:space="preserve">Náklady v Kč: </w:t>
      </w:r>
      <w:r w:rsidR="00E55EEA">
        <w:rPr>
          <w:rFonts w:asciiTheme="minorHAnsi" w:hAnsiTheme="minorHAnsi"/>
          <w:b/>
          <w:bCs/>
          <w:color w:val="auto"/>
          <w:sz w:val="24"/>
          <w:szCs w:val="24"/>
        </w:rPr>
        <w:t>6</w:t>
      </w:r>
      <w:r w:rsidR="00E55EEA" w:rsidRPr="00F36206">
        <w:rPr>
          <w:rFonts w:asciiTheme="minorHAnsi" w:hAnsiTheme="minorHAnsi"/>
          <w:b/>
          <w:bCs/>
          <w:color w:val="auto"/>
          <w:sz w:val="24"/>
          <w:szCs w:val="24"/>
        </w:rPr>
        <w:t>50</w:t>
      </w:r>
      <w:r w:rsidRPr="00F36206">
        <w:rPr>
          <w:rFonts w:asciiTheme="minorHAnsi" w:hAnsiTheme="minorHAnsi"/>
          <w:b/>
          <w:bCs/>
          <w:color w:val="auto"/>
          <w:sz w:val="24"/>
          <w:szCs w:val="24"/>
        </w:rPr>
        <w:t>.000,- Kč</w:t>
      </w:r>
    </w:p>
    <w:p w14:paraId="03C9D042"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Náklady na provoz pro výkon funkce dle AI Act</w:t>
      </w:r>
    </w:p>
    <w:p w14:paraId="70472367"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(typově): nájmy, kancelářské věci, atd.</w:t>
      </w:r>
    </w:p>
    <w:p w14:paraId="742625CB" w14:textId="09F30507" w:rsidR="0013693E" w:rsidRPr="00F36206" w:rsidRDefault="0013693E" w:rsidP="0013693E">
      <w:pPr>
        <w:ind w:left="360"/>
        <w:rPr>
          <w:rFonts w:asciiTheme="minorHAnsi" w:hAnsiTheme="minorHAnsi"/>
          <w:b/>
          <w:bCs/>
          <w:color w:val="auto"/>
          <w:sz w:val="24"/>
          <w:szCs w:val="24"/>
        </w:rPr>
      </w:pPr>
      <w:r w:rsidRPr="00F36206">
        <w:rPr>
          <w:rFonts w:asciiTheme="minorHAnsi" w:hAnsiTheme="minorHAnsi"/>
          <w:b/>
          <w:bCs/>
          <w:color w:val="auto"/>
          <w:sz w:val="24"/>
          <w:szCs w:val="24"/>
        </w:rPr>
        <w:t xml:space="preserve">Náklady v Kč: </w:t>
      </w:r>
      <w:r w:rsidR="00E55EEA">
        <w:rPr>
          <w:rFonts w:asciiTheme="minorHAnsi" w:hAnsiTheme="minorHAnsi"/>
          <w:b/>
          <w:bCs/>
          <w:color w:val="auto"/>
          <w:sz w:val="24"/>
          <w:szCs w:val="24"/>
        </w:rPr>
        <w:t>2</w:t>
      </w:r>
      <w:r w:rsidRPr="00F36206">
        <w:rPr>
          <w:rFonts w:asciiTheme="minorHAnsi" w:hAnsiTheme="minorHAnsi"/>
          <w:b/>
          <w:bCs/>
          <w:color w:val="auto"/>
          <w:sz w:val="24"/>
          <w:szCs w:val="24"/>
        </w:rPr>
        <w:t>.9</w:t>
      </w:r>
      <w:r w:rsidR="00E55EEA">
        <w:rPr>
          <w:rFonts w:asciiTheme="minorHAnsi" w:hAnsiTheme="minorHAnsi"/>
          <w:b/>
          <w:bCs/>
          <w:color w:val="auto"/>
          <w:sz w:val="24"/>
          <w:szCs w:val="24"/>
        </w:rPr>
        <w:t>7</w:t>
      </w:r>
      <w:r w:rsidRPr="00F36206">
        <w:rPr>
          <w:rFonts w:asciiTheme="minorHAnsi" w:hAnsiTheme="minorHAnsi"/>
          <w:b/>
          <w:bCs/>
          <w:color w:val="auto"/>
          <w:sz w:val="24"/>
          <w:szCs w:val="24"/>
        </w:rPr>
        <w:t>0.000,- Kč</w:t>
      </w:r>
    </w:p>
    <w:p w14:paraId="7684D4DA"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Nákup externích služeb (např. školení)</w:t>
      </w:r>
    </w:p>
    <w:p w14:paraId="60E6B5FD"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Popis služeb (typově): Právní služby, odborné poradenství, školení, příprava org. rámce, EU Komise atd.</w:t>
      </w:r>
    </w:p>
    <w:p w14:paraId="0DE0A26D" w14:textId="711D26B1" w:rsidR="0013693E" w:rsidRPr="00F36206" w:rsidRDefault="0013693E" w:rsidP="0013693E">
      <w:pPr>
        <w:ind w:left="360"/>
        <w:rPr>
          <w:rFonts w:asciiTheme="minorHAnsi" w:hAnsiTheme="minorHAnsi"/>
          <w:b/>
          <w:bCs/>
          <w:color w:val="auto"/>
          <w:sz w:val="24"/>
          <w:szCs w:val="24"/>
        </w:rPr>
      </w:pPr>
      <w:r w:rsidRPr="00F36206">
        <w:rPr>
          <w:rFonts w:asciiTheme="minorHAnsi" w:hAnsiTheme="minorHAnsi"/>
          <w:b/>
          <w:bCs/>
          <w:color w:val="auto"/>
          <w:sz w:val="24"/>
          <w:szCs w:val="24"/>
        </w:rPr>
        <w:t xml:space="preserve">Náklady v Kč: </w:t>
      </w:r>
      <w:r w:rsidR="00E55EEA">
        <w:rPr>
          <w:rFonts w:asciiTheme="minorHAnsi" w:hAnsiTheme="minorHAnsi"/>
          <w:b/>
          <w:bCs/>
          <w:color w:val="auto"/>
          <w:sz w:val="24"/>
          <w:szCs w:val="24"/>
        </w:rPr>
        <w:t>7</w:t>
      </w:r>
      <w:r w:rsidRPr="00F36206">
        <w:rPr>
          <w:rFonts w:asciiTheme="minorHAnsi" w:hAnsiTheme="minorHAnsi"/>
          <w:b/>
          <w:bCs/>
          <w:color w:val="auto"/>
          <w:sz w:val="24"/>
          <w:szCs w:val="24"/>
        </w:rPr>
        <w:t>.</w:t>
      </w:r>
      <w:r w:rsidR="00E55EEA">
        <w:rPr>
          <w:rFonts w:asciiTheme="minorHAnsi" w:hAnsiTheme="minorHAnsi"/>
          <w:b/>
          <w:bCs/>
          <w:color w:val="auto"/>
          <w:sz w:val="24"/>
          <w:szCs w:val="24"/>
        </w:rPr>
        <w:t>8</w:t>
      </w:r>
      <w:r w:rsidRPr="00F36206">
        <w:rPr>
          <w:rFonts w:asciiTheme="minorHAnsi" w:hAnsiTheme="minorHAnsi"/>
          <w:b/>
          <w:bCs/>
          <w:color w:val="auto"/>
          <w:sz w:val="24"/>
          <w:szCs w:val="24"/>
        </w:rPr>
        <w:t>00.000,- Kč</w:t>
      </w:r>
    </w:p>
    <w:p w14:paraId="5D4A5453"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Rozpočtový výhled 2027</w:t>
      </w:r>
    </w:p>
    <w:p w14:paraId="0791E3B9"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Osobní náklady</w:t>
      </w:r>
    </w:p>
    <w:p w14:paraId="02D9F572"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Počet přepočtených úvazků (FTE): 5</w:t>
      </w:r>
    </w:p>
    <w:p w14:paraId="7EA9C398" w14:textId="77777777" w:rsidR="0013693E" w:rsidRPr="00F36206" w:rsidRDefault="0013693E" w:rsidP="0013693E">
      <w:pPr>
        <w:ind w:left="360"/>
        <w:rPr>
          <w:rFonts w:asciiTheme="minorHAnsi" w:hAnsiTheme="minorHAnsi"/>
          <w:b/>
          <w:bCs/>
          <w:color w:val="auto"/>
          <w:sz w:val="24"/>
          <w:szCs w:val="24"/>
        </w:rPr>
      </w:pPr>
      <w:r w:rsidRPr="00F36206">
        <w:rPr>
          <w:rFonts w:asciiTheme="minorHAnsi" w:hAnsiTheme="minorHAnsi"/>
          <w:b/>
          <w:bCs/>
          <w:color w:val="auto"/>
          <w:sz w:val="24"/>
          <w:szCs w:val="24"/>
        </w:rPr>
        <w:t>Mzdy (úplné náklady na zaměstnance) v Kč: 6.021.000,- Kč</w:t>
      </w:r>
    </w:p>
    <w:p w14:paraId="51C18C5D"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platové třídy, osobní ohodnocení, excelentní pracovníci</w:t>
      </w:r>
    </w:p>
    <w:p w14:paraId="0932BD28"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Zdůvodnění: požadavek vysoké odbornosti dle AI Act atd.</w:t>
      </w:r>
    </w:p>
    <w:p w14:paraId="7A8F542F"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Dohody mimo hlavní pracovní poměr – počet: 0</w:t>
      </w:r>
    </w:p>
    <w:p w14:paraId="679D992A"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lastRenderedPageBreak/>
        <w:t>Dohody mimo hlavní pracovní poměr – Kč: 0</w:t>
      </w:r>
    </w:p>
    <w:p w14:paraId="2409D779"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Náklady na odborné vybavení pro výkon funkce dle AI Act</w:t>
      </w:r>
    </w:p>
    <w:p w14:paraId="289BF00F"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(typově): stroje, technika, zařízení, software, hardware apod.</w:t>
      </w:r>
    </w:p>
    <w:p w14:paraId="015544A6" w14:textId="77777777" w:rsidR="0013693E" w:rsidRPr="00F36206" w:rsidRDefault="0013693E" w:rsidP="0013693E">
      <w:pPr>
        <w:ind w:left="360"/>
        <w:rPr>
          <w:rFonts w:asciiTheme="minorHAnsi" w:hAnsiTheme="minorHAnsi"/>
          <w:b/>
          <w:bCs/>
          <w:color w:val="auto"/>
          <w:sz w:val="24"/>
          <w:szCs w:val="24"/>
        </w:rPr>
      </w:pPr>
      <w:r w:rsidRPr="00F36206">
        <w:rPr>
          <w:rFonts w:asciiTheme="minorHAnsi" w:hAnsiTheme="minorHAnsi"/>
          <w:b/>
          <w:bCs/>
          <w:color w:val="auto"/>
          <w:sz w:val="24"/>
          <w:szCs w:val="24"/>
        </w:rPr>
        <w:t>Náklady v Kč: 150.000,- Kč</w:t>
      </w:r>
    </w:p>
    <w:p w14:paraId="3F373593"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Náklady na provoz pro výkon funkce dle AI Act</w:t>
      </w:r>
    </w:p>
    <w:p w14:paraId="440F14C1"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(typově): nájmy, kancelářské věci, atd.</w:t>
      </w:r>
    </w:p>
    <w:p w14:paraId="119C18F1" w14:textId="77777777" w:rsidR="0013693E" w:rsidRPr="00F36206" w:rsidRDefault="0013693E" w:rsidP="0013693E">
      <w:pPr>
        <w:ind w:left="360"/>
        <w:rPr>
          <w:rFonts w:asciiTheme="minorHAnsi" w:hAnsiTheme="minorHAnsi"/>
          <w:b/>
          <w:bCs/>
          <w:color w:val="auto"/>
          <w:sz w:val="24"/>
          <w:szCs w:val="24"/>
        </w:rPr>
      </w:pPr>
      <w:r w:rsidRPr="00F36206">
        <w:rPr>
          <w:rFonts w:asciiTheme="minorHAnsi" w:hAnsiTheme="minorHAnsi"/>
          <w:b/>
          <w:bCs/>
          <w:color w:val="auto"/>
          <w:sz w:val="24"/>
          <w:szCs w:val="24"/>
        </w:rPr>
        <w:t>Náklady v Kč: 1.980.000,- Kč</w:t>
      </w:r>
    </w:p>
    <w:p w14:paraId="2C758D73"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Nákup externích služeb (např. školení)</w:t>
      </w:r>
    </w:p>
    <w:p w14:paraId="34C03B96"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Popis služeb (typově): Právní služby, odborné poradenství, školení, příprava org. rámce, EU Komise atd.</w:t>
      </w:r>
    </w:p>
    <w:p w14:paraId="4DBAB5EB" w14:textId="77777777" w:rsidR="0013693E" w:rsidRPr="00F36206" w:rsidRDefault="0013693E" w:rsidP="0013693E">
      <w:pPr>
        <w:ind w:left="360"/>
        <w:rPr>
          <w:rFonts w:asciiTheme="minorHAnsi" w:hAnsiTheme="minorHAnsi"/>
          <w:b/>
          <w:bCs/>
          <w:color w:val="auto"/>
          <w:sz w:val="24"/>
          <w:szCs w:val="24"/>
        </w:rPr>
      </w:pPr>
      <w:r w:rsidRPr="00F36206">
        <w:rPr>
          <w:rFonts w:asciiTheme="minorHAnsi" w:hAnsiTheme="minorHAnsi"/>
          <w:b/>
          <w:bCs/>
          <w:color w:val="auto"/>
          <w:sz w:val="24"/>
          <w:szCs w:val="24"/>
        </w:rPr>
        <w:t>Náklady v Kč: 4.200.000,- Kč</w:t>
      </w:r>
    </w:p>
    <w:p w14:paraId="09DCA130" w14:textId="77777777" w:rsidR="0013693E" w:rsidRPr="00503A5D" w:rsidRDefault="0013693E" w:rsidP="0013693E">
      <w:pPr>
        <w:ind w:left="360"/>
        <w:rPr>
          <w:rFonts w:asciiTheme="minorHAnsi" w:hAnsiTheme="minorHAnsi"/>
          <w:b/>
          <w:bCs/>
          <w:color w:val="auto"/>
          <w:sz w:val="24"/>
          <w:szCs w:val="24"/>
        </w:rPr>
      </w:pPr>
      <w:r w:rsidRPr="00503A5D">
        <w:rPr>
          <w:rFonts w:asciiTheme="minorHAnsi" w:hAnsiTheme="minorHAnsi"/>
          <w:b/>
          <w:bCs/>
          <w:color w:val="auto"/>
          <w:sz w:val="24"/>
          <w:szCs w:val="24"/>
        </w:rPr>
        <w:t>Rozpočtový výhled 2028</w:t>
      </w:r>
    </w:p>
    <w:p w14:paraId="70205FF6"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Osobní náklady</w:t>
      </w:r>
    </w:p>
    <w:p w14:paraId="250E630B"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Počet přepočtených úvazků (FTE): 5</w:t>
      </w:r>
    </w:p>
    <w:p w14:paraId="33FA6E72" w14:textId="77777777" w:rsidR="0013693E" w:rsidRPr="00F36206" w:rsidRDefault="0013693E" w:rsidP="0013693E">
      <w:pPr>
        <w:ind w:left="360"/>
        <w:rPr>
          <w:rFonts w:asciiTheme="minorHAnsi" w:hAnsiTheme="minorHAnsi"/>
          <w:b/>
          <w:bCs/>
          <w:color w:val="auto"/>
          <w:sz w:val="24"/>
          <w:szCs w:val="24"/>
        </w:rPr>
      </w:pPr>
      <w:r w:rsidRPr="00F36206">
        <w:rPr>
          <w:rFonts w:asciiTheme="minorHAnsi" w:hAnsiTheme="minorHAnsi"/>
          <w:b/>
          <w:bCs/>
          <w:color w:val="auto"/>
          <w:sz w:val="24"/>
          <w:szCs w:val="24"/>
        </w:rPr>
        <w:t>Mzdy (úplné náklady na zaměstnance) v Kč: 6.021.000,- Kč</w:t>
      </w:r>
    </w:p>
    <w:p w14:paraId="296BCFE6"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platové třídy, osobní ohodnocení, excelentní pracovníci</w:t>
      </w:r>
    </w:p>
    <w:p w14:paraId="28138525"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Zdůvodnění: požadavek vysoké odbornosti dle AI Act atd.</w:t>
      </w:r>
    </w:p>
    <w:p w14:paraId="0FE7A713"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Dohody mimo hlavní pracovní poměr – počet: 0</w:t>
      </w:r>
    </w:p>
    <w:p w14:paraId="45013415"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Dohody mimo hlavní pracovní poměr – Kč: 0</w:t>
      </w:r>
    </w:p>
    <w:p w14:paraId="5A37DB99"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Náklady na odborné vybavení pro výkon funkce dle AI Act</w:t>
      </w:r>
    </w:p>
    <w:p w14:paraId="2BF071D9"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(typově): stroje, technika, zařízení, software, hardware apod.</w:t>
      </w:r>
    </w:p>
    <w:p w14:paraId="424C4F93" w14:textId="77777777" w:rsidR="0013693E" w:rsidRPr="00F36206" w:rsidRDefault="0013693E" w:rsidP="0013693E">
      <w:pPr>
        <w:ind w:left="360"/>
        <w:rPr>
          <w:rFonts w:asciiTheme="minorHAnsi" w:hAnsiTheme="minorHAnsi"/>
          <w:b/>
          <w:bCs/>
          <w:color w:val="auto"/>
          <w:sz w:val="24"/>
          <w:szCs w:val="24"/>
        </w:rPr>
      </w:pPr>
      <w:r w:rsidRPr="00F36206">
        <w:rPr>
          <w:rFonts w:asciiTheme="minorHAnsi" w:hAnsiTheme="minorHAnsi"/>
          <w:b/>
          <w:bCs/>
          <w:color w:val="auto"/>
          <w:sz w:val="24"/>
          <w:szCs w:val="24"/>
        </w:rPr>
        <w:t>Náklady v Kč: 150.000,- Kč</w:t>
      </w:r>
    </w:p>
    <w:p w14:paraId="049587A8"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Náklady na provoz pro výkon funkce dle AI Act</w:t>
      </w:r>
    </w:p>
    <w:p w14:paraId="7781F5EB"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Specifikace (typově): nájmy, kancelářské věci, atd.</w:t>
      </w:r>
    </w:p>
    <w:p w14:paraId="4FC439EC" w14:textId="77777777" w:rsidR="0013693E" w:rsidRPr="00F36206" w:rsidRDefault="0013693E" w:rsidP="0013693E">
      <w:pPr>
        <w:ind w:left="360"/>
        <w:rPr>
          <w:rFonts w:asciiTheme="minorHAnsi" w:hAnsiTheme="minorHAnsi"/>
          <w:b/>
          <w:bCs/>
          <w:color w:val="auto"/>
          <w:sz w:val="24"/>
          <w:szCs w:val="24"/>
        </w:rPr>
      </w:pPr>
      <w:r w:rsidRPr="00F36206">
        <w:rPr>
          <w:rFonts w:asciiTheme="minorHAnsi" w:hAnsiTheme="minorHAnsi"/>
          <w:b/>
          <w:bCs/>
          <w:color w:val="auto"/>
          <w:sz w:val="24"/>
          <w:szCs w:val="24"/>
        </w:rPr>
        <w:t>Náklady v Kč: 1.980.000,- Kč</w:t>
      </w:r>
    </w:p>
    <w:p w14:paraId="35EEEED2"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Nákup externích služeb (např. školení)</w:t>
      </w:r>
    </w:p>
    <w:p w14:paraId="2A4CD132" w14:textId="77777777" w:rsidR="0013693E" w:rsidRPr="00503A5D" w:rsidRDefault="0013693E" w:rsidP="0013693E">
      <w:pPr>
        <w:ind w:left="360"/>
        <w:rPr>
          <w:rFonts w:asciiTheme="minorHAnsi" w:hAnsiTheme="minorHAnsi"/>
          <w:color w:val="auto"/>
          <w:sz w:val="24"/>
          <w:szCs w:val="24"/>
        </w:rPr>
      </w:pPr>
      <w:r w:rsidRPr="00503A5D">
        <w:rPr>
          <w:rFonts w:asciiTheme="minorHAnsi" w:hAnsiTheme="minorHAnsi"/>
          <w:color w:val="auto"/>
          <w:sz w:val="24"/>
          <w:szCs w:val="24"/>
        </w:rPr>
        <w:t>Popis služeb (typově): Právní služby, odborné poradenství, školení, příprava org. rámce, EU Komise atd.</w:t>
      </w:r>
    </w:p>
    <w:p w14:paraId="60023C03" w14:textId="6FB894D6" w:rsidR="0013693E" w:rsidRPr="00F36206" w:rsidRDefault="0013693E" w:rsidP="0013693E">
      <w:pPr>
        <w:ind w:left="360"/>
        <w:rPr>
          <w:rFonts w:asciiTheme="minorHAnsi" w:hAnsiTheme="minorHAnsi"/>
          <w:b/>
          <w:bCs/>
          <w:color w:val="auto"/>
          <w:sz w:val="24"/>
          <w:szCs w:val="24"/>
        </w:rPr>
      </w:pPr>
      <w:r w:rsidRPr="00F36206">
        <w:rPr>
          <w:rFonts w:asciiTheme="minorHAnsi" w:hAnsiTheme="minorHAnsi"/>
          <w:b/>
          <w:bCs/>
          <w:color w:val="auto"/>
          <w:sz w:val="24"/>
          <w:szCs w:val="24"/>
        </w:rPr>
        <w:t>Náklady v Kč: 4.200.000,- Kč</w:t>
      </w:r>
    </w:p>
    <w:p w14:paraId="540DAAFC" w14:textId="2B79F44E" w:rsidR="00B619BB" w:rsidRDefault="00B619BB" w:rsidP="00B619BB">
      <w:pPr>
        <w:pStyle w:val="Nadpis1"/>
      </w:pPr>
      <w:bookmarkStart w:id="39" w:name="_Toc194654532"/>
      <w:r>
        <w:lastRenderedPageBreak/>
        <w:t>Použité zdroje</w:t>
      </w:r>
      <w:bookmarkEnd w:id="39"/>
      <w:r>
        <w:t xml:space="preserve"> </w:t>
      </w:r>
    </w:p>
    <w:p w14:paraId="035C64B4" w14:textId="77777777" w:rsidR="00B839FB" w:rsidRPr="00B839FB" w:rsidRDefault="00B839FB" w:rsidP="00CD2B63">
      <w:pPr>
        <w:pStyle w:val="Odstavecseseznamem"/>
        <w:numPr>
          <w:ilvl w:val="0"/>
          <w:numId w:val="33"/>
        </w:numPr>
        <w:autoSpaceDE w:val="0"/>
        <w:spacing w:after="0" w:line="240" w:lineRule="auto"/>
        <w:jc w:val="both"/>
        <w:rPr>
          <w:rFonts w:asciiTheme="minorHAnsi" w:hAnsiTheme="minorHAnsi" w:cs="Calibri"/>
          <w:sz w:val="24"/>
          <w:szCs w:val="24"/>
        </w:rPr>
      </w:pPr>
      <w:bookmarkStart w:id="40" w:name="_Hlk194330426"/>
      <w:r w:rsidRPr="00B839FB">
        <w:rPr>
          <w:sz w:val="24"/>
          <w:szCs w:val="24"/>
        </w:rPr>
        <w:t xml:space="preserve">COMMISSION STAFF WORKING DOCUMENT IMPACT ASSESSMENT:  </w:t>
      </w:r>
      <w:r w:rsidRPr="00B839FB">
        <w:rPr>
          <w:i/>
          <w:iCs/>
          <w:sz w:val="24"/>
          <w:szCs w:val="24"/>
        </w:rPr>
        <w:t xml:space="preserve">Accompanying the </w:t>
      </w:r>
      <w:r w:rsidRPr="00B839FB">
        <w:rPr>
          <w:sz w:val="24"/>
          <w:szCs w:val="24"/>
        </w:rPr>
        <w:t>Proposal for a Regulation of the European Parliament and of the Council LAYING DOWN HARMONISED RULES ON ARTIFICIAL INTELLIGENCE (ARTIFICIAL INTELLIGENCE ACT) AND AMENDING CERTAIN UNION LEGISLATIVE ACTS,</w:t>
      </w:r>
      <w:r w:rsidRPr="00B839FB">
        <w:rPr>
          <w:sz w:val="24"/>
          <w:szCs w:val="24"/>
          <w:shd w:val="clear" w:color="auto" w:fill="FFFFFF"/>
        </w:rPr>
        <w:t xml:space="preserve"> SWD(2021) 84 final, Brussels 21. 4. 2021</w:t>
      </w:r>
      <w:r w:rsidRPr="00B839FB">
        <w:rPr>
          <w:sz w:val="24"/>
          <w:szCs w:val="24"/>
        </w:rPr>
        <w:t xml:space="preserve"> </w:t>
      </w:r>
      <w:hyperlink r:id="rId8" w:history="1">
        <w:r w:rsidRPr="00B839FB">
          <w:rPr>
            <w:rStyle w:val="Hypertextovodkaz"/>
            <w:sz w:val="24"/>
            <w:szCs w:val="24"/>
          </w:rPr>
          <w:t>https://eur-lex.europa.eu/legal-content/EN/TXT/HTML/?uri=CELEX:52021SC0084</w:t>
        </w:r>
      </w:hyperlink>
      <w:r w:rsidRPr="00B839FB">
        <w:rPr>
          <w:rStyle w:val="Hypertextovodkaz"/>
          <w:sz w:val="24"/>
          <w:szCs w:val="24"/>
        </w:rPr>
        <w:t xml:space="preserve">, </w:t>
      </w:r>
    </w:p>
    <w:p w14:paraId="0A900CC9" w14:textId="77777777" w:rsidR="00B839FB" w:rsidRPr="00B839FB" w:rsidRDefault="00B839FB" w:rsidP="00CD2B63">
      <w:pPr>
        <w:pStyle w:val="Odstavecseseznamem"/>
        <w:numPr>
          <w:ilvl w:val="0"/>
          <w:numId w:val="33"/>
        </w:numPr>
        <w:autoSpaceDE w:val="0"/>
        <w:spacing w:after="0" w:line="240" w:lineRule="auto"/>
        <w:jc w:val="both"/>
        <w:rPr>
          <w:sz w:val="24"/>
          <w:szCs w:val="24"/>
        </w:rPr>
      </w:pPr>
      <w:r w:rsidRPr="00B839FB">
        <w:rPr>
          <w:sz w:val="24"/>
          <w:szCs w:val="24"/>
        </w:rPr>
        <w:t xml:space="preserve">Evropská centra pro digitální inovace - </w:t>
      </w:r>
      <w:hyperlink r:id="rId9" w:history="1">
        <w:r w:rsidRPr="00B839FB">
          <w:rPr>
            <w:rStyle w:val="Hypertextovodkaz"/>
            <w:sz w:val="24"/>
            <w:szCs w:val="24"/>
          </w:rPr>
          <w:t>https://mpo.gov.cz/cz/podnikani/digitalni-ekonomika/evropska-centra-pro-digitalni-inovace/evropska-centra-pro-digitalni-inovace---277088/</w:t>
        </w:r>
      </w:hyperlink>
    </w:p>
    <w:p w14:paraId="534721C2" w14:textId="77777777" w:rsidR="00B839FB" w:rsidRPr="00B839FB" w:rsidRDefault="00B839FB" w:rsidP="00CD2B63">
      <w:pPr>
        <w:pStyle w:val="Odstavecseseznamem"/>
        <w:numPr>
          <w:ilvl w:val="0"/>
          <w:numId w:val="33"/>
        </w:numPr>
        <w:autoSpaceDE w:val="0"/>
        <w:spacing w:after="0" w:line="240" w:lineRule="auto"/>
        <w:jc w:val="both"/>
        <w:rPr>
          <w:sz w:val="24"/>
          <w:szCs w:val="24"/>
        </w:rPr>
      </w:pPr>
      <w:r w:rsidRPr="00B839FB">
        <w:rPr>
          <w:sz w:val="24"/>
          <w:szCs w:val="24"/>
        </w:rPr>
        <w:t xml:space="preserve">FMA’s Regulatory Sandbox presents positive results: eight FinTechs already on their way to regulatory market maturity, one has already obtained a licence </w:t>
      </w:r>
      <w:hyperlink r:id="rId10" w:history="1">
        <w:r w:rsidRPr="00B839FB">
          <w:rPr>
            <w:rStyle w:val="Hypertextovodkaz"/>
            <w:sz w:val="24"/>
            <w:szCs w:val="24"/>
          </w:rPr>
          <w:t>https://www.fma.gv.at/en/fmas-regulatory-sandbox-presents-positive-results-eight-fintechs-already-on-their-way-to-regulatory-market-maturity-one-has-already-obtained-a-licence/</w:t>
        </w:r>
      </w:hyperlink>
      <w:r w:rsidRPr="00B839FB">
        <w:rPr>
          <w:sz w:val="24"/>
          <w:szCs w:val="24"/>
        </w:rPr>
        <w:t xml:space="preserve"> </w:t>
      </w:r>
    </w:p>
    <w:p w14:paraId="6AE6E5CB" w14:textId="77777777" w:rsidR="00B839FB" w:rsidRPr="00B839FB" w:rsidRDefault="00B839FB" w:rsidP="00CD2B63">
      <w:pPr>
        <w:pStyle w:val="Textpoznpodarou"/>
        <w:numPr>
          <w:ilvl w:val="0"/>
          <w:numId w:val="33"/>
        </w:numPr>
        <w:jc w:val="both"/>
        <w:rPr>
          <w:sz w:val="24"/>
          <w:szCs w:val="24"/>
        </w:rPr>
      </w:pPr>
      <w:r w:rsidRPr="00B839FB">
        <w:rPr>
          <w:sz w:val="24"/>
          <w:szCs w:val="24"/>
        </w:rPr>
        <w:t>Latest Legislative Development in AI – Polish Government Wishes To Be Ahead of the Crowd This Time? https://ceelegalmatters.com/briefings/28349-latest-legislative-development-in-ai-polish-government-wishes-to-be-ahead-of-the-crowd-this-time</w:t>
      </w:r>
    </w:p>
    <w:p w14:paraId="370A802D" w14:textId="77777777" w:rsidR="00B839FB" w:rsidRPr="00B839FB" w:rsidRDefault="00B839FB" w:rsidP="00CD2B63">
      <w:pPr>
        <w:pStyle w:val="Odstavecseseznamem"/>
        <w:numPr>
          <w:ilvl w:val="0"/>
          <w:numId w:val="33"/>
        </w:numPr>
        <w:autoSpaceDE w:val="0"/>
        <w:spacing w:after="0" w:line="240" w:lineRule="auto"/>
        <w:jc w:val="both"/>
        <w:rPr>
          <w:sz w:val="24"/>
          <w:szCs w:val="24"/>
        </w:rPr>
      </w:pPr>
      <w:r w:rsidRPr="00B839FB">
        <w:rPr>
          <w:sz w:val="24"/>
          <w:szCs w:val="24"/>
        </w:rPr>
        <w:t xml:space="preserve">Národní strategie umělé inteligence České republiky 2030  - </w:t>
      </w:r>
      <w:hyperlink r:id="rId11" w:history="1">
        <w:r w:rsidRPr="00B839FB">
          <w:rPr>
            <w:rStyle w:val="Hypertextovodkaz"/>
            <w:sz w:val="24"/>
            <w:szCs w:val="24"/>
          </w:rPr>
          <w:t>https://mpo.gov.cz/assets/cz/podnikani/digitalni-ekonomika/umela-inteligence/2024/8/Narodni-strategie-umele-intelience-CR-2030.pdf</w:t>
        </w:r>
      </w:hyperlink>
    </w:p>
    <w:p w14:paraId="28E419B0" w14:textId="49249632" w:rsidR="00B839FB" w:rsidRPr="00B839FB" w:rsidRDefault="00B839FB" w:rsidP="00CD2B63">
      <w:pPr>
        <w:pStyle w:val="Textpoznpodarou"/>
        <w:numPr>
          <w:ilvl w:val="0"/>
          <w:numId w:val="33"/>
        </w:numPr>
        <w:jc w:val="both"/>
        <w:rPr>
          <w:sz w:val="24"/>
          <w:szCs w:val="24"/>
        </w:rPr>
      </w:pPr>
      <w:r w:rsidRPr="00B839FB">
        <w:rPr>
          <w:sz w:val="24"/>
          <w:szCs w:val="24"/>
        </w:rPr>
        <w:t xml:space="preserve">Nařízení Evropského parlamentu a Rady (EU) 2024/1689 ze dne 13. června 2024, kterým se stanoví harmonizovaná pravidla pro umělou inteligenci a mění nařízení (ES) č. 300/2008, (EU) č. 167/2013, (EU) č. 168/2013, (EU) 2018/858, (EU) 2018/1139 a (EU) 2019/2144 a směrnice 2014/90/EU, (EU) 2016/797 a (EU) 2020/1828 (akt o umělé inteligenci) </w:t>
      </w:r>
      <w:hyperlink r:id="rId12" w:history="1">
        <w:r w:rsidRPr="00B839FB">
          <w:rPr>
            <w:rStyle w:val="Hypertextovodkaz"/>
            <w:sz w:val="24"/>
            <w:szCs w:val="24"/>
          </w:rPr>
          <w:t>https://eur-lex.europa.eu/legal-content/CS/TXT/HTML/?uri=OJ:L_202401689</w:t>
        </w:r>
      </w:hyperlink>
      <w:r w:rsidRPr="00B839FB">
        <w:rPr>
          <w:sz w:val="24"/>
          <w:szCs w:val="24"/>
        </w:rPr>
        <w:t xml:space="preserve"> </w:t>
      </w:r>
    </w:p>
    <w:p w14:paraId="51BA3886" w14:textId="77777777" w:rsidR="00B839FB" w:rsidRPr="00B839FB" w:rsidRDefault="00B839FB" w:rsidP="00CD2B63">
      <w:pPr>
        <w:pStyle w:val="Textpoznpodarou"/>
        <w:numPr>
          <w:ilvl w:val="0"/>
          <w:numId w:val="33"/>
        </w:numPr>
        <w:jc w:val="both"/>
        <w:rPr>
          <w:sz w:val="24"/>
          <w:szCs w:val="24"/>
        </w:rPr>
      </w:pPr>
      <w:r w:rsidRPr="00B839FB">
        <w:rPr>
          <w:sz w:val="24"/>
          <w:szCs w:val="24"/>
        </w:rPr>
        <w:t xml:space="preserve">Overview of all AI Act National Implementation Plans </w:t>
      </w:r>
      <w:hyperlink r:id="rId13" w:history="1">
        <w:r w:rsidRPr="00B839FB">
          <w:rPr>
            <w:rStyle w:val="Hypertextovodkaz"/>
            <w:sz w:val="24"/>
            <w:szCs w:val="24"/>
          </w:rPr>
          <w:t>https://artificialintelligenceact.eu/national-implementation-plans/</w:t>
        </w:r>
      </w:hyperlink>
      <w:r w:rsidRPr="00B839FB">
        <w:rPr>
          <w:sz w:val="24"/>
          <w:szCs w:val="24"/>
        </w:rPr>
        <w:t xml:space="preserve">, EU Artificial Intelligence Act </w:t>
      </w:r>
    </w:p>
    <w:p w14:paraId="7017405F" w14:textId="77777777" w:rsidR="00B839FB" w:rsidRPr="00B839FB" w:rsidRDefault="00B839FB" w:rsidP="00CD2B63">
      <w:pPr>
        <w:pStyle w:val="Odstavecseseznamem"/>
        <w:numPr>
          <w:ilvl w:val="0"/>
          <w:numId w:val="33"/>
        </w:numPr>
        <w:autoSpaceDE w:val="0"/>
        <w:spacing w:after="0" w:line="240" w:lineRule="auto"/>
        <w:jc w:val="both"/>
        <w:rPr>
          <w:rStyle w:val="Hypertextovodkaz"/>
          <w:sz w:val="24"/>
          <w:szCs w:val="24"/>
        </w:rPr>
      </w:pPr>
      <w:r w:rsidRPr="00B839FB">
        <w:rPr>
          <w:sz w:val="24"/>
          <w:szCs w:val="24"/>
        </w:rPr>
        <w:t xml:space="preserve">Spain establishes the EU’s first AI supervisory agency  </w:t>
      </w:r>
      <w:hyperlink r:id="rId14" w:history="1">
        <w:r w:rsidRPr="00B839FB">
          <w:rPr>
            <w:rStyle w:val="Hypertextovodkaz"/>
            <w:sz w:val="24"/>
            <w:szCs w:val="24"/>
          </w:rPr>
          <w:t>https://techinsights.linklaters.com/post/102intj/spain-establishes-the-eus-first-ai-supervisory-agency</w:t>
        </w:r>
      </w:hyperlink>
    </w:p>
    <w:p w14:paraId="470D7898" w14:textId="77777777" w:rsidR="00B839FB" w:rsidRPr="00B839FB" w:rsidRDefault="00B839FB" w:rsidP="00CD2B63">
      <w:pPr>
        <w:pStyle w:val="Odstavecseseznamem"/>
        <w:numPr>
          <w:ilvl w:val="0"/>
          <w:numId w:val="33"/>
        </w:numPr>
        <w:autoSpaceDE w:val="0"/>
        <w:spacing w:after="0" w:line="240" w:lineRule="auto"/>
        <w:jc w:val="both"/>
        <w:rPr>
          <w:sz w:val="24"/>
          <w:szCs w:val="24"/>
        </w:rPr>
      </w:pPr>
      <w:r w:rsidRPr="00B839FB">
        <w:rPr>
          <w:sz w:val="24"/>
          <w:szCs w:val="24"/>
        </w:rPr>
        <w:t xml:space="preserve">Studie KPMG - Analýza k implementaci AI Aktu“– str. 20 </w:t>
      </w:r>
      <w:hyperlink r:id="rId15" w:history="1">
        <w:r w:rsidRPr="00B839FB">
          <w:rPr>
            <w:rStyle w:val="Hypertextovodkaz"/>
            <w:sz w:val="24"/>
            <w:szCs w:val="24"/>
          </w:rPr>
          <w:t>https://eur-lex.europa.eu/legal-content/EN/TXT/HTML/?uri=CELEX:52021SC0084</w:t>
        </w:r>
      </w:hyperlink>
      <w:r w:rsidRPr="00B839FB">
        <w:rPr>
          <w:sz w:val="24"/>
          <w:szCs w:val="24"/>
        </w:rPr>
        <w:t xml:space="preserve"> </w:t>
      </w:r>
    </w:p>
    <w:p w14:paraId="6AD83143" w14:textId="77777777" w:rsidR="00B839FB" w:rsidRPr="00B839FB" w:rsidRDefault="00B839FB" w:rsidP="00CD2B63">
      <w:pPr>
        <w:pStyle w:val="Odstavecseseznamem"/>
        <w:numPr>
          <w:ilvl w:val="0"/>
          <w:numId w:val="33"/>
        </w:numPr>
        <w:autoSpaceDE w:val="0"/>
        <w:spacing w:after="0" w:line="240" w:lineRule="auto"/>
        <w:jc w:val="both"/>
        <w:rPr>
          <w:sz w:val="24"/>
          <w:szCs w:val="24"/>
        </w:rPr>
      </w:pPr>
      <w:r w:rsidRPr="00B839FB">
        <w:rPr>
          <w:sz w:val="24"/>
          <w:szCs w:val="24"/>
        </w:rPr>
        <w:t xml:space="preserve">Testovací zařízení v Praze, Brně a Ostravě nabízejí jedinečné služby pro testování AI řešení malých a středních podniků - </w:t>
      </w:r>
      <w:hyperlink r:id="rId16" w:history="1">
        <w:r w:rsidRPr="00B839FB">
          <w:rPr>
            <w:rStyle w:val="Hypertextovodkaz"/>
            <w:sz w:val="24"/>
            <w:szCs w:val="24"/>
          </w:rPr>
          <w:t>https://www.mpo.gov.cz/cz/podnikani/digitalni-ekonomika/program-digitalni-evropa/testovaci-zarizeni-v-praze--brne-a-ostrave-nabizeji-jedinecne-sluzby-pro-testovani-ai-reseni-malych-a-strednich-podniku--283832/</w:t>
        </w:r>
      </w:hyperlink>
    </w:p>
    <w:p w14:paraId="02E6D393" w14:textId="77777777" w:rsidR="00B839FB" w:rsidRPr="00B839FB" w:rsidRDefault="00B839FB" w:rsidP="00CD2B63">
      <w:pPr>
        <w:pStyle w:val="Odstavecseseznamem"/>
        <w:numPr>
          <w:ilvl w:val="0"/>
          <w:numId w:val="33"/>
        </w:numPr>
        <w:autoSpaceDE w:val="0"/>
        <w:spacing w:after="0" w:line="240" w:lineRule="auto"/>
        <w:jc w:val="both"/>
        <w:rPr>
          <w:sz w:val="24"/>
          <w:szCs w:val="24"/>
        </w:rPr>
      </w:pPr>
      <w:r w:rsidRPr="00B839FB">
        <w:rPr>
          <w:sz w:val="24"/>
          <w:szCs w:val="24"/>
        </w:rPr>
        <w:t xml:space="preserve">The road to the AI Act: The Italian approach - Part 3: The Italian national competent AI Authority </w:t>
      </w:r>
      <w:hyperlink r:id="rId17" w:history="1">
        <w:r w:rsidRPr="00B839FB">
          <w:rPr>
            <w:rStyle w:val="Hypertextovodkaz"/>
            <w:sz w:val="24"/>
            <w:szCs w:val="24"/>
          </w:rPr>
          <w:t>https://www.dentons.com/en/insights/articles/2024/may/7/the-road-to-the-ai-act-the-italian-approach-pt-3</w:t>
        </w:r>
      </w:hyperlink>
    </w:p>
    <w:bookmarkEnd w:id="40"/>
    <w:sectPr w:rsidR="00B839FB" w:rsidRPr="00B839FB">
      <w:footerReference w:type="default" r:id="rId1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BCC3E" w14:textId="77777777" w:rsidR="00BB225A" w:rsidRDefault="00BB225A">
      <w:pPr>
        <w:spacing w:after="0" w:line="240" w:lineRule="auto"/>
      </w:pPr>
      <w:r>
        <w:separator/>
      </w:r>
    </w:p>
  </w:endnote>
  <w:endnote w:type="continuationSeparator" w:id="0">
    <w:p w14:paraId="5D7FF808" w14:textId="77777777" w:rsidR="00BB225A" w:rsidRDefault="00BB2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5261200"/>
      <w:docPartObj>
        <w:docPartGallery w:val="Page Numbers (Bottom of Page)"/>
        <w:docPartUnique/>
      </w:docPartObj>
    </w:sdtPr>
    <w:sdtEndPr/>
    <w:sdtContent>
      <w:sdt>
        <w:sdtPr>
          <w:id w:val="1728636285"/>
          <w:docPartObj>
            <w:docPartGallery w:val="Page Numbers (Top of Page)"/>
            <w:docPartUnique/>
          </w:docPartObj>
        </w:sdtPr>
        <w:sdtEndPr/>
        <w:sdtContent>
          <w:p w14:paraId="2D939F01" w14:textId="3F1361DD" w:rsidR="005B0B2C" w:rsidRDefault="005B0B2C">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4304B71" w14:textId="77777777" w:rsidR="005B0B2C" w:rsidRDefault="005B0B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B8B67" w14:textId="77777777" w:rsidR="00BB225A" w:rsidRDefault="00BB225A">
      <w:pPr>
        <w:spacing w:after="0" w:line="240" w:lineRule="auto"/>
      </w:pPr>
      <w:r>
        <w:separator/>
      </w:r>
    </w:p>
  </w:footnote>
  <w:footnote w:type="continuationSeparator" w:id="0">
    <w:p w14:paraId="02BC6C53" w14:textId="77777777" w:rsidR="00BB225A" w:rsidRDefault="00BB225A">
      <w:pPr>
        <w:spacing w:after="0" w:line="240" w:lineRule="auto"/>
      </w:pPr>
      <w:r>
        <w:continuationSeparator/>
      </w:r>
    </w:p>
  </w:footnote>
  <w:footnote w:id="1">
    <w:p w14:paraId="12D6B938" w14:textId="7373798D" w:rsidR="00BC29B7" w:rsidRDefault="00B842A1" w:rsidP="00C01798">
      <w:pPr>
        <w:pStyle w:val="Textpoznpodarou"/>
        <w:jc w:val="both"/>
      </w:pPr>
      <w:r>
        <w:rPr>
          <w:rStyle w:val="Znakapoznpodarou"/>
        </w:rPr>
        <w:footnoteRef/>
      </w:r>
      <w:r>
        <w:t xml:space="preserve"> </w:t>
      </w:r>
      <w:r w:rsidR="00C01798">
        <w:t xml:space="preserve">viz </w:t>
      </w:r>
      <w:r w:rsidR="00C01798" w:rsidRPr="00C01798">
        <w:t xml:space="preserve">Nařízení Evropského parlamentu a Rady (EU) 2024/1689 ze dne 13. června 2024, kterým se stanoví harmonizovaná pravidla pro umělou inteligenci a mění nařízení (ES) č. 300/2008, (EU) č. 167/2013, (EU) č. 168/2013, (EU) 2018/858, (EU) 2018/1139 a (EU) 2019/2144 a směrnice 2014/90/EU, (EU) 2016/797 a (EU) 2020/1828 (akt o umělé inteligenci) </w:t>
      </w:r>
      <w:r w:rsidR="00C01798">
        <w:t xml:space="preserve"> </w:t>
      </w:r>
      <w:hyperlink r:id="rId1" w:history="1">
        <w:r w:rsidR="00C01798" w:rsidRPr="00346EC7">
          <w:rPr>
            <w:rStyle w:val="Hypertextovodkaz"/>
          </w:rPr>
          <w:t>https://eur-lex.europa.eu/legal-content/CS/TXT/HTML/?uri=OJ:L_202401689</w:t>
        </w:r>
      </w:hyperlink>
      <w:r w:rsidR="00C01798">
        <w:t xml:space="preserve"> </w:t>
      </w:r>
    </w:p>
  </w:footnote>
  <w:footnote w:id="2">
    <w:p w14:paraId="528C4926" w14:textId="300B0DBC" w:rsidR="00BC29B7" w:rsidRDefault="00B842A1" w:rsidP="00C01798">
      <w:pPr>
        <w:pStyle w:val="Textpoznpodarou"/>
        <w:jc w:val="both"/>
      </w:pPr>
      <w:r>
        <w:rPr>
          <w:rStyle w:val="Znakapoznpodarou"/>
        </w:rPr>
        <w:footnoteRef/>
      </w:r>
      <w:r>
        <w:t xml:space="preserve"> </w:t>
      </w:r>
      <w:r w:rsidR="00C01798">
        <w:t xml:space="preserve">viz Národní strategie umělé inteligence České republiky 2030 - </w:t>
      </w:r>
      <w:hyperlink r:id="rId2" w:history="1">
        <w:r w:rsidR="00C01798" w:rsidRPr="00346EC7">
          <w:rPr>
            <w:rStyle w:val="Hypertextovodkaz"/>
          </w:rPr>
          <w:t>https://mpo.gov.cz/assets/cz/podnikani/digitalni-ekonomika/umela-inteligence/2024/8/Narodni-strategie-umele-intelience-CR-2030.pdf</w:t>
        </w:r>
      </w:hyperlink>
      <w:r>
        <w:t xml:space="preserve"> </w:t>
      </w:r>
    </w:p>
  </w:footnote>
  <w:footnote w:id="3">
    <w:p w14:paraId="1B70DCEE" w14:textId="331AB459" w:rsidR="00C01798" w:rsidRDefault="00C01798">
      <w:pPr>
        <w:pStyle w:val="Textpoznpodarou"/>
      </w:pPr>
      <w:r>
        <w:rPr>
          <w:rStyle w:val="Znakapoznpodarou"/>
        </w:rPr>
        <w:footnoteRef/>
      </w:r>
      <w:r>
        <w:t xml:space="preserve"> </w:t>
      </w:r>
      <w:r w:rsidRPr="00C01798">
        <w:t xml:space="preserve">Nařízení Evropského parlamentu a Rady (EU) 2024/1689 ze dne 13. června 2024, kterým se stanoví harmonizovaná pravidla pro umělou inteligenci a mění nařízení (ES) č. 300/2008, (EU) č. 167/2013, (EU) č. 168/2013, (EU) 2018/858, (EU) 2018/1139 a (EU) 2019/2144 a směrnice 2014/90/EU, (EU) 2016/797 a (EU) 2020/1828 (akt o umělé inteligenci)  </w:t>
      </w:r>
      <w:hyperlink r:id="rId3" w:history="1">
        <w:r w:rsidRPr="00346EC7">
          <w:rPr>
            <w:rStyle w:val="Hypertextovodkaz"/>
          </w:rPr>
          <w:t>https://eur-lex.europa.eu/legal-content/CS/TXT/HTML/?uri=OJ:L_202401689</w:t>
        </w:r>
      </w:hyperlink>
      <w:r>
        <w:t xml:space="preserve"> </w:t>
      </w:r>
    </w:p>
  </w:footnote>
  <w:footnote w:id="4">
    <w:p w14:paraId="2664DF3E" w14:textId="22858603" w:rsidR="00E47C87" w:rsidRDefault="00E47C87">
      <w:pPr>
        <w:pStyle w:val="Textpoznpodarou"/>
      </w:pPr>
      <w:r>
        <w:rPr>
          <w:rStyle w:val="Znakapoznpodarou"/>
        </w:rPr>
        <w:footnoteRef/>
      </w:r>
      <w:r>
        <w:t xml:space="preserve"> Č</w:t>
      </w:r>
      <w:r w:rsidRPr="00E47C87">
        <w:t>lánek 59 -</w:t>
      </w:r>
      <w:r w:rsidR="00C01798">
        <w:t xml:space="preserve"> </w:t>
      </w:r>
      <w:r w:rsidRPr="00E47C87">
        <w:rPr>
          <w:bdr w:val="none" w:sz="0" w:space="0" w:color="auto" w:frame="1"/>
          <w:shd w:val="clear" w:color="auto" w:fill="FFFFFF"/>
        </w:rPr>
        <w:t xml:space="preserve"> Určení příslušných vnitrostátních orgán</w:t>
      </w:r>
      <w:r w:rsidR="00C01798">
        <w:rPr>
          <w:bdr w:val="none" w:sz="0" w:space="0" w:color="auto" w:frame="1"/>
          <w:shd w:val="clear" w:color="auto" w:fill="FFFFFF"/>
        </w:rPr>
        <w:t xml:space="preserve"> - </w:t>
      </w:r>
      <w:r w:rsidR="00C01798" w:rsidRPr="00C01798">
        <w:t>Nařízení Evropského parlamentu a Rady (EU) 2024/1689 ze dne 13. června 2024, kterým se stanoví harmonizovaná pravidla pro umělou inteligenci a mění nařízení (ES) č. 300/2008, (EU) č. 167/2013, (EU) č. 168/2013, (EU) 2018/858, (EU) 2018/1139 a (EU) 2019/2144 a směrnice 2014/90/EU, (EU) 2016/797 a (EU) 2020/1828 (akt o umělé inteligenci)</w:t>
      </w:r>
      <w:r w:rsidR="00C01798">
        <w:t xml:space="preserve"> </w:t>
      </w:r>
      <w:hyperlink r:id="rId4" w:history="1">
        <w:r w:rsidR="00C01798" w:rsidRPr="00346EC7">
          <w:rPr>
            <w:rStyle w:val="Hypertextovodkaz"/>
          </w:rPr>
          <w:t>https://eur-lex.europa.eu/legal-content/CS/TXT/HTML/?uri=OJ:L_202401689</w:t>
        </w:r>
      </w:hyperlink>
      <w:r w:rsidR="00C01798">
        <w:t xml:space="preserve"> </w:t>
      </w:r>
    </w:p>
  </w:footnote>
  <w:footnote w:id="5">
    <w:p w14:paraId="7F53A64B" w14:textId="7772E619" w:rsidR="00C80EA2" w:rsidRDefault="00C80EA2">
      <w:pPr>
        <w:pStyle w:val="Textpoznpodarou"/>
      </w:pPr>
      <w:r>
        <w:rPr>
          <w:rStyle w:val="Znakapoznpodarou"/>
        </w:rPr>
        <w:footnoteRef/>
      </w:r>
      <w:r>
        <w:t xml:space="preserve"> Článek 30 – Oznamující orgán –</w:t>
      </w:r>
      <w:r w:rsidR="00C01798">
        <w:t xml:space="preserve"> </w:t>
      </w:r>
      <w:r w:rsidR="00C01798" w:rsidRPr="00C01798">
        <w:t>Nařízení Evropského parlamentu a Rady (EU) 2024/1689 ze dne 13. června 2024, kterým se stanoví harmonizovaná pravidla pro umělou inteligenci a mění nařízení (ES) č. 300/2008, (EU) č. 167/2013, (EU) č. 168/2013, (EU) 2018/858, (EU) 2018/1139 a (EU) 2019/2144 a směrnice 2014/90/EU, (EU) 2016/797 a (EU) 2020/1828 (akt o umělé inteligenci)</w:t>
      </w:r>
      <w:r w:rsidR="00C01798">
        <w:t xml:space="preserve"> </w:t>
      </w:r>
      <w:hyperlink r:id="rId5" w:history="1">
        <w:r w:rsidR="00C01798" w:rsidRPr="00346EC7">
          <w:rPr>
            <w:rStyle w:val="Hypertextovodkaz"/>
          </w:rPr>
          <w:t>https://eur-lex.europa.eu/legal-content/CS/TXT/HTML/?uri=OJ:L_202401689</w:t>
        </w:r>
      </w:hyperlink>
      <w:r w:rsidR="00C01798">
        <w:t xml:space="preserve"> </w:t>
      </w:r>
    </w:p>
  </w:footnote>
  <w:footnote w:id="6">
    <w:p w14:paraId="650D7C66" w14:textId="0DF23217" w:rsidR="00C01798" w:rsidRDefault="00C01798">
      <w:pPr>
        <w:pStyle w:val="Textpoznpodarou"/>
      </w:pPr>
      <w:r>
        <w:rPr>
          <w:rStyle w:val="Znakapoznpodarou"/>
        </w:rPr>
        <w:footnoteRef/>
      </w:r>
      <w:r>
        <w:t xml:space="preserve"> Článek 57 - </w:t>
      </w:r>
      <w:r w:rsidRPr="00C01798">
        <w:t>Regulační sandboxy pro AI</w:t>
      </w:r>
      <w:r>
        <w:t xml:space="preserve"> </w:t>
      </w:r>
      <w:r w:rsidRPr="00C01798">
        <w:t>– Nařízení Evropského parlamentu a Rady (EU) 2024/1689 ze dne 13. června 2024, kterým se stanoví harmonizovaná pravidla pro umělou inteligenci a mění nařízení (ES) č. 300/2008, (EU) č. 167/2013, (EU) č. 168/2013, (EU) 2018/858, (EU) 2018/1139 a (EU) 2019/2144 a směrnice 2014/90/EU, (EU) 2016/797 a (EU) 2020/1828 (akt o umělé inteligenci) https://eur-lex.europa.eu/legal-content/CS/TXT/HTML/?uri=OJ:L_202401689</w:t>
      </w:r>
    </w:p>
  </w:footnote>
  <w:footnote w:id="7">
    <w:p w14:paraId="2414C13E" w14:textId="64C0F9E1" w:rsidR="00C01798" w:rsidRDefault="00C80EA2" w:rsidP="00C01798">
      <w:pPr>
        <w:pStyle w:val="Textpoznpodarou"/>
      </w:pPr>
      <w:r>
        <w:rPr>
          <w:rStyle w:val="Znakapoznpodarou"/>
        </w:rPr>
        <w:footnoteRef/>
      </w:r>
      <w:r>
        <w:t xml:space="preserve"> </w:t>
      </w:r>
      <w:r w:rsidRPr="00C80EA2">
        <w:rPr>
          <w:bdr w:val="none" w:sz="0" w:space="0" w:color="auto" w:frame="1"/>
          <w:shd w:val="clear" w:color="auto" w:fill="FFFFFF"/>
        </w:rPr>
        <w:t>Článek 33 - Oznámené subjekty</w:t>
      </w:r>
      <w:r>
        <w:rPr>
          <w:bdr w:val="none" w:sz="0" w:space="0" w:color="auto" w:frame="1"/>
          <w:shd w:val="clear" w:color="auto" w:fill="FFFFFF"/>
        </w:rPr>
        <w:t xml:space="preserve"> – </w:t>
      </w:r>
      <w:r w:rsidR="00C01798" w:rsidRPr="00C01798">
        <w:t>Nařízení Evropského parlamentu a Rady (EU) 2024/1689 ze dne 13. června 2024, kterým se stanoví harmonizovaná pravidla pro umělou inteligenci a mění nařízení (ES) č. 300/2008, (EU) č. 167/2013, (EU) č. 168/2013, (EU) 2018/858, (EU) 2018/1139 a (EU) 2019/2144 a směrnice 2014/90/EU, (EU) 2016/797 a (EU) 2020/1828 (akt o umělé inteligenci)</w:t>
      </w:r>
      <w:r w:rsidR="00C01798">
        <w:t xml:space="preserve"> </w:t>
      </w:r>
      <w:hyperlink r:id="rId6" w:history="1">
        <w:r w:rsidR="00C01798" w:rsidRPr="00346EC7">
          <w:rPr>
            <w:rStyle w:val="Hypertextovodkaz"/>
          </w:rPr>
          <w:t>https://eur-lex.europa.eu/legal-content/CS/TXT/HTML/?uri=OJ:L_202401689</w:t>
        </w:r>
      </w:hyperlink>
      <w:r w:rsidR="00C01798">
        <w:t xml:space="preserve"> </w:t>
      </w:r>
    </w:p>
    <w:p w14:paraId="46CF82E1" w14:textId="4B46269D" w:rsidR="00C80EA2" w:rsidRDefault="00C80EA2">
      <w:pPr>
        <w:pStyle w:val="Textpoznpodarou"/>
      </w:pPr>
    </w:p>
  </w:footnote>
  <w:footnote w:id="8">
    <w:p w14:paraId="2FA7F5CF" w14:textId="44CA99FE" w:rsidR="00153D8D" w:rsidRDefault="00153D8D">
      <w:pPr>
        <w:pStyle w:val="Textpoznpodarou"/>
      </w:pPr>
      <w:r>
        <w:rPr>
          <w:rStyle w:val="Znakapoznpodarou"/>
        </w:rPr>
        <w:footnoteRef/>
      </w:r>
      <w:r>
        <w:t xml:space="preserve"> </w:t>
      </w:r>
      <w:r w:rsidRPr="00153D8D">
        <w:t>Článek 70 odst. 3</w:t>
      </w:r>
      <w:r w:rsidR="009F1945">
        <w:t xml:space="preserve"> </w:t>
      </w:r>
      <w:r w:rsidR="009F1945" w:rsidRPr="00C01798">
        <w:t>Nařízení Evropského parlamentu a Rady (EU) 2024/1689 ze dne 13. června 2024, kterým se stanoví harmonizovaná pravidla pro umělou inteligenci a mění nařízení (ES) č. 300/2008, (EU) č. 167/2013, (EU) č. 168/2013, (EU) 2018/858, (EU) 2018/1139 a (EU) 2019/2144 a směrnice 2014/90/EU, (EU) 2016/797 a (EU) 2020/1828 (akt o umělé inteligenci) https://eur-lex.europa.eu/legal-content/CS/TXT/HTML/?uri=OJ:L_202401689</w:t>
      </w:r>
    </w:p>
  </w:footnote>
  <w:footnote w:id="9">
    <w:p w14:paraId="17D6A0EA" w14:textId="7FA2B9BF" w:rsidR="00264EA8" w:rsidRPr="00F36206" w:rsidRDefault="00264EA8" w:rsidP="00AE7A7B">
      <w:pPr>
        <w:pStyle w:val="typedudocumentcp"/>
        <w:shd w:val="clear" w:color="auto" w:fill="FFFFFF"/>
        <w:spacing w:before="0" w:beforeAutospacing="0" w:after="0" w:afterAutospacing="0"/>
        <w:jc w:val="both"/>
        <w:textAlignment w:val="baseline"/>
        <w:rPr>
          <w:rFonts w:asciiTheme="minorHAnsi" w:hAnsiTheme="minorHAnsi" w:cstheme="minorHAnsi"/>
          <w:sz w:val="20"/>
          <w:szCs w:val="20"/>
        </w:rPr>
      </w:pPr>
      <w:r w:rsidRPr="00F36206">
        <w:rPr>
          <w:rStyle w:val="Znakapoznpodarou"/>
          <w:rFonts w:asciiTheme="minorHAnsi" w:hAnsiTheme="minorHAnsi" w:cstheme="minorHAnsi"/>
          <w:sz w:val="20"/>
          <w:szCs w:val="20"/>
        </w:rPr>
        <w:footnoteRef/>
      </w:r>
      <w:r w:rsidRPr="00F36206">
        <w:rPr>
          <w:rFonts w:asciiTheme="minorHAnsi" w:hAnsiTheme="minorHAnsi" w:cstheme="minorHAnsi"/>
          <w:sz w:val="20"/>
          <w:szCs w:val="20"/>
        </w:rPr>
        <w:t xml:space="preserve"> </w:t>
      </w:r>
      <w:r w:rsidR="00AE7A7B" w:rsidRPr="00F36206">
        <w:rPr>
          <w:rFonts w:asciiTheme="minorHAnsi" w:hAnsiTheme="minorHAnsi" w:cstheme="minorHAnsi"/>
          <w:color w:val="000000"/>
          <w:sz w:val="20"/>
          <w:szCs w:val="20"/>
        </w:rPr>
        <w:t xml:space="preserve">COMMISSION STAFF WORKING DOCUMENT IMPACT ASSESSMENT:  </w:t>
      </w:r>
      <w:r w:rsidR="00AE7A7B" w:rsidRPr="00F36206">
        <w:rPr>
          <w:rFonts w:asciiTheme="minorHAnsi" w:hAnsiTheme="minorHAnsi" w:cstheme="minorHAnsi"/>
          <w:i/>
          <w:iCs/>
          <w:color w:val="000000"/>
          <w:sz w:val="20"/>
          <w:szCs w:val="20"/>
        </w:rPr>
        <w:t xml:space="preserve">Accompanying the </w:t>
      </w:r>
      <w:r w:rsidR="00AE7A7B" w:rsidRPr="00F36206">
        <w:rPr>
          <w:rFonts w:asciiTheme="minorHAnsi" w:hAnsiTheme="minorHAnsi" w:cstheme="minorHAnsi"/>
          <w:color w:val="000000"/>
          <w:sz w:val="20"/>
          <w:szCs w:val="20"/>
        </w:rPr>
        <w:t xml:space="preserve">Proposal for a Regulation of the European Parliament and of the Council LAYING DOWN HARMONISED RULES ON ARTIFICIAL INTELLIGENCE (ARTIFICIAL INTELLIGENCE ACT) AND AMENDING CERTAIN UNION LEGISLATIVE ACTS, </w:t>
      </w:r>
      <w:hyperlink r:id="rId7" w:history="1">
        <w:r w:rsidR="00ED00E8" w:rsidRPr="00F36206">
          <w:rPr>
            <w:rStyle w:val="Hypertextovodkaz"/>
            <w:rFonts w:asciiTheme="minorHAnsi" w:hAnsiTheme="minorHAnsi" w:cstheme="minorHAnsi"/>
            <w:sz w:val="20"/>
            <w:szCs w:val="20"/>
          </w:rPr>
          <w:t>https://eur-lex.europa.eu/legal-content/EN/TXT/HTML/?uri=CELEX:52021SC0084</w:t>
        </w:r>
      </w:hyperlink>
      <w:r w:rsidR="00AE7A7B" w:rsidRPr="00F36206">
        <w:rPr>
          <w:rStyle w:val="Hypertextovodkaz"/>
          <w:rFonts w:asciiTheme="minorHAnsi" w:hAnsiTheme="minorHAnsi" w:cstheme="minorHAnsi"/>
          <w:sz w:val="20"/>
          <w:szCs w:val="20"/>
        </w:rPr>
        <w:t xml:space="preserve">, </w:t>
      </w:r>
      <w:r w:rsidR="00AE7A7B" w:rsidRPr="00F36206">
        <w:rPr>
          <w:rFonts w:asciiTheme="minorHAnsi" w:hAnsiTheme="minorHAnsi" w:cstheme="minorHAnsi"/>
          <w:color w:val="000000"/>
          <w:sz w:val="20"/>
          <w:szCs w:val="20"/>
          <w:shd w:val="clear" w:color="auto" w:fill="FFFFFF"/>
        </w:rPr>
        <w:t>SWD(2021) 84 final, Brussels 21. 4. 2021</w:t>
      </w:r>
      <w:r w:rsidR="00ED00E8" w:rsidRPr="00F36206">
        <w:rPr>
          <w:rFonts w:asciiTheme="minorHAnsi" w:hAnsiTheme="minorHAnsi" w:cstheme="minorHAnsi"/>
          <w:sz w:val="20"/>
          <w:szCs w:val="20"/>
        </w:rPr>
        <w:t xml:space="preserve"> </w:t>
      </w:r>
    </w:p>
  </w:footnote>
  <w:footnote w:id="10">
    <w:p w14:paraId="654D8760" w14:textId="69310BDC" w:rsidR="00F462E3" w:rsidRDefault="00F462E3">
      <w:pPr>
        <w:pStyle w:val="Textpoznpodarou"/>
      </w:pPr>
      <w:r>
        <w:rPr>
          <w:rStyle w:val="Znakapoznpodarou"/>
        </w:rPr>
        <w:footnoteRef/>
      </w:r>
      <w:r>
        <w:t xml:space="preserve"> </w:t>
      </w:r>
      <w:r w:rsidRPr="00F462E3">
        <w:t>Ekvivalent plného pracovního úvazku</w:t>
      </w:r>
      <w:r>
        <w:t>.</w:t>
      </w:r>
    </w:p>
  </w:footnote>
  <w:footnote w:id="11">
    <w:p w14:paraId="4B0C8087" w14:textId="0CDBD21D" w:rsidR="00C96888" w:rsidRDefault="00C96888">
      <w:pPr>
        <w:pStyle w:val="Textpoznpodarou"/>
      </w:pPr>
      <w:r>
        <w:rPr>
          <w:rStyle w:val="Znakapoznpodarou"/>
        </w:rPr>
        <w:footnoteRef/>
      </w:r>
      <w:r>
        <w:t xml:space="preserve"> </w:t>
      </w:r>
      <w:r w:rsidRPr="00C96888">
        <w:t>Overview of all AI Act National Implementation Plans</w:t>
      </w:r>
      <w:r>
        <w:t xml:space="preserve"> </w:t>
      </w:r>
      <w:hyperlink r:id="rId8" w:history="1">
        <w:r w:rsidRPr="00346EC7">
          <w:rPr>
            <w:rStyle w:val="Hypertextovodkaz"/>
          </w:rPr>
          <w:t>https://artificialintelligenceact.eu/national-implementation-plans/</w:t>
        </w:r>
      </w:hyperlink>
      <w:r>
        <w:t xml:space="preserve">, EU Artificial Intelligence Act </w:t>
      </w:r>
    </w:p>
  </w:footnote>
  <w:footnote w:id="12">
    <w:p w14:paraId="0E752839" w14:textId="26563290" w:rsidR="00C96888" w:rsidRDefault="00C96888">
      <w:pPr>
        <w:pStyle w:val="Textpoznpodarou"/>
      </w:pPr>
      <w:r>
        <w:rPr>
          <w:rStyle w:val="Znakapoznpodarou"/>
        </w:rPr>
        <w:footnoteRef/>
      </w:r>
      <w:r>
        <w:t xml:space="preserve"> </w:t>
      </w:r>
      <w:r w:rsidRPr="00C96888">
        <w:t>The road to the AI Act: The Italian approach - Part 3: The Italian national competent AI Authority</w:t>
      </w:r>
      <w:hyperlink r:id="rId9" w:history="1">
        <w:r w:rsidRPr="00346EC7">
          <w:rPr>
            <w:rStyle w:val="Hypertextovodkaz"/>
          </w:rPr>
          <w:t>https://www.dentons.com/en/insights/articles/2024/may/7/the-road-to-the-ai-act-the-italian-approach-pt-3</w:t>
        </w:r>
      </w:hyperlink>
      <w:r>
        <w:t xml:space="preserve"> </w:t>
      </w:r>
    </w:p>
  </w:footnote>
  <w:footnote w:id="13">
    <w:p w14:paraId="726F16B1" w14:textId="659C02D4" w:rsidR="00C96888" w:rsidRDefault="00C96888">
      <w:pPr>
        <w:pStyle w:val="Textpoznpodarou"/>
      </w:pPr>
      <w:r>
        <w:rPr>
          <w:rStyle w:val="Znakapoznpodarou"/>
        </w:rPr>
        <w:footnoteRef/>
      </w:r>
      <w:r>
        <w:t xml:space="preserve"> </w:t>
      </w:r>
      <w:r w:rsidRPr="00C96888">
        <w:t>EIMIN initiative accelerates development of artificial intelligence in Lithuania</w:t>
      </w:r>
      <w:r>
        <w:t xml:space="preserve"> </w:t>
      </w:r>
      <w:r w:rsidRPr="00C96888">
        <w:t>https://eimin.lrv.lt/en/structure-and-contacts/news-1/eimin-initiative-accelerates-development-of-artificial-intelligence-in-lithuania/</w:t>
      </w:r>
    </w:p>
  </w:footnote>
  <w:footnote w:id="14">
    <w:p w14:paraId="1D7CC520" w14:textId="249A64C5" w:rsidR="00C96888" w:rsidRDefault="00C96888">
      <w:pPr>
        <w:pStyle w:val="Textpoznpodarou"/>
      </w:pPr>
      <w:r>
        <w:rPr>
          <w:rStyle w:val="Znakapoznpodarou"/>
        </w:rPr>
        <w:footnoteRef/>
      </w:r>
      <w:r>
        <w:t xml:space="preserve"> </w:t>
      </w:r>
      <w:r w:rsidRPr="00C96888">
        <w:t>Latest Legislative Development in AI – Polish Government Wishes To Be Ahead of the Crowd This Time?</w:t>
      </w:r>
      <w:r>
        <w:t xml:space="preserve"> </w:t>
      </w:r>
      <w:r w:rsidRPr="00C96888">
        <w:t>https://ceelegalmatters.com/briefings/28349-latest-legislative-development-in-ai-polish-government-wishes-to-be-ahead-of-the-crowd-this-time</w:t>
      </w:r>
    </w:p>
  </w:footnote>
  <w:footnote w:id="15">
    <w:p w14:paraId="15ECEDE2" w14:textId="257386C7" w:rsidR="00C96888" w:rsidRDefault="00C96888">
      <w:pPr>
        <w:pStyle w:val="Textpoznpodarou"/>
      </w:pPr>
      <w:r>
        <w:rPr>
          <w:rStyle w:val="Znakapoznpodarou"/>
        </w:rPr>
        <w:footnoteRef/>
      </w:r>
      <w:r w:rsidRPr="00C96888">
        <w:t>Spain establishes the EU’s first AI supervisory agency</w:t>
      </w:r>
      <w:r>
        <w:t xml:space="preserve">  </w:t>
      </w:r>
      <w:hyperlink r:id="rId10" w:history="1">
        <w:r w:rsidRPr="00346EC7">
          <w:rPr>
            <w:rStyle w:val="Hypertextovodkaz"/>
          </w:rPr>
          <w:t>https://techinsights.linklaters.com/post/102intj/spain-establishes-the-eus-first-ai-supervisory-agency</w:t>
        </w:r>
      </w:hyperlink>
      <w:r>
        <w:t xml:space="preserve"> </w:t>
      </w:r>
    </w:p>
  </w:footnote>
  <w:footnote w:id="16">
    <w:p w14:paraId="5B5D509C" w14:textId="597C3317" w:rsidR="00B619BB" w:rsidRDefault="00B619BB">
      <w:pPr>
        <w:pStyle w:val="Textpoznpodarou"/>
      </w:pPr>
      <w:r>
        <w:rPr>
          <w:rStyle w:val="Znakapoznpodarou"/>
        </w:rPr>
        <w:footnoteRef/>
      </w:r>
      <w:r>
        <w:t xml:space="preserve"> viz Národní strategie umělé inteligence České republiky 2030  - </w:t>
      </w:r>
      <w:hyperlink r:id="rId11" w:history="1">
        <w:r w:rsidRPr="00346EC7">
          <w:rPr>
            <w:rStyle w:val="Hypertextovodkaz"/>
          </w:rPr>
          <w:t>https://mpo.gov.cz/assets/cz/podnikani/digitalni-ekonomika/umela-inteligence/2024/8/Narodni-strategie-umele-intelience-CR-2030.pdf</w:t>
        </w:r>
      </w:hyperlink>
      <w:r>
        <w:t xml:space="preserve"> </w:t>
      </w:r>
    </w:p>
  </w:footnote>
  <w:footnote w:id="17">
    <w:p w14:paraId="4BEF1E75" w14:textId="71308A37" w:rsidR="003D5A96" w:rsidRDefault="003D5A96">
      <w:pPr>
        <w:pStyle w:val="Textpoznpodarou"/>
      </w:pPr>
      <w:r>
        <w:rPr>
          <w:rStyle w:val="Znakapoznpodarou"/>
        </w:rPr>
        <w:footnoteRef/>
      </w:r>
      <w:r>
        <w:t xml:space="preserve"> Evropská centra pro digitální inovace - </w:t>
      </w:r>
      <w:r w:rsidRPr="003D5A96">
        <w:t>https://mpo.gov.cz/cz/podnikani/digitalni-ekonomika/evropska-centra-pro-digitalni-inovace/evropska-centra-pro-digitalni-inovace---277088/</w:t>
      </w:r>
    </w:p>
  </w:footnote>
  <w:footnote w:id="18">
    <w:p w14:paraId="573ED729" w14:textId="7FEFAA22" w:rsidR="00B619BB" w:rsidRDefault="00B619BB">
      <w:pPr>
        <w:pStyle w:val="Textpoznpodarou"/>
      </w:pPr>
      <w:r>
        <w:rPr>
          <w:rStyle w:val="Znakapoznpodarou"/>
        </w:rPr>
        <w:footnoteRef/>
      </w:r>
      <w:r>
        <w:t xml:space="preserve"> </w:t>
      </w:r>
      <w:r w:rsidRPr="00B619BB">
        <w:t>Testovací zařízení v Praze, Brně a Ostravě nabízejí jedinečné služby pro testování AI řešení malých a středních podniků</w:t>
      </w:r>
      <w:r>
        <w:t xml:space="preserve"> - </w:t>
      </w:r>
      <w:hyperlink r:id="rId12" w:history="1">
        <w:r w:rsidRPr="00346EC7">
          <w:rPr>
            <w:rStyle w:val="Hypertextovodkaz"/>
          </w:rPr>
          <w:t>https://www.mpo.gov.cz/cz/podnikani/digitalni-ekonomika/program-digitalni-evropa/testovaci-zarizeni-v-praze--brne-a-ostrave-nabizeji-jedinecne-sluzby-pro-testovani-ai-reseni-malych-a-strednich-podniku--283832/</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04538"/>
    <w:multiLevelType w:val="multilevel"/>
    <w:tmpl w:val="5EC081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5CE4DF7"/>
    <w:multiLevelType w:val="multilevel"/>
    <w:tmpl w:val="7CC64786"/>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 w15:restartNumberingAfterBreak="0">
    <w:nsid w:val="112F5D51"/>
    <w:multiLevelType w:val="multilevel"/>
    <w:tmpl w:val="568C9114"/>
    <w:styleLink w:val="WWOutlineListStyle"/>
    <w:lvl w:ilvl="0">
      <w:start w:val="1"/>
      <w:numFmt w:val="decimal"/>
      <w:pStyle w:val="Nadpis1"/>
      <w:lvlText w:val="%1."/>
      <w:lvlJc w:val="left"/>
      <w:pPr>
        <w:ind w:left="360" w:hanging="360"/>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11C31840"/>
    <w:multiLevelType w:val="multilevel"/>
    <w:tmpl w:val="228E26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2643E9A"/>
    <w:multiLevelType w:val="multilevel"/>
    <w:tmpl w:val="B2329CF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09F2F74"/>
    <w:multiLevelType w:val="multilevel"/>
    <w:tmpl w:val="3CE6CA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230A6107"/>
    <w:multiLevelType w:val="multilevel"/>
    <w:tmpl w:val="1484653E"/>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7" w15:restartNumberingAfterBreak="0">
    <w:nsid w:val="27133D83"/>
    <w:multiLevelType w:val="hybridMultilevel"/>
    <w:tmpl w:val="4F44760C"/>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29F85180"/>
    <w:multiLevelType w:val="multilevel"/>
    <w:tmpl w:val="D1BA54D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2C30745D"/>
    <w:multiLevelType w:val="hybridMultilevel"/>
    <w:tmpl w:val="C7F6D8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630C4E"/>
    <w:multiLevelType w:val="multilevel"/>
    <w:tmpl w:val="64300BC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43E90997"/>
    <w:multiLevelType w:val="multilevel"/>
    <w:tmpl w:val="0DC0F6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445F2166"/>
    <w:multiLevelType w:val="multilevel"/>
    <w:tmpl w:val="1E3432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51567CE"/>
    <w:multiLevelType w:val="multilevel"/>
    <w:tmpl w:val="1876EDE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50CD1A1F"/>
    <w:multiLevelType w:val="hybridMultilevel"/>
    <w:tmpl w:val="923ECB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26A059E"/>
    <w:multiLevelType w:val="multilevel"/>
    <w:tmpl w:val="653878F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535D50E7"/>
    <w:multiLevelType w:val="multilevel"/>
    <w:tmpl w:val="C30639B2"/>
    <w:styleLink w:val="VariantaA-odrky"/>
    <w:lvl w:ilvl="0">
      <w:numFmt w:val="bullet"/>
      <w:pStyle w:val="Seznamsodrkami2"/>
      <w:lvlText w:val=""/>
      <w:lvlJc w:val="left"/>
      <w:pPr>
        <w:ind w:left="357" w:hanging="357"/>
      </w:pPr>
      <w:rPr>
        <w:rFonts w:ascii="Wingdings" w:hAnsi="Wingdings"/>
        <w:sz w:val="16"/>
      </w:rPr>
    </w:lvl>
    <w:lvl w:ilvl="1">
      <w:numFmt w:val="bullet"/>
      <w:lvlText w:val=""/>
      <w:lvlJc w:val="left"/>
      <w:pPr>
        <w:ind w:left="714" w:hanging="357"/>
      </w:pPr>
      <w:rPr>
        <w:rFonts w:ascii="Wingdings" w:hAnsi="Wingdings"/>
        <w:sz w:val="14"/>
      </w:rPr>
    </w:lvl>
    <w:lvl w:ilvl="2">
      <w:numFmt w:val="bullet"/>
      <w:lvlText w:val=""/>
      <w:lvlJc w:val="left"/>
      <w:pPr>
        <w:ind w:left="1071" w:hanging="357"/>
      </w:pPr>
      <w:rPr>
        <w:rFonts w:ascii="Wingdings" w:hAnsi="Wingdings"/>
        <w:sz w:val="10"/>
      </w:rPr>
    </w:lvl>
    <w:lvl w:ilvl="3">
      <w:numFmt w:val="bullet"/>
      <w:lvlText w:val=""/>
      <w:lvlJc w:val="left"/>
      <w:pPr>
        <w:ind w:left="1428" w:hanging="357"/>
      </w:pPr>
      <w:rPr>
        <w:rFonts w:ascii="Wingdings" w:hAnsi="Wingdings"/>
        <w:sz w:val="10"/>
      </w:rPr>
    </w:lvl>
    <w:lvl w:ilvl="4">
      <w:numFmt w:val="bullet"/>
      <w:lvlText w:val=""/>
      <w:lvlJc w:val="left"/>
      <w:pPr>
        <w:ind w:left="1785" w:hanging="357"/>
      </w:pPr>
      <w:rPr>
        <w:rFonts w:ascii="Wingdings" w:hAnsi="Wingdings"/>
        <w:sz w:val="10"/>
      </w:rPr>
    </w:lvl>
    <w:lvl w:ilvl="5">
      <w:numFmt w:val="bullet"/>
      <w:lvlText w:val=""/>
      <w:lvlJc w:val="left"/>
      <w:pPr>
        <w:ind w:left="2142" w:hanging="357"/>
      </w:pPr>
      <w:rPr>
        <w:rFonts w:ascii="Wingdings" w:hAnsi="Wingdings"/>
        <w:sz w:val="10"/>
      </w:rPr>
    </w:lvl>
    <w:lvl w:ilvl="6">
      <w:numFmt w:val="bullet"/>
      <w:lvlText w:val=""/>
      <w:lvlJc w:val="left"/>
      <w:pPr>
        <w:ind w:left="2499" w:hanging="357"/>
      </w:pPr>
      <w:rPr>
        <w:rFonts w:ascii="Wingdings" w:hAnsi="Wingdings"/>
        <w:sz w:val="10"/>
      </w:rPr>
    </w:lvl>
    <w:lvl w:ilvl="7">
      <w:numFmt w:val="bullet"/>
      <w:lvlText w:val=""/>
      <w:lvlJc w:val="left"/>
      <w:pPr>
        <w:ind w:left="2856" w:hanging="357"/>
      </w:pPr>
      <w:rPr>
        <w:rFonts w:ascii="Wingdings" w:hAnsi="Wingdings"/>
        <w:sz w:val="10"/>
      </w:rPr>
    </w:lvl>
    <w:lvl w:ilvl="8">
      <w:numFmt w:val="bullet"/>
      <w:lvlText w:val=""/>
      <w:lvlJc w:val="left"/>
      <w:pPr>
        <w:ind w:left="3213" w:hanging="357"/>
      </w:pPr>
      <w:rPr>
        <w:rFonts w:ascii="Wingdings" w:hAnsi="Wingdings"/>
        <w:color w:val="000000"/>
        <w:sz w:val="10"/>
      </w:rPr>
    </w:lvl>
  </w:abstractNum>
  <w:abstractNum w:abstractNumId="17" w15:restartNumberingAfterBreak="0">
    <w:nsid w:val="578010B4"/>
    <w:multiLevelType w:val="multilevel"/>
    <w:tmpl w:val="E6C25E0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57F924AD"/>
    <w:multiLevelType w:val="multilevel"/>
    <w:tmpl w:val="980A676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586B3ACD"/>
    <w:multiLevelType w:val="multilevel"/>
    <w:tmpl w:val="2BACD0F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5A1B0B65"/>
    <w:multiLevelType w:val="multilevel"/>
    <w:tmpl w:val="A23C63C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5D4739AF"/>
    <w:multiLevelType w:val="multilevel"/>
    <w:tmpl w:val="430EBE36"/>
    <w:styleLink w:val="VariantaB-odrky"/>
    <w:lvl w:ilvl="0">
      <w:numFmt w:val="bullet"/>
      <w:pStyle w:val="SeznamsodrkamiB5"/>
      <w:lvlText w:val="—"/>
      <w:lvlJc w:val="left"/>
      <w:pPr>
        <w:ind w:left="357" w:hanging="357"/>
      </w:pPr>
      <w:rPr>
        <w:rFonts w:ascii="Calibri" w:hAnsi="Calibri"/>
        <w:sz w:val="16"/>
      </w:rPr>
    </w:lvl>
    <w:lvl w:ilvl="1">
      <w:numFmt w:val="bullet"/>
      <w:lvlText w:val=""/>
      <w:lvlJc w:val="left"/>
      <w:pPr>
        <w:ind w:left="714" w:hanging="357"/>
      </w:pPr>
      <w:rPr>
        <w:rFonts w:ascii="Wingdings" w:hAnsi="Wingdings"/>
        <w:sz w:val="14"/>
      </w:rPr>
    </w:lvl>
    <w:lvl w:ilvl="2">
      <w:numFmt w:val="bullet"/>
      <w:lvlText w:val=""/>
      <w:lvlJc w:val="left"/>
      <w:pPr>
        <w:ind w:left="1071" w:hanging="357"/>
      </w:pPr>
      <w:rPr>
        <w:rFonts w:ascii="Wingdings 2" w:hAnsi="Wingdings 2"/>
      </w:rPr>
    </w:lvl>
    <w:lvl w:ilvl="3">
      <w:numFmt w:val="bullet"/>
      <w:lvlText w:val=""/>
      <w:lvlJc w:val="left"/>
      <w:pPr>
        <w:ind w:left="1428" w:hanging="357"/>
      </w:pPr>
      <w:rPr>
        <w:rFonts w:ascii="Wingdings 2" w:hAnsi="Wingdings 2"/>
      </w:rPr>
    </w:lvl>
    <w:lvl w:ilvl="4">
      <w:numFmt w:val="bullet"/>
      <w:lvlText w:val=""/>
      <w:lvlJc w:val="left"/>
      <w:pPr>
        <w:ind w:left="1785" w:hanging="357"/>
      </w:pPr>
      <w:rPr>
        <w:rFonts w:ascii="Wingdings 2" w:hAnsi="Wingdings 2"/>
      </w:rPr>
    </w:lvl>
    <w:lvl w:ilvl="5">
      <w:numFmt w:val="bullet"/>
      <w:lvlText w:val=""/>
      <w:lvlJc w:val="left"/>
      <w:pPr>
        <w:ind w:left="2142" w:hanging="357"/>
      </w:pPr>
      <w:rPr>
        <w:rFonts w:ascii="Wingdings 2" w:hAnsi="Wingdings 2" w:cs="Times New Roman"/>
      </w:rPr>
    </w:lvl>
    <w:lvl w:ilvl="6">
      <w:numFmt w:val="bullet"/>
      <w:lvlText w:val=""/>
      <w:lvlJc w:val="left"/>
      <w:pPr>
        <w:ind w:left="2499" w:hanging="357"/>
      </w:pPr>
      <w:rPr>
        <w:rFonts w:ascii="Wingdings 2" w:hAnsi="Wingdings 2" w:cs="Times New Roman"/>
      </w:rPr>
    </w:lvl>
    <w:lvl w:ilvl="7">
      <w:numFmt w:val="bullet"/>
      <w:lvlText w:val=""/>
      <w:lvlJc w:val="left"/>
      <w:pPr>
        <w:ind w:left="2856" w:hanging="357"/>
      </w:pPr>
      <w:rPr>
        <w:rFonts w:ascii="Wingdings 2" w:hAnsi="Wingdings 2" w:cs="Times New Roman"/>
      </w:rPr>
    </w:lvl>
    <w:lvl w:ilvl="8">
      <w:numFmt w:val="bullet"/>
      <w:lvlText w:val=""/>
      <w:lvlJc w:val="left"/>
      <w:pPr>
        <w:ind w:left="3213" w:hanging="357"/>
      </w:pPr>
      <w:rPr>
        <w:rFonts w:ascii="Wingdings 2" w:hAnsi="Wingdings 2" w:cs="Times New Roman"/>
      </w:rPr>
    </w:lvl>
  </w:abstractNum>
  <w:abstractNum w:abstractNumId="22" w15:restartNumberingAfterBreak="0">
    <w:nsid w:val="5E1C28CF"/>
    <w:multiLevelType w:val="multilevel"/>
    <w:tmpl w:val="6A0817DE"/>
    <w:styleLink w:val="VariantaA-sla"/>
    <w:lvl w:ilvl="0">
      <w:start w:val="1"/>
      <w:numFmt w:val="decimal"/>
      <w:pStyle w:val="slovanseznam5"/>
      <w:lvlText w:val="%1."/>
      <w:lvlJc w:val="left"/>
      <w:pPr>
        <w:ind w:left="357" w:hanging="357"/>
      </w:pPr>
    </w:lvl>
    <w:lvl w:ilvl="1">
      <w:start w:val="1"/>
      <w:numFmt w:val="decimal"/>
      <w:lvlText w:val="%1.%2."/>
      <w:lvlJc w:val="left"/>
      <w:pPr>
        <w:ind w:left="851" w:hanging="494"/>
      </w:pPr>
    </w:lvl>
    <w:lvl w:ilvl="2">
      <w:start w:val="1"/>
      <w:numFmt w:val="decimal"/>
      <w:lvlText w:val="%1.%2.%3."/>
      <w:lvlJc w:val="left"/>
      <w:pPr>
        <w:ind w:left="1474" w:hanging="623"/>
      </w:pPr>
    </w:lvl>
    <w:lvl w:ilvl="3">
      <w:start w:val="1"/>
      <w:numFmt w:val="decimal"/>
      <w:lvlText w:val="%1.%2.%3.%4."/>
      <w:lvlJc w:val="left"/>
      <w:pPr>
        <w:ind w:left="2268" w:hanging="794"/>
      </w:pPr>
    </w:lvl>
    <w:lvl w:ilvl="4">
      <w:start w:val="1"/>
      <w:numFmt w:val="decimal"/>
      <w:lvlText w:val="%1.%2.%3.%4.%5."/>
      <w:lvlJc w:val="left"/>
      <w:pPr>
        <w:ind w:left="3232" w:hanging="964"/>
      </w:pPr>
    </w:lvl>
    <w:lvl w:ilvl="5">
      <w:start w:val="1"/>
      <w:numFmt w:val="decimal"/>
      <w:lvlText w:val="%1.%2.%3.%4.%5.%6."/>
      <w:lvlJc w:val="left"/>
      <w:pPr>
        <w:ind w:left="4366" w:hanging="1134"/>
      </w:pPr>
    </w:lvl>
    <w:lvl w:ilvl="6">
      <w:start w:val="1"/>
      <w:numFmt w:val="decimal"/>
      <w:lvlText w:val="%1.%2.%3.%4.%5.%6.%7."/>
      <w:lvlJc w:val="left"/>
      <w:pPr>
        <w:ind w:left="4536" w:hanging="1304"/>
      </w:pPr>
    </w:lvl>
    <w:lvl w:ilvl="7">
      <w:start w:val="1"/>
      <w:numFmt w:val="decimal"/>
      <w:lvlText w:val="%1.%2.%3.%4.%5.%6.%7.%8."/>
      <w:lvlJc w:val="left"/>
      <w:pPr>
        <w:ind w:left="4706" w:hanging="1474"/>
      </w:pPr>
    </w:lvl>
    <w:lvl w:ilvl="8">
      <w:start w:val="1"/>
      <w:numFmt w:val="decimal"/>
      <w:lvlText w:val="%1.%2.%3.%4.%5.%6.%7.%8.%9."/>
      <w:lvlJc w:val="left"/>
      <w:pPr>
        <w:ind w:left="4876" w:hanging="1644"/>
      </w:pPr>
    </w:lvl>
  </w:abstractNum>
  <w:abstractNum w:abstractNumId="23" w15:restartNumberingAfterBreak="0">
    <w:nsid w:val="61AC564A"/>
    <w:multiLevelType w:val="multilevel"/>
    <w:tmpl w:val="41E8D2E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6F34A67"/>
    <w:multiLevelType w:val="multilevel"/>
    <w:tmpl w:val="3E00D1B0"/>
    <w:lvl w:ilvl="0">
      <w:start w:val="3"/>
      <w:numFmt w:val="decimal"/>
      <w:lvlText w:val="%1."/>
      <w:lvlJc w:val="left"/>
      <w:pPr>
        <w:ind w:left="420" w:hanging="4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B700661"/>
    <w:multiLevelType w:val="multilevel"/>
    <w:tmpl w:val="E1B8F18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6CEA2AB3"/>
    <w:multiLevelType w:val="multilevel"/>
    <w:tmpl w:val="9AFA0D0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6EAC7BF0"/>
    <w:multiLevelType w:val="multilevel"/>
    <w:tmpl w:val="EB62C7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75201A5A"/>
    <w:multiLevelType w:val="multilevel"/>
    <w:tmpl w:val="428078F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7958073B"/>
    <w:multiLevelType w:val="hybridMultilevel"/>
    <w:tmpl w:val="1A42CDD2"/>
    <w:lvl w:ilvl="0" w:tplc="04050001">
      <w:start w:val="1"/>
      <w:numFmt w:val="bullet"/>
      <w:lvlText w:val=""/>
      <w:lvlJc w:val="left"/>
      <w:pPr>
        <w:ind w:left="360" w:hanging="360"/>
      </w:pPr>
      <w:rPr>
        <w:rFonts w:ascii="Symbol" w:hAnsi="Symbol" w:hint="default"/>
      </w:rPr>
    </w:lvl>
    <w:lvl w:ilvl="1" w:tplc="62F021F6">
      <w:start w:val="1"/>
      <w:numFmt w:val="bullet"/>
      <w:lvlText w:val="o"/>
      <w:lvlJc w:val="left"/>
      <w:pPr>
        <w:ind w:left="1080" w:hanging="360"/>
      </w:pPr>
      <w:rPr>
        <w:rFonts w:ascii="Courier New" w:hAnsi="Courier New" w:hint="default"/>
      </w:rPr>
    </w:lvl>
    <w:lvl w:ilvl="2" w:tplc="2E82C058">
      <w:start w:val="1"/>
      <w:numFmt w:val="bullet"/>
      <w:lvlText w:val=""/>
      <w:lvlJc w:val="left"/>
      <w:pPr>
        <w:ind w:left="1800" w:hanging="360"/>
      </w:pPr>
      <w:rPr>
        <w:rFonts w:ascii="Wingdings" w:hAnsi="Wingdings" w:hint="default"/>
      </w:rPr>
    </w:lvl>
    <w:lvl w:ilvl="3" w:tplc="921CC41C">
      <w:start w:val="1"/>
      <w:numFmt w:val="bullet"/>
      <w:lvlText w:val=""/>
      <w:lvlJc w:val="left"/>
      <w:pPr>
        <w:ind w:left="2520" w:hanging="360"/>
      </w:pPr>
      <w:rPr>
        <w:rFonts w:ascii="Symbol" w:hAnsi="Symbol" w:hint="default"/>
      </w:rPr>
    </w:lvl>
    <w:lvl w:ilvl="4" w:tplc="E7A686FC">
      <w:start w:val="1"/>
      <w:numFmt w:val="bullet"/>
      <w:lvlText w:val="o"/>
      <w:lvlJc w:val="left"/>
      <w:pPr>
        <w:ind w:left="3240" w:hanging="360"/>
      </w:pPr>
      <w:rPr>
        <w:rFonts w:ascii="Courier New" w:hAnsi="Courier New" w:hint="default"/>
      </w:rPr>
    </w:lvl>
    <w:lvl w:ilvl="5" w:tplc="F0EAD8AA">
      <w:start w:val="1"/>
      <w:numFmt w:val="bullet"/>
      <w:lvlText w:val=""/>
      <w:lvlJc w:val="left"/>
      <w:pPr>
        <w:ind w:left="3960" w:hanging="360"/>
      </w:pPr>
      <w:rPr>
        <w:rFonts w:ascii="Wingdings" w:hAnsi="Wingdings" w:hint="default"/>
      </w:rPr>
    </w:lvl>
    <w:lvl w:ilvl="6" w:tplc="9D8CB3BC">
      <w:start w:val="1"/>
      <w:numFmt w:val="bullet"/>
      <w:lvlText w:val=""/>
      <w:lvlJc w:val="left"/>
      <w:pPr>
        <w:ind w:left="4680" w:hanging="360"/>
      </w:pPr>
      <w:rPr>
        <w:rFonts w:ascii="Symbol" w:hAnsi="Symbol" w:hint="default"/>
      </w:rPr>
    </w:lvl>
    <w:lvl w:ilvl="7" w:tplc="DAF46976">
      <w:start w:val="1"/>
      <w:numFmt w:val="bullet"/>
      <w:lvlText w:val="o"/>
      <w:lvlJc w:val="left"/>
      <w:pPr>
        <w:ind w:left="5400" w:hanging="360"/>
      </w:pPr>
      <w:rPr>
        <w:rFonts w:ascii="Courier New" w:hAnsi="Courier New" w:hint="default"/>
      </w:rPr>
    </w:lvl>
    <w:lvl w:ilvl="8" w:tplc="4BF68990">
      <w:start w:val="1"/>
      <w:numFmt w:val="bullet"/>
      <w:lvlText w:val=""/>
      <w:lvlJc w:val="left"/>
      <w:pPr>
        <w:ind w:left="6120" w:hanging="360"/>
      </w:pPr>
      <w:rPr>
        <w:rFonts w:ascii="Wingdings" w:hAnsi="Wingdings" w:hint="default"/>
      </w:rPr>
    </w:lvl>
  </w:abstractNum>
  <w:abstractNum w:abstractNumId="30" w15:restartNumberingAfterBreak="0">
    <w:nsid w:val="79B4522E"/>
    <w:multiLevelType w:val="multilevel"/>
    <w:tmpl w:val="062E4AB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7B36235D"/>
    <w:multiLevelType w:val="multilevel"/>
    <w:tmpl w:val="B70CC3E4"/>
    <w:styleLink w:val="VariantaB-sla"/>
    <w:lvl w:ilvl="0">
      <w:start w:val="1"/>
      <w:numFmt w:val="decimal"/>
      <w:pStyle w:val="slovanseznamB5"/>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EE44260"/>
    <w:multiLevelType w:val="multilevel"/>
    <w:tmpl w:val="22A6A8C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2"/>
  </w:num>
  <w:num w:numId="2">
    <w:abstractNumId w:val="21"/>
  </w:num>
  <w:num w:numId="3">
    <w:abstractNumId w:val="16"/>
  </w:num>
  <w:num w:numId="4">
    <w:abstractNumId w:val="22"/>
  </w:num>
  <w:num w:numId="5">
    <w:abstractNumId w:val="31"/>
  </w:num>
  <w:num w:numId="6">
    <w:abstractNumId w:val="23"/>
  </w:num>
  <w:num w:numId="7">
    <w:abstractNumId w:val="15"/>
  </w:num>
  <w:num w:numId="8">
    <w:abstractNumId w:val="4"/>
  </w:num>
  <w:num w:numId="9">
    <w:abstractNumId w:val="26"/>
  </w:num>
  <w:num w:numId="10">
    <w:abstractNumId w:val="27"/>
  </w:num>
  <w:num w:numId="11">
    <w:abstractNumId w:val="32"/>
  </w:num>
  <w:num w:numId="12">
    <w:abstractNumId w:val="3"/>
  </w:num>
  <w:num w:numId="13">
    <w:abstractNumId w:val="20"/>
  </w:num>
  <w:num w:numId="14">
    <w:abstractNumId w:val="13"/>
  </w:num>
  <w:num w:numId="15">
    <w:abstractNumId w:val="0"/>
  </w:num>
  <w:num w:numId="16">
    <w:abstractNumId w:val="17"/>
  </w:num>
  <w:num w:numId="17">
    <w:abstractNumId w:val="28"/>
  </w:num>
  <w:num w:numId="18">
    <w:abstractNumId w:val="5"/>
  </w:num>
  <w:num w:numId="19">
    <w:abstractNumId w:val="25"/>
  </w:num>
  <w:num w:numId="20">
    <w:abstractNumId w:val="10"/>
  </w:num>
  <w:num w:numId="21">
    <w:abstractNumId w:val="19"/>
  </w:num>
  <w:num w:numId="22">
    <w:abstractNumId w:val="11"/>
  </w:num>
  <w:num w:numId="23">
    <w:abstractNumId w:val="18"/>
  </w:num>
  <w:num w:numId="24">
    <w:abstractNumId w:val="8"/>
  </w:num>
  <w:num w:numId="25">
    <w:abstractNumId w:val="12"/>
  </w:num>
  <w:num w:numId="26">
    <w:abstractNumId w:val="1"/>
  </w:num>
  <w:num w:numId="27">
    <w:abstractNumId w:val="6"/>
  </w:num>
  <w:num w:numId="28">
    <w:abstractNumId w:val="30"/>
  </w:num>
  <w:num w:numId="29">
    <w:abstractNumId w:val="2"/>
  </w:num>
  <w:num w:numId="30">
    <w:abstractNumId w:val="24"/>
  </w:num>
  <w:num w:numId="31">
    <w:abstractNumId w:val="29"/>
  </w:num>
  <w:num w:numId="32">
    <w:abstractNumId w:val="7"/>
  </w:num>
  <w:num w:numId="33">
    <w:abstractNumId w:val="9"/>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9B7"/>
    <w:rsid w:val="000079DD"/>
    <w:rsid w:val="00014080"/>
    <w:rsid w:val="00015DBC"/>
    <w:rsid w:val="000421A3"/>
    <w:rsid w:val="0004539A"/>
    <w:rsid w:val="000839C9"/>
    <w:rsid w:val="000C59FB"/>
    <w:rsid w:val="000E0903"/>
    <w:rsid w:val="00114CB3"/>
    <w:rsid w:val="0013693E"/>
    <w:rsid w:val="00140574"/>
    <w:rsid w:val="00140E39"/>
    <w:rsid w:val="001514B8"/>
    <w:rsid w:val="00152055"/>
    <w:rsid w:val="00153D8D"/>
    <w:rsid w:val="0015735C"/>
    <w:rsid w:val="00157BBC"/>
    <w:rsid w:val="00177529"/>
    <w:rsid w:val="00192C75"/>
    <w:rsid w:val="001C4E1A"/>
    <w:rsid w:val="001C5478"/>
    <w:rsid w:val="001D1962"/>
    <w:rsid w:val="0023527B"/>
    <w:rsid w:val="00261410"/>
    <w:rsid w:val="00264EA8"/>
    <w:rsid w:val="0027102E"/>
    <w:rsid w:val="002724D6"/>
    <w:rsid w:val="00276258"/>
    <w:rsid w:val="002A268D"/>
    <w:rsid w:val="002C013C"/>
    <w:rsid w:val="002C1D1C"/>
    <w:rsid w:val="002C4514"/>
    <w:rsid w:val="002D4DEA"/>
    <w:rsid w:val="002E1928"/>
    <w:rsid w:val="002F6FE5"/>
    <w:rsid w:val="0030124B"/>
    <w:rsid w:val="00301691"/>
    <w:rsid w:val="00323753"/>
    <w:rsid w:val="00340AEF"/>
    <w:rsid w:val="003501CE"/>
    <w:rsid w:val="00356F3C"/>
    <w:rsid w:val="00362A4C"/>
    <w:rsid w:val="003665CC"/>
    <w:rsid w:val="00384A4B"/>
    <w:rsid w:val="003A4BFE"/>
    <w:rsid w:val="003A6C3C"/>
    <w:rsid w:val="003B3259"/>
    <w:rsid w:val="003D2D5A"/>
    <w:rsid w:val="003D32B6"/>
    <w:rsid w:val="003D5467"/>
    <w:rsid w:val="003D5A96"/>
    <w:rsid w:val="003D5BBC"/>
    <w:rsid w:val="003D693A"/>
    <w:rsid w:val="00401B7F"/>
    <w:rsid w:val="00404718"/>
    <w:rsid w:val="00432963"/>
    <w:rsid w:val="00492FC8"/>
    <w:rsid w:val="00497144"/>
    <w:rsid w:val="004A70D0"/>
    <w:rsid w:val="004B0424"/>
    <w:rsid w:val="004B221A"/>
    <w:rsid w:val="004B4026"/>
    <w:rsid w:val="004D3B29"/>
    <w:rsid w:val="004D6D79"/>
    <w:rsid w:val="00503A5D"/>
    <w:rsid w:val="00514022"/>
    <w:rsid w:val="00517153"/>
    <w:rsid w:val="00545AD3"/>
    <w:rsid w:val="005533D6"/>
    <w:rsid w:val="00562C45"/>
    <w:rsid w:val="00572EB5"/>
    <w:rsid w:val="005860F6"/>
    <w:rsid w:val="005A6F23"/>
    <w:rsid w:val="005A7E0A"/>
    <w:rsid w:val="005B0B2C"/>
    <w:rsid w:val="005B7091"/>
    <w:rsid w:val="005C48B6"/>
    <w:rsid w:val="005E2034"/>
    <w:rsid w:val="00617EB2"/>
    <w:rsid w:val="00657840"/>
    <w:rsid w:val="006675D6"/>
    <w:rsid w:val="0067671D"/>
    <w:rsid w:val="00677C36"/>
    <w:rsid w:val="0068117E"/>
    <w:rsid w:val="00685E43"/>
    <w:rsid w:val="006870AB"/>
    <w:rsid w:val="00695EFD"/>
    <w:rsid w:val="006A6957"/>
    <w:rsid w:val="006D5463"/>
    <w:rsid w:val="006D5817"/>
    <w:rsid w:val="006E4A36"/>
    <w:rsid w:val="00700F38"/>
    <w:rsid w:val="00714754"/>
    <w:rsid w:val="00744C07"/>
    <w:rsid w:val="00750B88"/>
    <w:rsid w:val="007540CD"/>
    <w:rsid w:val="00755EB9"/>
    <w:rsid w:val="00760759"/>
    <w:rsid w:val="00760E02"/>
    <w:rsid w:val="00775A46"/>
    <w:rsid w:val="00782285"/>
    <w:rsid w:val="007B2B4F"/>
    <w:rsid w:val="007B7C57"/>
    <w:rsid w:val="00815E46"/>
    <w:rsid w:val="008163C6"/>
    <w:rsid w:val="008230A1"/>
    <w:rsid w:val="008576EE"/>
    <w:rsid w:val="008729E0"/>
    <w:rsid w:val="00893DA1"/>
    <w:rsid w:val="008972BA"/>
    <w:rsid w:val="008A0D9B"/>
    <w:rsid w:val="008C5B15"/>
    <w:rsid w:val="008D117F"/>
    <w:rsid w:val="008F36C6"/>
    <w:rsid w:val="0092495E"/>
    <w:rsid w:val="009272AA"/>
    <w:rsid w:val="00967691"/>
    <w:rsid w:val="009734E4"/>
    <w:rsid w:val="009A1EC2"/>
    <w:rsid w:val="009E011E"/>
    <w:rsid w:val="009F064D"/>
    <w:rsid w:val="009F072E"/>
    <w:rsid w:val="009F1945"/>
    <w:rsid w:val="009F2781"/>
    <w:rsid w:val="009F2F21"/>
    <w:rsid w:val="00A13CD3"/>
    <w:rsid w:val="00A160B0"/>
    <w:rsid w:val="00A32BBD"/>
    <w:rsid w:val="00A45F3B"/>
    <w:rsid w:val="00A8041F"/>
    <w:rsid w:val="00A87DA9"/>
    <w:rsid w:val="00A929A2"/>
    <w:rsid w:val="00AA225F"/>
    <w:rsid w:val="00AA7D7B"/>
    <w:rsid w:val="00AB0F9A"/>
    <w:rsid w:val="00AD5ADD"/>
    <w:rsid w:val="00AE7A7B"/>
    <w:rsid w:val="00AF4FC0"/>
    <w:rsid w:val="00B06F4E"/>
    <w:rsid w:val="00B13AA5"/>
    <w:rsid w:val="00B26D67"/>
    <w:rsid w:val="00B356B9"/>
    <w:rsid w:val="00B37329"/>
    <w:rsid w:val="00B379F1"/>
    <w:rsid w:val="00B42475"/>
    <w:rsid w:val="00B5093F"/>
    <w:rsid w:val="00B51676"/>
    <w:rsid w:val="00B54773"/>
    <w:rsid w:val="00B619BB"/>
    <w:rsid w:val="00B76BAC"/>
    <w:rsid w:val="00B839FB"/>
    <w:rsid w:val="00B842A1"/>
    <w:rsid w:val="00B872DE"/>
    <w:rsid w:val="00B934A4"/>
    <w:rsid w:val="00BB225A"/>
    <w:rsid w:val="00BB59C4"/>
    <w:rsid w:val="00BC0029"/>
    <w:rsid w:val="00BC1C03"/>
    <w:rsid w:val="00BC29B7"/>
    <w:rsid w:val="00BC33EC"/>
    <w:rsid w:val="00BC3531"/>
    <w:rsid w:val="00BF2D2E"/>
    <w:rsid w:val="00BF5481"/>
    <w:rsid w:val="00C01798"/>
    <w:rsid w:val="00C16369"/>
    <w:rsid w:val="00C30ECA"/>
    <w:rsid w:val="00C514AB"/>
    <w:rsid w:val="00C572C6"/>
    <w:rsid w:val="00C678C7"/>
    <w:rsid w:val="00C73954"/>
    <w:rsid w:val="00C80168"/>
    <w:rsid w:val="00C80EA2"/>
    <w:rsid w:val="00C862B1"/>
    <w:rsid w:val="00C903BE"/>
    <w:rsid w:val="00C95A49"/>
    <w:rsid w:val="00C96888"/>
    <w:rsid w:val="00CC0524"/>
    <w:rsid w:val="00CC5963"/>
    <w:rsid w:val="00CD2B63"/>
    <w:rsid w:val="00CE7F9F"/>
    <w:rsid w:val="00CF1BA3"/>
    <w:rsid w:val="00D0620C"/>
    <w:rsid w:val="00D10CB5"/>
    <w:rsid w:val="00D2296D"/>
    <w:rsid w:val="00D37DBB"/>
    <w:rsid w:val="00D4386E"/>
    <w:rsid w:val="00D45304"/>
    <w:rsid w:val="00D4646A"/>
    <w:rsid w:val="00D54472"/>
    <w:rsid w:val="00D56C0F"/>
    <w:rsid w:val="00D70C52"/>
    <w:rsid w:val="00D84324"/>
    <w:rsid w:val="00DC5394"/>
    <w:rsid w:val="00DD6D7A"/>
    <w:rsid w:val="00DD72B3"/>
    <w:rsid w:val="00DE0AA2"/>
    <w:rsid w:val="00E003D6"/>
    <w:rsid w:val="00E051A8"/>
    <w:rsid w:val="00E06687"/>
    <w:rsid w:val="00E25580"/>
    <w:rsid w:val="00E40B05"/>
    <w:rsid w:val="00E47C87"/>
    <w:rsid w:val="00E537DA"/>
    <w:rsid w:val="00E55EEA"/>
    <w:rsid w:val="00E6396F"/>
    <w:rsid w:val="00E66FAF"/>
    <w:rsid w:val="00E9600E"/>
    <w:rsid w:val="00EB0B45"/>
    <w:rsid w:val="00ED00E8"/>
    <w:rsid w:val="00ED6764"/>
    <w:rsid w:val="00F1278D"/>
    <w:rsid w:val="00F21CE2"/>
    <w:rsid w:val="00F36206"/>
    <w:rsid w:val="00F462E3"/>
    <w:rsid w:val="00F5307C"/>
    <w:rsid w:val="00F62C9E"/>
    <w:rsid w:val="00F73CF2"/>
    <w:rsid w:val="00FA175F"/>
    <w:rsid w:val="00FB1A38"/>
    <w:rsid w:val="00FB3157"/>
    <w:rsid w:val="00FD3A34"/>
    <w:rsid w:val="00FD74F1"/>
    <w:rsid w:val="00FE329F"/>
    <w:rsid w:val="00FE7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971C5"/>
  <w15:docId w15:val="{1042B11B-5BB0-45EB-AA1B-5E3C0750B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en-US"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7153"/>
    <w:pPr>
      <w:suppressAutoHyphens/>
      <w:spacing w:after="160" w:line="288" w:lineRule="auto"/>
    </w:pPr>
    <w:rPr>
      <w:color w:val="000000"/>
    </w:rPr>
  </w:style>
  <w:style w:type="paragraph" w:styleId="Nadpis1">
    <w:name w:val="heading 1"/>
    <w:aliases w:val="Nadpis 1."/>
    <w:basedOn w:val="Normln"/>
    <w:next w:val="Normln"/>
    <w:uiPriority w:val="9"/>
    <w:qFormat/>
    <w:rsid w:val="00CC5963"/>
    <w:pPr>
      <w:keepNext/>
      <w:keepLines/>
      <w:numPr>
        <w:numId w:val="1"/>
      </w:numPr>
      <w:spacing w:before="160" w:after="240"/>
      <w:ind w:left="357" w:hanging="357"/>
      <w:outlineLvl w:val="0"/>
    </w:pPr>
    <w:rPr>
      <w:rFonts w:eastAsia="MS Gothic"/>
      <w:b/>
      <w:sz w:val="28"/>
      <w:szCs w:val="32"/>
    </w:rPr>
  </w:style>
  <w:style w:type="paragraph" w:styleId="Nadpis2">
    <w:name w:val="heading 2"/>
    <w:basedOn w:val="Normln"/>
    <w:next w:val="Normln"/>
    <w:uiPriority w:val="9"/>
    <w:unhideWhenUsed/>
    <w:qFormat/>
    <w:rsid w:val="003665CC"/>
    <w:pPr>
      <w:keepNext/>
      <w:keepLines/>
      <w:numPr>
        <w:ilvl w:val="1"/>
        <w:numId w:val="1"/>
      </w:numPr>
      <w:spacing w:before="80" w:after="120"/>
      <w:ind w:left="578" w:hanging="578"/>
      <w:outlineLvl w:val="1"/>
    </w:pPr>
    <w:rPr>
      <w:rFonts w:eastAsia="MS Gothic"/>
      <w:b/>
      <w:sz w:val="26"/>
      <w:szCs w:val="26"/>
    </w:rPr>
  </w:style>
  <w:style w:type="paragraph" w:styleId="Nadpis3">
    <w:name w:val="heading 3"/>
    <w:basedOn w:val="Normln"/>
    <w:next w:val="Normln"/>
    <w:uiPriority w:val="9"/>
    <w:semiHidden/>
    <w:unhideWhenUsed/>
    <w:qFormat/>
    <w:pPr>
      <w:keepNext/>
      <w:keepLines/>
      <w:numPr>
        <w:ilvl w:val="2"/>
        <w:numId w:val="1"/>
      </w:numPr>
      <w:spacing w:before="40" w:after="0"/>
      <w:outlineLvl w:val="2"/>
    </w:pPr>
    <w:rPr>
      <w:rFonts w:eastAsia="MS Gothic"/>
      <w:b/>
      <w:sz w:val="24"/>
      <w:szCs w:val="24"/>
    </w:rPr>
  </w:style>
  <w:style w:type="paragraph" w:styleId="Nadpis4">
    <w:name w:val="heading 4"/>
    <w:basedOn w:val="Normln"/>
    <w:next w:val="Normln"/>
    <w:uiPriority w:val="9"/>
    <w:semiHidden/>
    <w:unhideWhenUsed/>
    <w:qFormat/>
    <w:pPr>
      <w:keepNext/>
      <w:keepLines/>
      <w:numPr>
        <w:ilvl w:val="3"/>
        <w:numId w:val="1"/>
      </w:numPr>
      <w:spacing w:before="40" w:after="0"/>
      <w:outlineLvl w:val="3"/>
    </w:pPr>
    <w:rPr>
      <w:rFonts w:eastAsia="MS Gothic"/>
      <w:i/>
      <w:iCs/>
      <w:sz w:val="24"/>
    </w:rPr>
  </w:style>
  <w:style w:type="paragraph" w:styleId="Nadpis5">
    <w:name w:val="heading 5"/>
    <w:basedOn w:val="Normln"/>
    <w:next w:val="Normln"/>
    <w:uiPriority w:val="9"/>
    <w:semiHidden/>
    <w:unhideWhenUsed/>
    <w:qFormat/>
    <w:pPr>
      <w:keepNext/>
      <w:keepLines/>
      <w:numPr>
        <w:ilvl w:val="4"/>
        <w:numId w:val="1"/>
      </w:numPr>
      <w:spacing w:before="40" w:after="0"/>
      <w:outlineLvl w:val="4"/>
    </w:pPr>
    <w:rPr>
      <w:rFonts w:eastAsia="MS Gothic"/>
      <w:b/>
    </w:rPr>
  </w:style>
  <w:style w:type="paragraph" w:styleId="Nadpis6">
    <w:name w:val="heading 6"/>
    <w:basedOn w:val="Normln"/>
    <w:next w:val="Normln"/>
    <w:uiPriority w:val="9"/>
    <w:semiHidden/>
    <w:unhideWhenUsed/>
    <w:qFormat/>
    <w:pPr>
      <w:keepNext/>
      <w:keepLines/>
      <w:numPr>
        <w:ilvl w:val="5"/>
        <w:numId w:val="1"/>
      </w:numPr>
      <w:spacing w:before="40" w:after="0"/>
      <w:outlineLvl w:val="5"/>
    </w:pPr>
    <w:rPr>
      <w:rFonts w:eastAsia="MS Gothic"/>
      <w:i/>
    </w:rPr>
  </w:style>
  <w:style w:type="paragraph" w:styleId="Nadpis7">
    <w:name w:val="heading 7"/>
    <w:basedOn w:val="Normln"/>
    <w:next w:val="Normln"/>
    <w:pPr>
      <w:keepNext/>
      <w:keepLines/>
      <w:numPr>
        <w:ilvl w:val="6"/>
        <w:numId w:val="1"/>
      </w:numPr>
      <w:spacing w:before="40" w:after="0"/>
      <w:outlineLvl w:val="6"/>
    </w:pPr>
    <w:rPr>
      <w:rFonts w:eastAsia="MS Gothic"/>
      <w:iCs/>
    </w:rPr>
  </w:style>
  <w:style w:type="paragraph" w:styleId="Nadpis8">
    <w:name w:val="heading 8"/>
    <w:basedOn w:val="Normln"/>
    <w:next w:val="Normln"/>
    <w:pPr>
      <w:keepNext/>
      <w:keepLines/>
      <w:numPr>
        <w:ilvl w:val="7"/>
        <w:numId w:val="1"/>
      </w:numPr>
      <w:spacing w:before="40" w:after="0"/>
      <w:outlineLvl w:val="7"/>
    </w:pPr>
    <w:rPr>
      <w:rFonts w:eastAsia="MS Gothic"/>
      <w:b/>
      <w:color w:val="272727"/>
      <w:szCs w:val="21"/>
    </w:rPr>
  </w:style>
  <w:style w:type="paragraph" w:styleId="Nadpis9">
    <w:name w:val="heading 9"/>
    <w:basedOn w:val="Normln"/>
    <w:next w:val="Normln"/>
    <w:pPr>
      <w:keepNext/>
      <w:keepLines/>
      <w:numPr>
        <w:ilvl w:val="8"/>
        <w:numId w:val="1"/>
      </w:numPr>
      <w:spacing w:before="40" w:after="0"/>
      <w:outlineLvl w:val="8"/>
    </w:pPr>
    <w:rPr>
      <w:rFonts w:eastAsia="MS Gothic"/>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
    <w:name w:val="WW_OutlineListStyle"/>
    <w:basedOn w:val="Bezseznamu"/>
    <w:pPr>
      <w:numPr>
        <w:numId w:val="1"/>
      </w:numPr>
    </w:pPr>
  </w:style>
  <w:style w:type="paragraph" w:styleId="Odstavecseseznamem">
    <w:name w:val="List Paragraph"/>
    <w:aliases w:val="Task Body,Viñetas (Inicio Parrafo),3 Txt tabla,Zerrenda-paragrafoa,Lista multicolor - Énfasis 11,Fiche List Paragraph,List Paragraph compact,Dot pt,F5 List Paragraph,List Paragraph1,No Spacing1,List Paragraph Char Char Char"/>
    <w:basedOn w:val="Normln"/>
    <w:uiPriority w:val="34"/>
    <w:qFormat/>
    <w:pPr>
      <w:ind w:left="720"/>
      <w:contextualSpacing/>
    </w:pPr>
  </w:style>
  <w:style w:type="character" w:customStyle="1" w:styleId="Nadpis1Char">
    <w:name w:val="Nadpis 1 Char"/>
    <w:basedOn w:val="Standardnpsmoodstavce"/>
    <w:rPr>
      <w:rFonts w:ascii="Calibri" w:eastAsia="MS Gothic" w:hAnsi="Calibri" w:cs="Times New Roman"/>
      <w:b/>
      <w:color w:val="000000"/>
      <w:sz w:val="28"/>
      <w:szCs w:val="32"/>
    </w:rPr>
  </w:style>
  <w:style w:type="character" w:customStyle="1" w:styleId="Nadpis2Char">
    <w:name w:val="Nadpis 2 Char"/>
    <w:basedOn w:val="Standardnpsmoodstavce"/>
    <w:rPr>
      <w:rFonts w:ascii="Calibri" w:eastAsia="MS Gothic" w:hAnsi="Calibri" w:cs="Times New Roman"/>
      <w:b/>
      <w:color w:val="000000"/>
      <w:sz w:val="26"/>
      <w:szCs w:val="26"/>
    </w:rPr>
  </w:style>
  <w:style w:type="character" w:customStyle="1" w:styleId="Nadpis3Char">
    <w:name w:val="Nadpis 3 Char"/>
    <w:basedOn w:val="Standardnpsmoodstavce"/>
    <w:rPr>
      <w:rFonts w:ascii="Calibri" w:eastAsia="MS Gothic" w:hAnsi="Calibri" w:cs="Times New Roman"/>
      <w:b/>
      <w:color w:val="000000"/>
      <w:sz w:val="24"/>
      <w:szCs w:val="24"/>
    </w:rPr>
  </w:style>
  <w:style w:type="character" w:customStyle="1" w:styleId="Nadpis4Char">
    <w:name w:val="Nadpis 4 Char"/>
    <w:basedOn w:val="Standardnpsmoodstavce"/>
    <w:rPr>
      <w:rFonts w:ascii="Calibri" w:eastAsia="MS Gothic" w:hAnsi="Calibri" w:cs="Times New Roman"/>
      <w:i/>
      <w:iCs/>
      <w:color w:val="000000"/>
      <w:sz w:val="24"/>
    </w:rPr>
  </w:style>
  <w:style w:type="character" w:customStyle="1" w:styleId="Nadpis5Char">
    <w:name w:val="Nadpis 5 Char"/>
    <w:basedOn w:val="Standardnpsmoodstavce"/>
    <w:rPr>
      <w:rFonts w:ascii="Calibri" w:eastAsia="MS Gothic" w:hAnsi="Calibri" w:cs="Times New Roman"/>
      <w:b/>
      <w:color w:val="000000"/>
    </w:rPr>
  </w:style>
  <w:style w:type="character" w:customStyle="1" w:styleId="Nadpis6Char">
    <w:name w:val="Nadpis 6 Char"/>
    <w:basedOn w:val="Standardnpsmoodstavce"/>
    <w:rPr>
      <w:rFonts w:ascii="Calibri" w:eastAsia="MS Gothic" w:hAnsi="Calibri" w:cs="Times New Roman"/>
      <w:i/>
      <w:color w:val="000000"/>
    </w:rPr>
  </w:style>
  <w:style w:type="character" w:customStyle="1" w:styleId="Nadpis7Char">
    <w:name w:val="Nadpis 7 Char"/>
    <w:basedOn w:val="Standardnpsmoodstavce"/>
    <w:rPr>
      <w:rFonts w:ascii="Calibri" w:eastAsia="MS Gothic" w:hAnsi="Calibri" w:cs="Times New Roman"/>
      <w:iCs/>
      <w:color w:val="000000"/>
    </w:rPr>
  </w:style>
  <w:style w:type="character" w:customStyle="1" w:styleId="Nadpis8Char">
    <w:name w:val="Nadpis 8 Char"/>
    <w:basedOn w:val="Standardnpsmoodstavce"/>
    <w:rPr>
      <w:rFonts w:ascii="Calibri" w:eastAsia="MS Gothic" w:hAnsi="Calibri" w:cs="Times New Roman"/>
      <w:b/>
      <w:color w:val="272727"/>
      <w:szCs w:val="21"/>
    </w:rPr>
  </w:style>
  <w:style w:type="character" w:customStyle="1" w:styleId="Nadpis9Char">
    <w:name w:val="Nadpis 9 Char"/>
    <w:basedOn w:val="Standardnpsmoodstavce"/>
    <w:rPr>
      <w:rFonts w:ascii="Calibri" w:eastAsia="MS Gothic" w:hAnsi="Calibri" w:cs="Times New Roman"/>
      <w:i/>
      <w:iCs/>
      <w:color w:val="272727"/>
      <w:sz w:val="21"/>
      <w:szCs w:val="21"/>
    </w:rPr>
  </w:style>
  <w:style w:type="paragraph" w:styleId="Nzev">
    <w:name w:val="Title"/>
    <w:basedOn w:val="Normln"/>
    <w:next w:val="Normln"/>
    <w:uiPriority w:val="10"/>
    <w:qFormat/>
    <w:pPr>
      <w:keepNext/>
      <w:keepLines/>
      <w:spacing w:after="0" w:line="240" w:lineRule="auto"/>
      <w:contextualSpacing/>
    </w:pPr>
    <w:rPr>
      <w:rFonts w:eastAsia="MS Gothic"/>
      <w:spacing w:val="-10"/>
      <w:kern w:val="3"/>
      <w:sz w:val="48"/>
      <w:szCs w:val="56"/>
    </w:rPr>
  </w:style>
  <w:style w:type="character" w:customStyle="1" w:styleId="NzevChar">
    <w:name w:val="Název Char"/>
    <w:basedOn w:val="Standardnpsmoodstavce"/>
    <w:rPr>
      <w:rFonts w:ascii="Calibri" w:eastAsia="MS Gothic" w:hAnsi="Calibri" w:cs="Times New Roman"/>
      <w:color w:val="000000"/>
      <w:spacing w:val="-10"/>
      <w:kern w:val="3"/>
      <w:sz w:val="48"/>
      <w:szCs w:val="56"/>
    </w:rPr>
  </w:style>
  <w:style w:type="character" w:styleId="Zdraznnintenzivn">
    <w:name w:val="Intense Emphasis"/>
    <w:basedOn w:val="Standardnpsmoodstavce"/>
    <w:rPr>
      <w:b/>
      <w:i/>
      <w:iCs/>
      <w:color w:val="000000"/>
    </w:rPr>
  </w:style>
  <w:style w:type="paragraph" w:styleId="Vrazncitt">
    <w:name w:val="Intense Quote"/>
    <w:basedOn w:val="Normln"/>
    <w:next w:val="Normln"/>
    <w:pPr>
      <w:keepLines/>
      <w:pBdr>
        <w:top w:val="single" w:sz="4" w:space="10" w:color="000000"/>
        <w:bottom w:val="single" w:sz="4" w:space="10" w:color="000000"/>
      </w:pBdr>
      <w:spacing w:before="240" w:after="240"/>
      <w:ind w:left="357" w:right="357"/>
    </w:pPr>
    <w:rPr>
      <w:i/>
      <w:iCs/>
    </w:rPr>
  </w:style>
  <w:style w:type="character" w:customStyle="1" w:styleId="VrazncittChar">
    <w:name w:val="Výrazný citát Char"/>
    <w:basedOn w:val="Standardnpsmoodstavce"/>
    <w:rPr>
      <w:i/>
      <w:iCs/>
      <w:color w:val="000000"/>
    </w:rPr>
  </w:style>
  <w:style w:type="character" w:styleId="Odkazintenzivn">
    <w:name w:val="Intense Reference"/>
    <w:basedOn w:val="Standardnpsmoodstavce"/>
    <w:rPr>
      <w:b/>
      <w:bCs/>
      <w:smallCaps/>
      <w:color w:val="000000"/>
      <w:spacing w:val="5"/>
    </w:rPr>
  </w:style>
  <w:style w:type="paragraph" w:styleId="slovanseznam">
    <w:name w:val="List Number"/>
    <w:basedOn w:val="Normln"/>
    <w:pPr>
      <w:spacing w:after="0"/>
    </w:pPr>
  </w:style>
  <w:style w:type="paragraph" w:styleId="slovanseznam2">
    <w:name w:val="List Number 2"/>
    <w:basedOn w:val="Normln"/>
    <w:pPr>
      <w:spacing w:after="0"/>
      <w:contextualSpacing/>
    </w:pPr>
  </w:style>
  <w:style w:type="paragraph" w:styleId="slovanseznam3">
    <w:name w:val="List Number 3"/>
    <w:basedOn w:val="Normln"/>
    <w:pPr>
      <w:spacing w:after="0"/>
      <w:contextualSpacing/>
    </w:pPr>
  </w:style>
  <w:style w:type="paragraph" w:styleId="slovanseznam4">
    <w:name w:val="List Number 4"/>
    <w:basedOn w:val="Normln"/>
    <w:pPr>
      <w:spacing w:after="0"/>
      <w:contextualSpacing/>
    </w:pPr>
  </w:style>
  <w:style w:type="paragraph" w:styleId="slovanseznam5">
    <w:name w:val="List Number 5"/>
    <w:basedOn w:val="Normln"/>
    <w:pPr>
      <w:numPr>
        <w:numId w:val="4"/>
      </w:numPr>
      <w:spacing w:after="0"/>
      <w:contextualSpacing/>
    </w:pPr>
  </w:style>
  <w:style w:type="paragraph" w:customStyle="1" w:styleId="slovanseznamB">
    <w:name w:val="Číslovaný seznam B"/>
    <w:basedOn w:val="Normln"/>
    <w:pPr>
      <w:spacing w:after="0"/>
    </w:pPr>
  </w:style>
  <w:style w:type="paragraph" w:customStyle="1" w:styleId="slovanseznamB2">
    <w:name w:val="Číslovaný seznam B 2"/>
    <w:basedOn w:val="Normln"/>
    <w:pPr>
      <w:spacing w:after="0"/>
    </w:pPr>
  </w:style>
  <w:style w:type="paragraph" w:customStyle="1" w:styleId="slovanseznamB3">
    <w:name w:val="Číslovaný seznam B 3"/>
    <w:basedOn w:val="Normln"/>
    <w:pPr>
      <w:spacing w:after="0"/>
    </w:pPr>
  </w:style>
  <w:style w:type="paragraph" w:customStyle="1" w:styleId="slovanseznamB4">
    <w:name w:val="Číslovaný seznam B 4"/>
    <w:basedOn w:val="Normln"/>
    <w:pPr>
      <w:spacing w:after="0"/>
    </w:pPr>
  </w:style>
  <w:style w:type="paragraph" w:customStyle="1" w:styleId="slovanseznamB5">
    <w:name w:val="Číslovaný seznam B 5"/>
    <w:basedOn w:val="Normln"/>
    <w:pPr>
      <w:numPr>
        <w:numId w:val="5"/>
      </w:numPr>
      <w:spacing w:after="0"/>
    </w:pPr>
  </w:style>
  <w:style w:type="paragraph" w:styleId="Seznamsodrkami3">
    <w:name w:val="List Bullet 3"/>
    <w:basedOn w:val="Normln"/>
    <w:pPr>
      <w:spacing w:after="0"/>
      <w:contextualSpacing/>
    </w:pPr>
  </w:style>
  <w:style w:type="paragraph" w:styleId="Seznamsodrkami4">
    <w:name w:val="List Bullet 4"/>
    <w:basedOn w:val="Normln"/>
    <w:pPr>
      <w:spacing w:after="0"/>
      <w:contextualSpacing/>
    </w:pPr>
  </w:style>
  <w:style w:type="paragraph" w:styleId="Seznamsodrkami5">
    <w:name w:val="List Bullet 5"/>
    <w:basedOn w:val="Normln"/>
    <w:pPr>
      <w:spacing w:after="0"/>
    </w:pPr>
  </w:style>
  <w:style w:type="paragraph" w:styleId="Seznamsodrkami">
    <w:name w:val="List Bullet"/>
    <w:basedOn w:val="Normln"/>
    <w:pPr>
      <w:spacing w:after="0"/>
      <w:contextualSpacing/>
    </w:pPr>
  </w:style>
  <w:style w:type="paragraph" w:styleId="Seznamsodrkami2">
    <w:name w:val="List Bullet 2"/>
    <w:basedOn w:val="Normln"/>
    <w:pPr>
      <w:numPr>
        <w:numId w:val="3"/>
      </w:numPr>
      <w:spacing w:after="0"/>
      <w:contextualSpacing/>
    </w:pPr>
  </w:style>
  <w:style w:type="paragraph" w:customStyle="1" w:styleId="Nadpis1-mimoobsah">
    <w:name w:val="Nadpis 1 - mimo obsah"/>
    <w:basedOn w:val="Normln"/>
    <w:next w:val="Normln"/>
    <w:pPr>
      <w:keepNext/>
      <w:keepLines/>
      <w:spacing w:before="160" w:after="0"/>
    </w:pPr>
    <w:rPr>
      <w:b/>
      <w:sz w:val="28"/>
    </w:rPr>
  </w:style>
  <w:style w:type="paragraph" w:customStyle="1" w:styleId="Nadpis2-mimoobsah">
    <w:name w:val="Nadpis 2 - mimo obsah"/>
    <w:basedOn w:val="Normln"/>
    <w:next w:val="Normln"/>
    <w:pPr>
      <w:keepNext/>
      <w:keepLines/>
      <w:spacing w:before="80" w:after="0"/>
    </w:pPr>
    <w:rPr>
      <w:b/>
      <w:sz w:val="26"/>
    </w:rPr>
  </w:style>
  <w:style w:type="paragraph" w:customStyle="1" w:styleId="Nadpis3-mimoobsah">
    <w:name w:val="Nadpis 3 - mimo obsah"/>
    <w:basedOn w:val="Normln"/>
    <w:next w:val="Normln"/>
    <w:pPr>
      <w:keepNext/>
      <w:keepLines/>
      <w:spacing w:before="40" w:after="0"/>
    </w:pPr>
    <w:rPr>
      <w:b/>
      <w:sz w:val="24"/>
    </w:rPr>
  </w:style>
  <w:style w:type="paragraph" w:customStyle="1" w:styleId="Nadpis4-mimoobsah">
    <w:name w:val="Nadpis 4 - mimo obsah"/>
    <w:basedOn w:val="Normln"/>
    <w:next w:val="Normln"/>
    <w:pPr>
      <w:keepNext/>
      <w:keepLines/>
      <w:spacing w:before="40" w:after="0"/>
    </w:pPr>
    <w:rPr>
      <w:i/>
      <w:sz w:val="24"/>
    </w:rPr>
  </w:style>
  <w:style w:type="paragraph" w:customStyle="1" w:styleId="Nadpis5-mimoobsah">
    <w:name w:val="Nadpis 5 - mimo obsah"/>
    <w:basedOn w:val="Normln"/>
    <w:next w:val="Normln"/>
    <w:pPr>
      <w:keepNext/>
      <w:keepLines/>
      <w:spacing w:before="40" w:after="0"/>
    </w:pPr>
    <w:rPr>
      <w:b/>
    </w:rPr>
  </w:style>
  <w:style w:type="paragraph" w:customStyle="1" w:styleId="Nadpis7mimoobsah">
    <w:name w:val="Nadpis 7 mimo obsah"/>
    <w:basedOn w:val="Normln"/>
    <w:next w:val="Normln"/>
    <w:pPr>
      <w:keepNext/>
      <w:keepLines/>
      <w:spacing w:before="40" w:after="0"/>
    </w:pPr>
  </w:style>
  <w:style w:type="paragraph" w:customStyle="1" w:styleId="Nadpis6mimoobsah">
    <w:name w:val="Nadpis 6 mimo obsah"/>
    <w:basedOn w:val="Normln"/>
    <w:next w:val="Normln"/>
    <w:pPr>
      <w:keepNext/>
      <w:keepLines/>
      <w:spacing w:before="40" w:after="0"/>
    </w:pPr>
    <w:rPr>
      <w:i/>
    </w:rPr>
  </w:style>
  <w:style w:type="paragraph" w:customStyle="1" w:styleId="Nadpis8mimoobsah">
    <w:name w:val="Nadpis 8 mimo obsah"/>
    <w:basedOn w:val="Normln"/>
    <w:next w:val="Normln"/>
    <w:pPr>
      <w:keepNext/>
      <w:keepLines/>
      <w:spacing w:before="40" w:after="0"/>
    </w:pPr>
    <w:rPr>
      <w:b/>
      <w:sz w:val="21"/>
      <w:szCs w:val="21"/>
    </w:rPr>
  </w:style>
  <w:style w:type="paragraph" w:customStyle="1" w:styleId="Nadpis9mimoobsah">
    <w:name w:val="Nadpis 9 mimo obsah"/>
    <w:basedOn w:val="Normln"/>
    <w:next w:val="Normln"/>
    <w:pPr>
      <w:keepNext/>
      <w:keepLines/>
      <w:spacing w:before="40" w:after="0"/>
    </w:pPr>
    <w:rPr>
      <w:i/>
      <w:sz w:val="21"/>
      <w:szCs w:val="21"/>
    </w:rPr>
  </w:style>
  <w:style w:type="paragraph" w:styleId="Podnadpis">
    <w:name w:val="Subtitle"/>
    <w:basedOn w:val="Normln"/>
    <w:next w:val="Normln"/>
    <w:uiPriority w:val="11"/>
    <w:qFormat/>
    <w:rPr>
      <w:rFonts w:eastAsia="MS Mincho"/>
      <w:color w:val="595959"/>
      <w:spacing w:val="15"/>
      <w:sz w:val="28"/>
    </w:rPr>
  </w:style>
  <w:style w:type="character" w:customStyle="1" w:styleId="PodnadpisChar">
    <w:name w:val="Podnadpis Char"/>
    <w:basedOn w:val="Standardnpsmoodstavce"/>
    <w:rPr>
      <w:rFonts w:eastAsia="MS Mincho"/>
      <w:color w:val="595959"/>
      <w:spacing w:val="15"/>
      <w:sz w:val="28"/>
    </w:rPr>
  </w:style>
  <w:style w:type="paragraph" w:styleId="Obsah1">
    <w:name w:val="toc 1"/>
    <w:basedOn w:val="Normln"/>
    <w:next w:val="Normln"/>
    <w:autoRedefine/>
    <w:uiPriority w:val="39"/>
    <w:pPr>
      <w:spacing w:after="100"/>
    </w:pPr>
  </w:style>
  <w:style w:type="paragraph" w:styleId="Obsah2">
    <w:name w:val="toc 2"/>
    <w:basedOn w:val="Normln"/>
    <w:next w:val="Normln"/>
    <w:autoRedefine/>
    <w:uiPriority w:val="39"/>
    <w:pPr>
      <w:spacing w:after="100"/>
      <w:ind w:left="220"/>
    </w:pPr>
  </w:style>
  <w:style w:type="paragraph" w:styleId="Obsah3">
    <w:name w:val="toc 3"/>
    <w:basedOn w:val="Normln"/>
    <w:next w:val="Normln"/>
    <w:autoRedefine/>
    <w:pPr>
      <w:spacing w:after="100"/>
      <w:ind w:left="440"/>
    </w:pPr>
  </w:style>
  <w:style w:type="paragraph" w:styleId="Obsah4">
    <w:name w:val="toc 4"/>
    <w:basedOn w:val="Normln"/>
    <w:next w:val="Normln"/>
    <w:autoRedefine/>
    <w:pPr>
      <w:spacing w:after="100"/>
      <w:ind w:left="660"/>
    </w:pPr>
  </w:style>
  <w:style w:type="paragraph" w:styleId="Obsah5">
    <w:name w:val="toc 5"/>
    <w:basedOn w:val="Normln"/>
    <w:next w:val="Normln"/>
    <w:autoRedefine/>
    <w:pPr>
      <w:spacing w:after="100"/>
      <w:ind w:left="880"/>
    </w:pPr>
  </w:style>
  <w:style w:type="paragraph" w:styleId="Obsah6">
    <w:name w:val="toc 6"/>
    <w:basedOn w:val="Normln"/>
    <w:next w:val="Normln"/>
    <w:autoRedefine/>
    <w:pPr>
      <w:spacing w:after="100"/>
      <w:ind w:left="1100"/>
    </w:pPr>
  </w:style>
  <w:style w:type="paragraph" w:styleId="Obsah7">
    <w:name w:val="toc 7"/>
    <w:basedOn w:val="Normln"/>
    <w:next w:val="Normln"/>
    <w:autoRedefine/>
    <w:pPr>
      <w:spacing w:after="100"/>
      <w:ind w:left="1320"/>
    </w:pPr>
  </w:style>
  <w:style w:type="paragraph" w:styleId="Obsah8">
    <w:name w:val="toc 8"/>
    <w:basedOn w:val="Normln"/>
    <w:next w:val="Normln"/>
    <w:autoRedefine/>
    <w:pPr>
      <w:spacing w:after="100"/>
      <w:ind w:left="1540"/>
    </w:pPr>
  </w:style>
  <w:style w:type="paragraph" w:styleId="Obsah9">
    <w:name w:val="toc 9"/>
    <w:basedOn w:val="Normln"/>
    <w:next w:val="Normln"/>
    <w:autoRedefine/>
    <w:pPr>
      <w:spacing w:after="100"/>
      <w:ind w:left="1760"/>
    </w:pPr>
  </w:style>
  <w:style w:type="character" w:styleId="Hypertextovodkaz">
    <w:name w:val="Hyperlink"/>
    <w:basedOn w:val="Standardnpsmoodstavce"/>
    <w:uiPriority w:val="99"/>
    <w:rPr>
      <w:color w:val="004B8D"/>
      <w:u w:val="single"/>
    </w:rPr>
  </w:style>
  <w:style w:type="character" w:styleId="Zdraznnjemn">
    <w:name w:val="Subtle Emphasis"/>
    <w:basedOn w:val="Standardnpsmoodstavce"/>
    <w:rPr>
      <w:i/>
      <w:iCs/>
      <w:color w:val="595959"/>
    </w:rPr>
  </w:style>
  <w:style w:type="character" w:styleId="Odkazjemn">
    <w:name w:val="Subtle Reference"/>
    <w:basedOn w:val="Standardnpsmoodstavce"/>
    <w:rPr>
      <w:smallCaps/>
      <w:color w:val="5A5A5A"/>
    </w:rPr>
  </w:style>
  <w:style w:type="paragraph" w:styleId="Citt">
    <w:name w:val="Quote"/>
    <w:basedOn w:val="Normln"/>
    <w:next w:val="Normln"/>
    <w:pPr>
      <w:keepLines/>
      <w:spacing w:before="240"/>
      <w:ind w:left="357" w:right="357"/>
    </w:pPr>
    <w:rPr>
      <w:i/>
      <w:iCs/>
      <w:color w:val="595959"/>
    </w:rPr>
  </w:style>
  <w:style w:type="character" w:customStyle="1" w:styleId="CittChar">
    <w:name w:val="Citát Char"/>
    <w:basedOn w:val="Standardnpsmoodstavce"/>
    <w:rPr>
      <w:i/>
      <w:iCs/>
      <w:color w:val="595959"/>
    </w:rPr>
  </w:style>
  <w:style w:type="character" w:styleId="Zdraznn">
    <w:name w:val="Emphasis"/>
    <w:basedOn w:val="Standardnpsmoodstavce"/>
    <w:rPr>
      <w:i/>
      <w:iCs/>
    </w:rPr>
  </w:style>
  <w:style w:type="paragraph" w:styleId="Nadpisobsahu">
    <w:name w:val="TOC Heading"/>
    <w:basedOn w:val="Nadpis1-mimoobsah"/>
    <w:next w:val="Normln"/>
  </w:style>
  <w:style w:type="paragraph" w:styleId="Datum">
    <w:name w:val="Date"/>
    <w:basedOn w:val="Normln"/>
    <w:next w:val="Normln"/>
  </w:style>
  <w:style w:type="character" w:customStyle="1" w:styleId="DatumChar">
    <w:name w:val="Datum Char"/>
    <w:basedOn w:val="Standardnpsmoodstavce"/>
    <w:rPr>
      <w:color w:val="000000"/>
    </w:rPr>
  </w:style>
  <w:style w:type="paragraph" w:styleId="Textvbloku">
    <w:name w:val="Block Text"/>
    <w:basedOn w:val="Normln"/>
    <w:pPr>
      <w:pBdr>
        <w:top w:val="single" w:sz="2" w:space="10" w:color="000000"/>
        <w:left w:val="single" w:sz="2" w:space="10" w:color="000000"/>
        <w:bottom w:val="single" w:sz="2" w:space="10" w:color="000000"/>
        <w:right w:val="single" w:sz="2" w:space="10" w:color="000000"/>
      </w:pBdr>
      <w:ind w:left="357" w:right="357"/>
    </w:pPr>
    <w:rPr>
      <w:rFonts w:eastAsia="MS Mincho"/>
      <w:i/>
      <w:iCs/>
    </w:rPr>
  </w:style>
  <w:style w:type="character" w:styleId="Sledovanodkaz">
    <w:name w:val="FollowedHyperlink"/>
    <w:basedOn w:val="Standardnpsmoodstavce"/>
    <w:rPr>
      <w:color w:val="595959"/>
      <w:u w:val="single"/>
    </w:rPr>
  </w:style>
  <w:style w:type="paragraph" w:styleId="Zkladntext">
    <w:name w:val="Body Text"/>
    <w:basedOn w:val="Normln"/>
  </w:style>
  <w:style w:type="character" w:customStyle="1" w:styleId="ZkladntextChar">
    <w:name w:val="Základní text Char"/>
    <w:basedOn w:val="Standardnpsmoodstavce"/>
    <w:rPr>
      <w:color w:val="000000"/>
    </w:rPr>
  </w:style>
  <w:style w:type="paragraph" w:styleId="Zkladntext-prvnodsazen">
    <w:name w:val="Body Text First Indent"/>
    <w:basedOn w:val="Zkladntext"/>
    <w:pPr>
      <w:ind w:firstLine="357"/>
    </w:pPr>
  </w:style>
  <w:style w:type="character" w:customStyle="1" w:styleId="Zkladntext-prvnodsazenChar">
    <w:name w:val="Základní text - první odsazený Char"/>
    <w:basedOn w:val="ZkladntextChar"/>
    <w:rPr>
      <w:color w:val="000000"/>
    </w:rPr>
  </w:style>
  <w:style w:type="paragraph" w:styleId="Zkladntextodsazen">
    <w:name w:val="Body Text Indent"/>
    <w:basedOn w:val="Normln"/>
    <w:pPr>
      <w:ind w:left="357"/>
    </w:pPr>
  </w:style>
  <w:style w:type="character" w:customStyle="1" w:styleId="ZkladntextodsazenChar">
    <w:name w:val="Základní text odsazený Char"/>
    <w:basedOn w:val="Standardnpsmoodstavce"/>
    <w:rPr>
      <w:color w:val="000000"/>
    </w:rPr>
  </w:style>
  <w:style w:type="paragraph" w:customStyle="1" w:styleId="SeznamsodrkamiB">
    <w:name w:val="Seznam s odrážkami B"/>
    <w:basedOn w:val="Normln"/>
    <w:pPr>
      <w:spacing w:after="0"/>
    </w:pPr>
  </w:style>
  <w:style w:type="paragraph" w:customStyle="1" w:styleId="SeznamsodrkamiB2">
    <w:name w:val="Seznam s odrážkami B 2"/>
    <w:basedOn w:val="Normln"/>
    <w:pPr>
      <w:spacing w:after="0"/>
    </w:pPr>
  </w:style>
  <w:style w:type="paragraph" w:customStyle="1" w:styleId="SeznamsodrkamiB3">
    <w:name w:val="Seznam s odrážkami B 3"/>
    <w:basedOn w:val="Normln"/>
    <w:pPr>
      <w:spacing w:after="0"/>
    </w:pPr>
  </w:style>
  <w:style w:type="paragraph" w:customStyle="1" w:styleId="SeznamsodrkamiB4">
    <w:name w:val="Seznam s odrážkami B 4"/>
    <w:basedOn w:val="Normln"/>
    <w:pPr>
      <w:spacing w:after="0"/>
    </w:pPr>
  </w:style>
  <w:style w:type="paragraph" w:customStyle="1" w:styleId="SeznamsodrkamiB5">
    <w:name w:val="Seznam s odrážkami B 5"/>
    <w:basedOn w:val="Normln"/>
    <w:pPr>
      <w:numPr>
        <w:numId w:val="2"/>
      </w:numPr>
      <w:spacing w:after="0"/>
    </w:pPr>
  </w:style>
  <w:style w:type="paragraph" w:styleId="Zhlav">
    <w:name w:val="header"/>
    <w:basedOn w:val="Normln"/>
    <w:pPr>
      <w:tabs>
        <w:tab w:val="center" w:pos="4536"/>
        <w:tab w:val="right" w:pos="9072"/>
      </w:tabs>
      <w:spacing w:after="0" w:line="240" w:lineRule="auto"/>
    </w:pPr>
  </w:style>
  <w:style w:type="character" w:customStyle="1" w:styleId="ZhlavChar">
    <w:name w:val="Záhlaví Char"/>
    <w:basedOn w:val="Standardnpsmoodstavce"/>
    <w:rPr>
      <w:color w:val="000000"/>
    </w:rPr>
  </w:style>
  <w:style w:type="paragraph" w:styleId="Zpat">
    <w:name w:val="footer"/>
    <w:basedOn w:val="Normln"/>
    <w:uiPriority w:val="99"/>
    <w:pPr>
      <w:tabs>
        <w:tab w:val="center" w:pos="4536"/>
        <w:tab w:val="right" w:pos="9072"/>
      </w:tabs>
      <w:spacing w:after="0" w:line="240" w:lineRule="auto"/>
    </w:pPr>
  </w:style>
  <w:style w:type="character" w:customStyle="1" w:styleId="ZpatChar">
    <w:name w:val="Zápatí Char"/>
    <w:basedOn w:val="Standardnpsmoodstavce"/>
    <w:uiPriority w:val="99"/>
    <w:rPr>
      <w:color w:val="000000"/>
    </w:rPr>
  </w:style>
  <w:style w:type="paragraph" w:styleId="Textpoznpodarou">
    <w:name w:val="footnote text"/>
    <w:basedOn w:val="Normln"/>
    <w:pPr>
      <w:spacing w:after="0" w:line="240" w:lineRule="auto"/>
    </w:pPr>
    <w:rPr>
      <w:sz w:val="20"/>
      <w:szCs w:val="20"/>
    </w:rPr>
  </w:style>
  <w:style w:type="character" w:customStyle="1" w:styleId="TextpoznpodarouChar">
    <w:name w:val="Text pozn. pod čarou Char"/>
    <w:basedOn w:val="Standardnpsmoodstavce"/>
    <w:rPr>
      <w:color w:val="000000"/>
      <w:sz w:val="20"/>
      <w:szCs w:val="20"/>
    </w:rPr>
  </w:style>
  <w:style w:type="character" w:styleId="Znakapoznpodarou">
    <w:name w:val="footnote reference"/>
    <w:basedOn w:val="Standardnpsmoodstavce"/>
    <w:rPr>
      <w:position w:val="0"/>
      <w:vertAlign w:val="superscript"/>
    </w:rPr>
  </w:style>
  <w:style w:type="character" w:customStyle="1" w:styleId="Nevyeenzmnka1">
    <w:name w:val="Nevyřešená zmínka1"/>
    <w:basedOn w:val="Standardnpsmoodstavce"/>
    <w:rPr>
      <w:color w:val="605E5C"/>
      <w:shd w:val="clear" w:color="auto" w:fill="E1DFDD"/>
    </w:rPr>
  </w:style>
  <w:style w:type="character" w:styleId="Odkaznakoment">
    <w:name w:val="annotation reference"/>
    <w:basedOn w:val="Standardnpsmoodstavce"/>
    <w:rPr>
      <w:sz w:val="16"/>
      <w:szCs w:val="16"/>
    </w:rPr>
  </w:style>
  <w:style w:type="paragraph" w:styleId="Textkomente">
    <w:name w:val="annotation text"/>
    <w:basedOn w:val="Normln"/>
    <w:pPr>
      <w:spacing w:line="240" w:lineRule="auto"/>
    </w:pPr>
    <w:rPr>
      <w:sz w:val="20"/>
      <w:szCs w:val="20"/>
    </w:rPr>
  </w:style>
  <w:style w:type="character" w:customStyle="1" w:styleId="TextkomenteChar">
    <w:name w:val="Text komentáře Char"/>
    <w:basedOn w:val="Standardnpsmoodstavce"/>
    <w:rPr>
      <w:color w:val="000000"/>
      <w:sz w:val="20"/>
      <w:szCs w:val="20"/>
    </w:rPr>
  </w:style>
  <w:style w:type="paragraph" w:styleId="Pedmtkomente">
    <w:name w:val="annotation subject"/>
    <w:basedOn w:val="Textkomente"/>
    <w:next w:val="Textkomente"/>
    <w:rPr>
      <w:b/>
      <w:bCs/>
    </w:rPr>
  </w:style>
  <w:style w:type="character" w:customStyle="1" w:styleId="PedmtkomenteChar">
    <w:name w:val="Předmět komentáře Char"/>
    <w:basedOn w:val="TextkomenteChar"/>
    <w:rPr>
      <w:b/>
      <w:bCs/>
      <w:color w:val="000000"/>
      <w:sz w:val="20"/>
      <w:szCs w:val="20"/>
    </w:rPr>
  </w:style>
  <w:style w:type="paragraph" w:styleId="Textbubliny">
    <w:name w:val="Balloon Text"/>
    <w:basedOn w:val="Normln"/>
    <w:pPr>
      <w:spacing w:after="0" w:line="240" w:lineRule="auto"/>
    </w:pPr>
    <w:rPr>
      <w:rFonts w:ascii="Segoe UI" w:hAnsi="Segoe UI" w:cs="Segoe UI"/>
      <w:sz w:val="18"/>
      <w:szCs w:val="18"/>
    </w:rPr>
  </w:style>
  <w:style w:type="character" w:customStyle="1" w:styleId="TextbublinyChar">
    <w:name w:val="Text bubliny Char"/>
    <w:basedOn w:val="Standardnpsmoodstavce"/>
    <w:rPr>
      <w:rFonts w:ascii="Segoe UI" w:hAnsi="Segoe UI" w:cs="Segoe UI"/>
      <w:color w:val="000000"/>
      <w:sz w:val="18"/>
      <w:szCs w:val="18"/>
    </w:rPr>
  </w:style>
  <w:style w:type="paragraph" w:styleId="Revize">
    <w:name w:val="Revision"/>
    <w:pPr>
      <w:suppressAutoHyphens/>
      <w:spacing w:after="0" w:line="240" w:lineRule="auto"/>
    </w:pPr>
    <w:rPr>
      <w:color w:val="000000"/>
    </w:rPr>
  </w:style>
  <w:style w:type="character" w:customStyle="1" w:styleId="Nevyeenzmnka2">
    <w:name w:val="Nevyřešená zmínka2"/>
    <w:basedOn w:val="Standardnpsmoodstavce"/>
    <w:rPr>
      <w:color w:val="605E5C"/>
      <w:shd w:val="clear" w:color="auto" w:fill="E1DFDD"/>
    </w:rPr>
  </w:style>
  <w:style w:type="paragraph" w:customStyle="1" w:styleId="Normlnodsazen">
    <w:name w:val="Normální_odsazený"/>
    <w:basedOn w:val="Normln"/>
    <w:pPr>
      <w:spacing w:line="360" w:lineRule="auto"/>
      <w:ind w:firstLine="709"/>
    </w:pPr>
    <w:rPr>
      <w:rFonts w:eastAsia="Times New Roman"/>
      <w:color w:val="auto"/>
      <w:szCs w:val="24"/>
    </w:rPr>
  </w:style>
  <w:style w:type="character" w:customStyle="1" w:styleId="normaltextrun">
    <w:name w:val="normaltextrun"/>
  </w:style>
  <w:style w:type="character" w:styleId="Nevyeenzmnka">
    <w:name w:val="Unresolved Mention"/>
    <w:basedOn w:val="Standardnpsmoodstavce"/>
    <w:rPr>
      <w:color w:val="605E5C"/>
      <w:shd w:val="clear" w:color="auto" w:fill="E1DFDD"/>
    </w:rPr>
  </w:style>
  <w:style w:type="paragraph" w:customStyle="1" w:styleId="Default">
    <w:name w:val="Default"/>
    <w:pPr>
      <w:suppressAutoHyphens/>
      <w:autoSpaceDE w:val="0"/>
      <w:spacing w:after="0" w:line="240" w:lineRule="auto"/>
    </w:pPr>
    <w:rPr>
      <w:rFonts w:ascii="Times New Roman" w:hAnsi="Times New Roman"/>
      <w:color w:val="000000"/>
      <w:sz w:val="24"/>
      <w:szCs w:val="24"/>
    </w:rPr>
  </w:style>
  <w:style w:type="paragraph" w:styleId="Normlnweb">
    <w:name w:val="Normal (Web)"/>
    <w:basedOn w:val="Normln"/>
    <w:pPr>
      <w:spacing w:before="100" w:after="100" w:line="240" w:lineRule="auto"/>
    </w:pPr>
    <w:rPr>
      <w:rFonts w:ascii="Times New Roman" w:eastAsia="Times New Roman" w:hAnsi="Times New Roman"/>
      <w:color w:val="auto"/>
      <w:sz w:val="24"/>
      <w:szCs w:val="24"/>
      <w:lang w:eastAsia="cs-CZ"/>
    </w:rPr>
  </w:style>
  <w:style w:type="character" w:styleId="Siln">
    <w:name w:val="Strong"/>
    <w:basedOn w:val="Standardnpsmoodstavce"/>
    <w:rPr>
      <w:b/>
      <w:bCs/>
    </w:rPr>
  </w:style>
  <w:style w:type="character" w:customStyle="1" w:styleId="OdstavecseseznamemChar">
    <w:name w:val="Odstavec se seznamem Char"/>
    <w:aliases w:val="Task Body Char,Viñetas (Inicio Parrafo) Char,3 Txt tabla Char,Zerrenda-paragrafoa Char,Lista multicolor - Énfasis 11 Char,Fiche List Paragraph Char,List Paragraph compact Char,Dot pt Char,F5 List Paragraph Char,No Spacing1 Char"/>
    <w:basedOn w:val="Standardnpsmoodstavce"/>
    <w:uiPriority w:val="34"/>
    <w:qFormat/>
    <w:rPr>
      <w:color w:val="000000"/>
    </w:rPr>
  </w:style>
  <w:style w:type="table" w:styleId="Mkatabulky">
    <w:name w:val="Table Grid"/>
    <w:basedOn w:val="Normlntabulka"/>
    <w:uiPriority w:val="39"/>
    <w:rsid w:val="00E255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VariantaB-odrky">
    <w:name w:val="Varianta B - odrážky"/>
    <w:basedOn w:val="Bezseznamu"/>
    <w:pPr>
      <w:numPr>
        <w:numId w:val="2"/>
      </w:numPr>
    </w:pPr>
  </w:style>
  <w:style w:type="numbering" w:customStyle="1" w:styleId="VariantaA-odrky">
    <w:name w:val="Varianta A - odrážky"/>
    <w:basedOn w:val="Bezseznamu"/>
    <w:pPr>
      <w:numPr>
        <w:numId w:val="3"/>
      </w:numPr>
    </w:pPr>
  </w:style>
  <w:style w:type="numbering" w:customStyle="1" w:styleId="VariantaA-sla">
    <w:name w:val="Varianta A - čísla"/>
    <w:basedOn w:val="Bezseznamu"/>
    <w:pPr>
      <w:numPr>
        <w:numId w:val="4"/>
      </w:numPr>
    </w:pPr>
  </w:style>
  <w:style w:type="numbering" w:customStyle="1" w:styleId="VariantaB-sla">
    <w:name w:val="Varianta B - čísla"/>
    <w:basedOn w:val="Bezseznamu"/>
    <w:pPr>
      <w:numPr>
        <w:numId w:val="5"/>
      </w:numPr>
    </w:pPr>
  </w:style>
  <w:style w:type="paragraph" w:customStyle="1" w:styleId="hlava">
    <w:name w:val="hlava"/>
    <w:basedOn w:val="Normln"/>
    <w:rsid w:val="00C16369"/>
    <w:pPr>
      <w:suppressAutoHyphens w:val="0"/>
      <w:autoSpaceDN/>
      <w:spacing w:before="100" w:beforeAutospacing="1" w:after="100" w:afterAutospacing="1" w:line="240" w:lineRule="auto"/>
    </w:pPr>
    <w:rPr>
      <w:rFonts w:ascii="Times New Roman" w:eastAsia="Times New Roman" w:hAnsi="Times New Roman"/>
      <w:color w:val="auto"/>
      <w:sz w:val="24"/>
      <w:szCs w:val="24"/>
      <w:lang w:eastAsia="cs-CZ"/>
    </w:rPr>
  </w:style>
  <w:style w:type="paragraph" w:customStyle="1" w:styleId="para">
    <w:name w:val="para"/>
    <w:basedOn w:val="Normln"/>
    <w:rsid w:val="00C16369"/>
    <w:pPr>
      <w:suppressAutoHyphens w:val="0"/>
      <w:autoSpaceDN/>
      <w:spacing w:before="100" w:beforeAutospacing="1" w:after="100" w:afterAutospacing="1" w:line="240" w:lineRule="auto"/>
    </w:pPr>
    <w:rPr>
      <w:rFonts w:ascii="Times New Roman" w:eastAsia="Times New Roman" w:hAnsi="Times New Roman"/>
      <w:color w:val="auto"/>
      <w:sz w:val="24"/>
      <w:szCs w:val="24"/>
      <w:lang w:eastAsia="cs-CZ"/>
    </w:rPr>
  </w:style>
  <w:style w:type="character" w:styleId="PromnnHTML">
    <w:name w:val="HTML Variable"/>
    <w:basedOn w:val="Standardnpsmoodstavce"/>
    <w:uiPriority w:val="99"/>
    <w:semiHidden/>
    <w:unhideWhenUsed/>
    <w:rsid w:val="00C16369"/>
    <w:rPr>
      <w:i/>
      <w:iCs/>
    </w:rPr>
  </w:style>
  <w:style w:type="paragraph" w:customStyle="1" w:styleId="typedudocumentcp">
    <w:name w:val="typedudocument_cp"/>
    <w:basedOn w:val="Normln"/>
    <w:rsid w:val="00AE7A7B"/>
    <w:pPr>
      <w:suppressAutoHyphens w:val="0"/>
      <w:autoSpaceDN/>
      <w:spacing w:before="100" w:beforeAutospacing="1" w:after="100" w:afterAutospacing="1" w:line="240" w:lineRule="auto"/>
    </w:pPr>
    <w:rPr>
      <w:rFonts w:ascii="Times New Roman" w:eastAsia="Times New Roman" w:hAnsi="Times New Roman"/>
      <w:color w:val="auto"/>
      <w:sz w:val="24"/>
      <w:szCs w:val="24"/>
      <w:lang w:eastAsia="cs-CZ"/>
    </w:rPr>
  </w:style>
  <w:style w:type="paragraph" w:customStyle="1" w:styleId="accompagnantcp">
    <w:name w:val="accompagnant_cp"/>
    <w:basedOn w:val="Normln"/>
    <w:rsid w:val="00AE7A7B"/>
    <w:pPr>
      <w:suppressAutoHyphens w:val="0"/>
      <w:autoSpaceDN/>
      <w:spacing w:before="100" w:beforeAutospacing="1" w:after="100" w:afterAutospacing="1" w:line="240" w:lineRule="auto"/>
    </w:pPr>
    <w:rPr>
      <w:rFonts w:ascii="Times New Roman" w:eastAsia="Times New Roman" w:hAnsi="Times New Roman"/>
      <w:color w:val="auto"/>
      <w:sz w:val="24"/>
      <w:szCs w:val="24"/>
      <w:lang w:eastAsia="cs-CZ"/>
    </w:rPr>
  </w:style>
  <w:style w:type="paragraph" w:customStyle="1" w:styleId="typeacteprincipalcp">
    <w:name w:val="typeacteprincipal_cp"/>
    <w:basedOn w:val="Normln"/>
    <w:rsid w:val="00AE7A7B"/>
    <w:pPr>
      <w:suppressAutoHyphens w:val="0"/>
      <w:autoSpaceDN/>
      <w:spacing w:before="100" w:beforeAutospacing="1" w:after="100" w:afterAutospacing="1" w:line="240" w:lineRule="auto"/>
    </w:pPr>
    <w:rPr>
      <w:rFonts w:ascii="Times New Roman" w:eastAsia="Times New Roman" w:hAnsi="Times New Roman"/>
      <w:color w:val="auto"/>
      <w:sz w:val="24"/>
      <w:szCs w:val="24"/>
      <w:lang w:eastAsia="cs-CZ"/>
    </w:rPr>
  </w:style>
  <w:style w:type="paragraph" w:customStyle="1" w:styleId="objetacteprincipalcp">
    <w:name w:val="objetacteprincipal_cp"/>
    <w:basedOn w:val="Normln"/>
    <w:rsid w:val="00AE7A7B"/>
    <w:pPr>
      <w:suppressAutoHyphens w:val="0"/>
      <w:autoSpaceDN/>
      <w:spacing w:before="100" w:beforeAutospacing="1" w:after="100" w:afterAutospacing="1" w:line="240" w:lineRule="auto"/>
    </w:pPr>
    <w:rPr>
      <w:rFonts w:ascii="Times New Roman" w:eastAsia="Times New Roman" w:hAnsi="Times New Roman"/>
      <w:color w:val="auto"/>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83708">
      <w:bodyDiv w:val="1"/>
      <w:marLeft w:val="0"/>
      <w:marRight w:val="0"/>
      <w:marTop w:val="0"/>
      <w:marBottom w:val="0"/>
      <w:divBdr>
        <w:top w:val="none" w:sz="0" w:space="0" w:color="auto"/>
        <w:left w:val="none" w:sz="0" w:space="0" w:color="auto"/>
        <w:bottom w:val="none" w:sz="0" w:space="0" w:color="auto"/>
        <w:right w:val="none" w:sz="0" w:space="0" w:color="auto"/>
      </w:divBdr>
    </w:div>
    <w:div w:id="365257939">
      <w:bodyDiv w:val="1"/>
      <w:marLeft w:val="0"/>
      <w:marRight w:val="0"/>
      <w:marTop w:val="0"/>
      <w:marBottom w:val="0"/>
      <w:divBdr>
        <w:top w:val="none" w:sz="0" w:space="0" w:color="auto"/>
        <w:left w:val="none" w:sz="0" w:space="0" w:color="auto"/>
        <w:bottom w:val="none" w:sz="0" w:space="0" w:color="auto"/>
        <w:right w:val="none" w:sz="0" w:space="0" w:color="auto"/>
      </w:divBdr>
    </w:div>
    <w:div w:id="491067147">
      <w:bodyDiv w:val="1"/>
      <w:marLeft w:val="0"/>
      <w:marRight w:val="0"/>
      <w:marTop w:val="0"/>
      <w:marBottom w:val="0"/>
      <w:divBdr>
        <w:top w:val="none" w:sz="0" w:space="0" w:color="auto"/>
        <w:left w:val="none" w:sz="0" w:space="0" w:color="auto"/>
        <w:bottom w:val="none" w:sz="0" w:space="0" w:color="auto"/>
        <w:right w:val="none" w:sz="0" w:space="0" w:color="auto"/>
      </w:divBdr>
    </w:div>
    <w:div w:id="715397630">
      <w:bodyDiv w:val="1"/>
      <w:marLeft w:val="0"/>
      <w:marRight w:val="0"/>
      <w:marTop w:val="0"/>
      <w:marBottom w:val="0"/>
      <w:divBdr>
        <w:top w:val="none" w:sz="0" w:space="0" w:color="auto"/>
        <w:left w:val="none" w:sz="0" w:space="0" w:color="auto"/>
        <w:bottom w:val="none" w:sz="0" w:space="0" w:color="auto"/>
        <w:right w:val="none" w:sz="0" w:space="0" w:color="auto"/>
      </w:divBdr>
    </w:div>
    <w:div w:id="861355304">
      <w:bodyDiv w:val="1"/>
      <w:marLeft w:val="0"/>
      <w:marRight w:val="0"/>
      <w:marTop w:val="0"/>
      <w:marBottom w:val="0"/>
      <w:divBdr>
        <w:top w:val="none" w:sz="0" w:space="0" w:color="auto"/>
        <w:left w:val="none" w:sz="0" w:space="0" w:color="auto"/>
        <w:bottom w:val="none" w:sz="0" w:space="0" w:color="auto"/>
        <w:right w:val="none" w:sz="0" w:space="0" w:color="auto"/>
      </w:divBdr>
    </w:div>
    <w:div w:id="901981901">
      <w:bodyDiv w:val="1"/>
      <w:marLeft w:val="0"/>
      <w:marRight w:val="0"/>
      <w:marTop w:val="0"/>
      <w:marBottom w:val="0"/>
      <w:divBdr>
        <w:top w:val="none" w:sz="0" w:space="0" w:color="auto"/>
        <w:left w:val="none" w:sz="0" w:space="0" w:color="auto"/>
        <w:bottom w:val="none" w:sz="0" w:space="0" w:color="auto"/>
        <w:right w:val="none" w:sz="0" w:space="0" w:color="auto"/>
      </w:divBdr>
    </w:div>
    <w:div w:id="1263104413">
      <w:bodyDiv w:val="1"/>
      <w:marLeft w:val="0"/>
      <w:marRight w:val="0"/>
      <w:marTop w:val="0"/>
      <w:marBottom w:val="0"/>
      <w:divBdr>
        <w:top w:val="none" w:sz="0" w:space="0" w:color="auto"/>
        <w:left w:val="none" w:sz="0" w:space="0" w:color="auto"/>
        <w:bottom w:val="none" w:sz="0" w:space="0" w:color="auto"/>
        <w:right w:val="none" w:sz="0" w:space="0" w:color="auto"/>
      </w:divBdr>
    </w:div>
    <w:div w:id="1315833081">
      <w:bodyDiv w:val="1"/>
      <w:marLeft w:val="0"/>
      <w:marRight w:val="0"/>
      <w:marTop w:val="0"/>
      <w:marBottom w:val="0"/>
      <w:divBdr>
        <w:top w:val="none" w:sz="0" w:space="0" w:color="auto"/>
        <w:left w:val="none" w:sz="0" w:space="0" w:color="auto"/>
        <w:bottom w:val="none" w:sz="0" w:space="0" w:color="auto"/>
        <w:right w:val="none" w:sz="0" w:space="0" w:color="auto"/>
      </w:divBdr>
    </w:div>
    <w:div w:id="1565868329">
      <w:bodyDiv w:val="1"/>
      <w:marLeft w:val="0"/>
      <w:marRight w:val="0"/>
      <w:marTop w:val="0"/>
      <w:marBottom w:val="0"/>
      <w:divBdr>
        <w:top w:val="none" w:sz="0" w:space="0" w:color="auto"/>
        <w:left w:val="none" w:sz="0" w:space="0" w:color="auto"/>
        <w:bottom w:val="none" w:sz="0" w:space="0" w:color="auto"/>
        <w:right w:val="none" w:sz="0" w:space="0" w:color="auto"/>
      </w:divBdr>
    </w:div>
    <w:div w:id="1689217359">
      <w:bodyDiv w:val="1"/>
      <w:marLeft w:val="0"/>
      <w:marRight w:val="0"/>
      <w:marTop w:val="0"/>
      <w:marBottom w:val="0"/>
      <w:divBdr>
        <w:top w:val="none" w:sz="0" w:space="0" w:color="auto"/>
        <w:left w:val="none" w:sz="0" w:space="0" w:color="auto"/>
        <w:bottom w:val="none" w:sz="0" w:space="0" w:color="auto"/>
        <w:right w:val="none" w:sz="0" w:space="0" w:color="auto"/>
      </w:divBdr>
    </w:div>
    <w:div w:id="1815372510">
      <w:bodyDiv w:val="1"/>
      <w:marLeft w:val="0"/>
      <w:marRight w:val="0"/>
      <w:marTop w:val="0"/>
      <w:marBottom w:val="0"/>
      <w:divBdr>
        <w:top w:val="none" w:sz="0" w:space="0" w:color="auto"/>
        <w:left w:val="none" w:sz="0" w:space="0" w:color="auto"/>
        <w:bottom w:val="none" w:sz="0" w:space="0" w:color="auto"/>
        <w:right w:val="none" w:sz="0" w:space="0" w:color="auto"/>
      </w:divBdr>
    </w:div>
    <w:div w:id="1936133490">
      <w:bodyDiv w:val="1"/>
      <w:marLeft w:val="0"/>
      <w:marRight w:val="0"/>
      <w:marTop w:val="0"/>
      <w:marBottom w:val="0"/>
      <w:divBdr>
        <w:top w:val="none" w:sz="0" w:space="0" w:color="auto"/>
        <w:left w:val="none" w:sz="0" w:space="0" w:color="auto"/>
        <w:bottom w:val="none" w:sz="0" w:space="0" w:color="auto"/>
        <w:right w:val="none" w:sz="0" w:space="0" w:color="auto"/>
      </w:divBdr>
    </w:div>
    <w:div w:id="2030520102">
      <w:bodyDiv w:val="1"/>
      <w:marLeft w:val="0"/>
      <w:marRight w:val="0"/>
      <w:marTop w:val="0"/>
      <w:marBottom w:val="0"/>
      <w:divBdr>
        <w:top w:val="none" w:sz="0" w:space="0" w:color="auto"/>
        <w:left w:val="none" w:sz="0" w:space="0" w:color="auto"/>
        <w:bottom w:val="none" w:sz="0" w:space="0" w:color="auto"/>
        <w:right w:val="none" w:sz="0" w:space="0" w:color="auto"/>
      </w:divBdr>
    </w:div>
    <w:div w:id="21045654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HTML/?uri=CELEX:52021SC0084" TargetMode="External"/><Relationship Id="rId13" Type="http://schemas.openxmlformats.org/officeDocument/2006/relationships/hyperlink" Target="https://artificialintelligenceact.eu/national-implementation-plan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CS/TXT/HTML/?uri=OJ:L_202401689" TargetMode="External"/><Relationship Id="rId17" Type="http://schemas.openxmlformats.org/officeDocument/2006/relationships/hyperlink" Target="https://www.dentons.com/en/insights/articles/2024/may/7/the-road-to-the-ai-act-the-italian-approach-pt-3" TargetMode="External"/><Relationship Id="rId2" Type="http://schemas.openxmlformats.org/officeDocument/2006/relationships/numbering" Target="numbering.xml"/><Relationship Id="rId16" Type="http://schemas.openxmlformats.org/officeDocument/2006/relationships/hyperlink" Target="https://www.mpo.gov.cz/cz/podnikani/digitalni-ekonomika/program-digitalni-evropa/testovaci-zarizeni-v-praze--brne-a-ostrave-nabizeji-jedinecne-sluzby-pro-testovani-ai-reseni-malych-a-strednich-podniku--28383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po.gov.cz/assets/cz/podnikani/digitalni-ekonomika/umela-inteligence/2024/8/Narodni-strategie-umele-intelience-CR-2030.pdf" TargetMode="External"/><Relationship Id="rId5" Type="http://schemas.openxmlformats.org/officeDocument/2006/relationships/webSettings" Target="webSettings.xml"/><Relationship Id="rId15" Type="http://schemas.openxmlformats.org/officeDocument/2006/relationships/hyperlink" Target="https://eur-lex.europa.eu/legal-content/EN/TXT/HTML/?uri=CELEX:52021SC0084" TargetMode="External"/><Relationship Id="rId10" Type="http://schemas.openxmlformats.org/officeDocument/2006/relationships/hyperlink" Target="https://www.fma.gv.at/en/fmas-regulatory-sandbox-presents-positive-results-eight-fintechs-already-on-their-way-to-regulatory-market-maturity-one-has-already-obtained-a-licenc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po.gov.cz/cz/podnikani/digitalni-ekonomika/evropska-centra-pro-digitalni-inovace/evropska-centra-pro-digitalni-inovace---277088/" TargetMode="External"/><Relationship Id="rId14" Type="http://schemas.openxmlformats.org/officeDocument/2006/relationships/hyperlink" Target="https://techinsights.linklaters.com/post/102intj/spain-establishes-the-eus-first-ai-supervisory-agency"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artificialintelligenceact.eu/national-implementation-plans/" TargetMode="External"/><Relationship Id="rId3" Type="http://schemas.openxmlformats.org/officeDocument/2006/relationships/hyperlink" Target="https://eur-lex.europa.eu/legal-content/CS/TXT/HTML/?uri=OJ:L_202401689" TargetMode="External"/><Relationship Id="rId7" Type="http://schemas.openxmlformats.org/officeDocument/2006/relationships/hyperlink" Target="https://eur-lex.europa.eu/legal-content/EN/TXT/HTML/?uri=CELEX:52021SC0084" TargetMode="External"/><Relationship Id="rId12" Type="http://schemas.openxmlformats.org/officeDocument/2006/relationships/hyperlink" Target="https://www.mpo.gov.cz/cz/podnikani/digitalni-ekonomika/program-digitalni-evropa/testovaci-zarizeni-v-praze--brne-a-ostrave-nabizeji-jedinecne-sluzby-pro-testovani-ai-reseni-malych-a-strednich-podniku--283832/" TargetMode="External"/><Relationship Id="rId2" Type="http://schemas.openxmlformats.org/officeDocument/2006/relationships/hyperlink" Target="https://mpo.gov.cz/assets/cz/podnikani/digitalni-ekonomika/umela-inteligence/2024/8/Narodni-strategie-umele-intelience-CR-2030.pdf" TargetMode="External"/><Relationship Id="rId1" Type="http://schemas.openxmlformats.org/officeDocument/2006/relationships/hyperlink" Target="https://eur-lex.europa.eu/legal-content/CS/TXT/HTML/?uri=OJ:L_202401689" TargetMode="External"/><Relationship Id="rId6" Type="http://schemas.openxmlformats.org/officeDocument/2006/relationships/hyperlink" Target="https://eur-lex.europa.eu/legal-content/CS/TXT/HTML/?uri=OJ:L_202401689" TargetMode="External"/><Relationship Id="rId11" Type="http://schemas.openxmlformats.org/officeDocument/2006/relationships/hyperlink" Target="https://mpo.gov.cz/assets/cz/podnikani/digitalni-ekonomika/umela-inteligence/2024/8/Narodni-strategie-umele-intelience-CR-2030.pdf" TargetMode="External"/><Relationship Id="rId5" Type="http://schemas.openxmlformats.org/officeDocument/2006/relationships/hyperlink" Target="https://eur-lex.europa.eu/legal-content/CS/TXT/HTML/?uri=OJ:L_202401689" TargetMode="External"/><Relationship Id="rId10" Type="http://schemas.openxmlformats.org/officeDocument/2006/relationships/hyperlink" Target="https://techinsights.linklaters.com/post/102intj/spain-establishes-the-eus-first-ai-supervisory-agency" TargetMode="External"/><Relationship Id="rId4" Type="http://schemas.openxmlformats.org/officeDocument/2006/relationships/hyperlink" Target="https://eur-lex.europa.eu/legal-content/CS/TXT/HTML/?uri=OJ:L_202401689" TargetMode="External"/><Relationship Id="rId9" Type="http://schemas.openxmlformats.org/officeDocument/2006/relationships/hyperlink" Target="https://www.dentons.com/en/insights/articles/2024/may/7/the-road-to-the-ai-act-the-italian-approach-pt-3"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489FC-0926-4A28-B395-21021B548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36</Pages>
  <Words>10555</Words>
  <Characters>62275</Characters>
  <Application>Microsoft Office Word</Application>
  <DocSecurity>0</DocSecurity>
  <Lines>518</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Všetečka Daniel</dc:creator>
  <dc:description/>
  <cp:lastModifiedBy>Škrábalová Lenka</cp:lastModifiedBy>
  <cp:revision>8</cp:revision>
  <cp:lastPrinted>2025-03-20T14:28:00Z</cp:lastPrinted>
  <dcterms:created xsi:type="dcterms:W3CDTF">2025-04-02T15:14:00Z</dcterms:created>
  <dcterms:modified xsi:type="dcterms:W3CDTF">2025-04-04T08:21:00Z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0x010100FD6AFFD6CE014942BF86BBEEBCBDDF03</vt:lpwstr>
  </property>
  <property fmtid="{D5CDD505-2E9C-101B-9397-08002B2CF9AE}" pid="3" name="MediaServiceImageTags">
    <vt:lpwstr/>
  </property>
</Properties>
</file>