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 w:rsidR="00A77B3E"/>
    <w:p w:rsidR="00A77B3E">
      <w:pPr>
        <w:pStyle w:val="1"/>
      </w:pPr>
    </w:p>
    <w:p w:rsidR="00A77B3E">
      <w:pPr>
        <w:pStyle w:val="1"/>
      </w:pPr>
    </w:p>
    <w:p w:rsidR="00A77B3E">
      <w:pPr>
        <w:pStyle w:val="2"/>
      </w:pPr>
      <w:r>
        <w:t>…</w:t>
      </w:r>
    </w:p>
    <w:p w:rsidR="00A77B3E">
      <w:pPr>
        <w:pStyle w:val="3"/>
      </w:pPr>
      <w:r>
        <w:t>NAŘÍZENÍ VLÁDY</w:t>
      </w:r>
    </w:p>
    <w:p w:rsidR="00A77B3E">
      <w:pPr>
        <w:pStyle w:val="4"/>
      </w:pPr>
      <w:r>
        <w:t>ze dne …</w:t>
      </w:r>
    </w:p>
    <w:p w:rsidR="00A77B3E">
      <w:pPr>
        <w:pStyle w:val="5"/>
      </w:pPr>
      <w:r>
        <w:t>o regulovaných službách, které splňují podmínky strategicky významné služby, a o částech strategicky významných služeb tvořících nezbytný rozsah zajištění dostupnosti strategicky významných služeb (nařízení vlády o strategicky významných službách)</w:t>
      </w:r>
    </w:p>
    <w:p w:rsidR="00A77B3E">
      <w:pPr>
        <w:pStyle w:val="6"/>
      </w:pPr>
      <w:r>
        <w:t>Vláda nařizuje podle § 25 a § 33 odst. 4 zákona č..../... Sb., o kybernetické bezpečnosti (dále jen „zákon“):</w:t>
      </w:r>
    </w:p>
    <w:p w:rsidR="00A77B3E">
      <w:pPr>
        <w:pStyle w:val="1"/>
      </w:pPr>
    </w:p>
    <w:p w:rsidR="00A77B3E">
      <w:pPr>
        <w:pStyle w:val="7"/>
      </w:pPr>
      <w:r>
        <w:t>§ 1</w:t>
      </w:r>
    </w:p>
    <w:p w:rsidR="00A77B3E">
      <w:pPr>
        <w:pStyle w:val="8"/>
      </w:pPr>
      <w:r>
        <w:t>Předmět úpravy</w:t>
      </w:r>
    </w:p>
    <w:p w:rsidR="00A77B3E">
      <w:pPr>
        <w:pStyle w:val="9"/>
      </w:pPr>
      <w:r>
        <w:t>Toto nařízení upravuje</w:t>
      </w:r>
    </w:p>
    <w:p w:rsidR="00A77B3E">
      <w:pPr>
        <w:pStyle w:val="10"/>
      </w:pPr>
      <w:r>
        <w:t>a)</w:t>
      </w:r>
      <w:r>
        <w:t>   regulované služby, které splňují podmínky strategicky významné služby podle § 25 zákona, a</w:t>
      </w:r>
    </w:p>
    <w:p w:rsidR="00A77B3E">
      <w:pPr>
        <w:pStyle w:val="11"/>
      </w:pPr>
      <w:r>
        <w:t>b)</w:t>
      </w:r>
      <w:r>
        <w:t>   části strategicky významných služeb tvořící nezbytný rozsah strategicky významných služeb a způsob jejich vymezení podle § 33 odst. 4 zákona.</w:t>
      </w:r>
    </w:p>
    <w:p w:rsidR="00A77B3E">
      <w:pPr>
        <w:pStyle w:val="7"/>
      </w:pPr>
      <w:r>
        <w:t>§ 2</w:t>
      </w:r>
    </w:p>
    <w:p w:rsidR="00A77B3E">
      <w:pPr>
        <w:pStyle w:val="8"/>
      </w:pPr>
      <w:r>
        <w:t>Regulované služby splňující podmínky strategicky významné služby</w:t>
      </w:r>
    </w:p>
    <w:p w:rsidR="00A77B3E">
      <w:pPr>
        <w:pStyle w:val="9"/>
      </w:pPr>
      <w:r>
        <w:t>Regulované služby, které splňují podmínky strategicky významné služby podle § 25 zákona, jsou stanoveny v příloze č. 1 k tomuto nařízení.</w:t>
      </w:r>
    </w:p>
    <w:p w:rsidR="00A77B3E">
      <w:pPr>
        <w:pStyle w:val="7"/>
      </w:pPr>
      <w:r>
        <w:t>§ 3</w:t>
      </w:r>
    </w:p>
    <w:p w:rsidR="00A77B3E">
      <w:pPr>
        <w:pStyle w:val="8"/>
      </w:pPr>
      <w:r>
        <w:t>Nezbytný rozsah zajištění dostupnosti strategicky významné služby</w:t>
      </w:r>
    </w:p>
    <w:p w:rsidR="00A77B3E">
      <w:pPr>
        <w:pStyle w:val="9"/>
      </w:pPr>
      <w:r>
        <w:t>Části strategicky významných služeb tvořící nezbytný rozsah strategicky významných služeb a způsob jejich vymezení podle § 33 odst. 4 zákona jsou stanoveny v příloze č. 2 k tomuto nařízení.</w:t>
      </w:r>
    </w:p>
    <w:p w:rsidR="00A77B3E">
      <w:pPr>
        <w:pStyle w:val="7"/>
      </w:pPr>
      <w:r>
        <w:t>§ 4</w:t>
      </w:r>
    </w:p>
    <w:p w:rsidR="00A77B3E">
      <w:pPr>
        <w:pStyle w:val="8"/>
      </w:pPr>
      <w:r>
        <w:t>Účinnost</w:t>
      </w:r>
    </w:p>
    <w:p w:rsidR="00A77B3E">
      <w:pPr>
        <w:pStyle w:val="1"/>
      </w:pPr>
    </w:p>
    <w:p w:rsidR="00A77B3E">
      <w:pPr>
        <w:pStyle w:val="9"/>
      </w:pPr>
      <w:r>
        <w:t>Toto nařízení nabývá účinnosti dnem 1. listopadu 2025.</w:t>
      </w:r>
    </w:p>
    <w:p w:rsidR="00A77B3E">
      <w:pPr>
        <w:pStyle w:val="1"/>
      </w:pPr>
    </w:p>
    <w:p w:rsidR="00A77B3E">
      <w:pPr>
        <w:pStyle w:val="1"/>
      </w:pPr>
    </w:p>
    <w:p w:rsidR="00A77B3E">
      <w:pPr>
        <w:pStyle w:val="1"/>
      </w:pPr>
    </w:p>
    <w:p w:rsidR="00A77B3E">
      <w:pPr>
        <w:pStyle w:val="12"/>
      </w:pPr>
      <w:r>
        <w:t>Příloha č. 1</w:t>
      </w:r>
    </w:p>
    <w:p w:rsidR="00A77B3E">
      <w:pPr>
        <w:pStyle w:val="13"/>
      </w:pPr>
      <w:r>
        <w:t>Regulované služby, které splňují podmínky strategicky významné služby</w:t>
      </w:r>
    </w:p>
    <w:p w:rsidR="00A77B3E">
      <w:pPr>
        <w:pStyle w:val="14"/>
      </w:pPr>
      <w:r>
        <w:t>(1)</w:t>
      </w:r>
      <w:r>
        <w:t>   Strategicky významnou službou v odvětví veřejná správa je výkon svěřených pravomocí vykonávaný</w:t>
      </w:r>
    </w:p>
    <w:p w:rsidR="00A77B3E">
      <w:pPr>
        <w:pStyle w:val="15"/>
      </w:pPr>
      <w:r>
        <w:t>a)</w:t>
      </w:r>
      <w:r>
        <w:t>   ústředním orgánem státní správy neuvedeným v písmeni c),</w:t>
      </w:r>
    </w:p>
    <w:p w:rsidR="00A77B3E">
      <w:pPr>
        <w:pStyle w:val="16"/>
      </w:pPr>
      <w:r>
        <w:t>b)</w:t>
      </w:r>
      <w:r>
        <w:t>   jiným správním úřadem s celostátní působností neuvedeným v písmeni a) a c), a to včetně ústředí a generálního ředitelství územně dekoncentrovaných (specializovaných) orgánů státní správy,</w:t>
      </w:r>
    </w:p>
    <w:p w:rsidR="00A77B3E">
      <w:pPr>
        <w:pStyle w:val="16"/>
      </w:pPr>
      <w:r>
        <w:t>c)</w:t>
      </w:r>
      <w:r>
        <w:t>   Ministerstvem spravedlnosti, včetně výkonu státní správy Nejvyššího správního soudu</w:t>
      </w:r>
      <w:r>
        <w:rPr>
          <w:vertAlign w:val="superscript"/>
        </w:rPr>
        <w:t>1</w:t>
      </w:r>
      <w:r>
        <w:t>), Nejvyššího soudu, vrchních, krajských a okresních soudů</w:t>
      </w:r>
      <w:r>
        <w:rPr>
          <w:vertAlign w:val="superscript"/>
        </w:rPr>
        <w:t>2</w:t>
      </w:r>
      <w:r>
        <w:t>) a státní správy státního zastupitelství</w:t>
      </w:r>
      <w:r>
        <w:rPr>
          <w:vertAlign w:val="superscript"/>
        </w:rPr>
        <w:t>3</w:t>
      </w:r>
      <w:r>
        <w:t>),</w:t>
      </w:r>
    </w:p>
    <w:p w:rsidR="00A77B3E">
      <w:pPr>
        <w:pStyle w:val="16"/>
      </w:pPr>
      <w:r>
        <w:t>d)</w:t>
      </w:r>
      <w:r>
        <w:t>   Kanceláří prezidenta republiky,</w:t>
      </w:r>
    </w:p>
    <w:p w:rsidR="00A77B3E">
      <w:pPr>
        <w:pStyle w:val="16"/>
      </w:pPr>
      <w:r>
        <w:t>e)</w:t>
      </w:r>
      <w:r>
        <w:t>   Kanceláří Senátu,</w:t>
      </w:r>
    </w:p>
    <w:p w:rsidR="00A77B3E">
      <w:pPr>
        <w:pStyle w:val="16"/>
      </w:pPr>
      <w:r>
        <w:t>f)</w:t>
      </w:r>
      <w:r>
        <w:t>   Kanceláří Poslanecké sněmovny,</w:t>
      </w:r>
    </w:p>
    <w:p w:rsidR="00A77B3E">
      <w:pPr>
        <w:pStyle w:val="16"/>
      </w:pPr>
      <w:r>
        <w:t>g)</w:t>
      </w:r>
      <w:r>
        <w:t>   Českou národní bankou,</w:t>
      </w:r>
    </w:p>
    <w:p w:rsidR="00A77B3E">
      <w:pPr>
        <w:pStyle w:val="16"/>
      </w:pPr>
      <w:r>
        <w:t>h)</w:t>
      </w:r>
      <w:r>
        <w:t>   Policejním prezidiem České republiky</w:t>
      </w:r>
      <w:r>
        <w:rPr>
          <w:vertAlign w:val="superscript"/>
        </w:rPr>
        <w:t>4</w:t>
      </w:r>
      <w:r>
        <w:t>),</w:t>
      </w:r>
    </w:p>
    <w:p w:rsidR="00A77B3E">
      <w:pPr>
        <w:pStyle w:val="16"/>
      </w:pPr>
      <w:r>
        <w:t>i)</w:t>
      </w:r>
      <w:r>
        <w:t>   útvarem Policie České republiky s celostátní působností</w:t>
      </w:r>
      <w:r>
        <w:rPr>
          <w:vertAlign w:val="superscript"/>
        </w:rPr>
        <w:t>5</w:t>
      </w:r>
      <w:r>
        <w:t>), který zajišťuje speciální policejní činnosti v oblasti odhalování nelegální migrace, letecké služby, pyrotechnické služby, kriminalistických expertíz, ochrany ústavních činitelů České republiky, dalších určených osob a chráněných objektů nebo boje proti organizovanému zločinu, terorismu a kybernetické kriminalitě,</w:t>
      </w:r>
    </w:p>
    <w:p w:rsidR="00A77B3E">
      <w:pPr>
        <w:pStyle w:val="16"/>
      </w:pPr>
      <w:r>
        <w:t>j)</w:t>
      </w:r>
      <w:r>
        <w:t>   Generální inspekcí bezpečnostních sborů a</w:t>
      </w:r>
    </w:p>
    <w:p w:rsidR="00A77B3E">
      <w:pPr>
        <w:pStyle w:val="17"/>
      </w:pPr>
      <w:r>
        <w:t>k)</w:t>
      </w:r>
      <w:r>
        <w:t xml:space="preserve">   organizační složkou státu podle § 5 písm. a) až c) zákona o hasičském záchranném sboru </w:t>
      </w:r>
      <w:r>
        <w:rPr>
          <w:vertAlign w:val="superscript"/>
        </w:rPr>
        <w:t>6</w:t>
      </w:r>
      <w:r>
        <w:t>).</w:t>
      </w:r>
    </w:p>
    <w:p w:rsidR="00A77B3E">
      <w:pPr>
        <w:pStyle w:val="14"/>
      </w:pPr>
      <w:r>
        <w:t>(2)</w:t>
      </w:r>
      <w:r>
        <w:t>   Strategicky významnou službou v odvětví energetika je</w:t>
      </w:r>
    </w:p>
    <w:p w:rsidR="00A77B3E">
      <w:pPr>
        <w:pStyle w:val="15"/>
      </w:pPr>
      <w:r>
        <w:t>a)</w:t>
      </w:r>
      <w:r>
        <w:t xml:space="preserve">   výroba elektřiny podle energetického zákona </w:t>
      </w:r>
      <w:r>
        <w:rPr>
          <w:vertAlign w:val="superscript"/>
        </w:rPr>
        <w:t>7</w:t>
      </w:r>
      <w:r>
        <w:t>) ve výrobně s celkovým instalovaným elektrickým výkonem nejméně 100 MW vykonávaná držitelem licence na výrobu elektřiny podle energetického zákona,</w:t>
      </w:r>
    </w:p>
    <w:p w:rsidR="00A77B3E">
      <w:pPr>
        <w:pStyle w:val="16"/>
      </w:pPr>
      <w:r>
        <w:t>b)</w:t>
      </w:r>
      <w:r>
        <w:t>   provoz přenosové soustavy elektřiny podle energetického zákona vykonávaný držitelem licence na přenos elektřiny podle energetického zákona,</w:t>
      </w:r>
    </w:p>
    <w:p w:rsidR="00A77B3E">
      <w:pPr>
        <w:pStyle w:val="16"/>
      </w:pPr>
      <w:r>
        <w:t>c)</w:t>
      </w:r>
      <w:r>
        <w:t>   provoz distribuční soustavy elektřiny podle energetického zákona v rozsahu služby provozu regionální distribuční soustavy elektřiny vykonávaný držitelem licence na distribuci elektřiny podle energetického zákona,</w:t>
      </w:r>
    </w:p>
    <w:p w:rsidR="00A77B3E">
      <w:pPr>
        <w:pStyle w:val="16"/>
      </w:pPr>
      <w:r>
        <w:t>d)</w:t>
      </w:r>
      <w:r>
        <w:t xml:space="preserve">   provoz ropovodu podle zákona o nouzových zásobách ropy </w:t>
      </w:r>
      <w:r>
        <w:rPr>
          <w:vertAlign w:val="superscript"/>
        </w:rPr>
        <w:t>8</w:t>
      </w:r>
      <w:r>
        <w:rPr>
          <w:vertAlign w:val="superscript"/>
        </w:rPr>
        <w:t>)</w:t>
      </w:r>
      <w:r>
        <w:t xml:space="preserve"> vykonávaný provozovatelem ropovodu podle zákona o nouzových zásobách ropy,</w:t>
      </w:r>
    </w:p>
    <w:p w:rsidR="00A77B3E">
      <w:pPr>
        <w:pStyle w:val="16"/>
      </w:pPr>
      <w:r>
        <w:t>e)</w:t>
      </w:r>
      <w:r>
        <w:t>   provoz produktovodu podle zákona o nouzových zásobách ropy vykonávaný provozovatelem produktovodu podle zákona o nouzových zásobách ropy,</w:t>
      </w:r>
    </w:p>
    <w:p w:rsidR="00A77B3E">
      <w:pPr>
        <w:pStyle w:val="16"/>
      </w:pPr>
      <w:r>
        <w:t>f)</w:t>
      </w:r>
      <w:r>
        <w:t>   provoz přepravní soustavy zemního plynu podle energetického zákona vykonávaný držitelem licence na přepravu plynu podle energetického zákona,</w:t>
      </w:r>
    </w:p>
    <w:p w:rsidR="00A77B3E">
      <w:pPr>
        <w:pStyle w:val="16"/>
      </w:pPr>
      <w:r>
        <w:t>g)</w:t>
      </w:r>
      <w:r>
        <w:t>   provoz distribuční soustavy zemního plynu podle energetického zákona v rámci celé distribuční soustavy plynu s licencovanou přenosovou kapacitou nejméně 1 000 MW vykonávaný držitelem licence na distribuci plynu podle energetického zákona,</w:t>
      </w:r>
    </w:p>
    <w:p w:rsidR="00A77B3E">
      <w:pPr>
        <w:pStyle w:val="16"/>
      </w:pPr>
      <w:r>
        <w:t>h)</w:t>
      </w:r>
      <w:r>
        <w:t>   činnost Elektroenergetického datového centra podle energetického zákona vykonávaná držitelem licence na činnost Elektroenergetického datového centra podle energetického zákona a</w:t>
      </w:r>
    </w:p>
    <w:p w:rsidR="00A77B3E">
      <w:pPr>
        <w:pStyle w:val="17"/>
      </w:pPr>
      <w:r>
        <w:t>i)</w:t>
      </w:r>
      <w:r>
        <w:t>   činnost nominovaného organizátora trhu s elektřinou podle přímo použitelného předpisu Evropské unie</w:t>
      </w:r>
      <w:r>
        <w:rPr>
          <w:vertAlign w:val="superscript"/>
        </w:rPr>
        <w:t>9</w:t>
      </w:r>
      <w:r>
        <w:t>) vykonávaná nominovaným organizátorem trhu s elektřinou podle přímo použitelného předpisu Evropské unie</w:t>
      </w:r>
      <w:r>
        <w:rPr>
          <w:vertAlign w:val="superscript"/>
        </w:rPr>
        <w:t>9</w:t>
      </w:r>
      <w:r>
        <w:t>).</w:t>
      </w:r>
    </w:p>
    <w:p w:rsidR="00A77B3E">
      <w:pPr>
        <w:pStyle w:val="14"/>
      </w:pPr>
      <w:r>
        <w:t>(3)</w:t>
      </w:r>
      <w:r>
        <w:t>   Strategicky významnou službou v odvětví doprava</w:t>
      </w:r>
    </w:p>
    <w:p w:rsidR="00A77B3E">
      <w:pPr>
        <w:pStyle w:val="15"/>
      </w:pPr>
      <w:r>
        <w:t>a)</w:t>
      </w:r>
      <w:r>
        <w:t>   jsou letové navigační služby podle přímo použitelného předpisu Evropské unie</w:t>
      </w:r>
      <w:r>
        <w:rPr>
          <w:vertAlign w:val="superscript"/>
        </w:rPr>
        <w:t>10</w:t>
      </w:r>
      <w:r>
        <w:rPr>
          <w:vertAlign w:val="superscript"/>
        </w:rPr>
        <w:t>)</w:t>
      </w:r>
      <w:r>
        <w:t xml:space="preserve"> v rozsahu služby řízení letového provozu ve vzdušném prostoru České republiky vykonávané provozovatelem služby řízení letového provozu podle přímo použitelného předpisu Evropské unie</w:t>
      </w:r>
      <w:r>
        <w:rPr>
          <w:vertAlign w:val="superscript"/>
        </w:rPr>
        <w:t>10</w:t>
      </w:r>
      <w:r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v převážné části vzdušného prostoru České republiky,</w:t>
      </w:r>
    </w:p>
    <w:p w:rsidR="00A77B3E">
      <w:pPr>
        <w:pStyle w:val="16"/>
      </w:pPr>
      <w:r>
        <w:t>b)</w:t>
      </w:r>
      <w:r>
        <w:t>   jsou letové navigační služby podle přímo použitelného předpisu Evropské unie</w:t>
      </w:r>
      <w:r>
        <w:rPr>
          <w:vertAlign w:val="superscript"/>
        </w:rPr>
        <w:t>10</w:t>
      </w:r>
      <w:r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v rozsahu meteorologických služeb vykonávaných určeným a osvědčeným poskytovatelem meteorologických služeb podle přímo použitelného předpisu Evropské unie</w:t>
      </w:r>
      <w:r>
        <w:rPr>
          <w:vertAlign w:val="superscript"/>
        </w:rPr>
        <w:t>11</w:t>
      </w:r>
      <w:r>
        <w:rPr>
          <w:vertAlign w:val="superscript"/>
        </w:rPr>
        <w:t>)</w:t>
      </w:r>
      <w:r>
        <w:t xml:space="preserve"> s působností pro poskytování meteorologických informací pro potřeby letectví v celé České republice,</w:t>
      </w:r>
    </w:p>
    <w:p w:rsidR="00A77B3E">
      <w:pPr>
        <w:pStyle w:val="17"/>
      </w:pPr>
      <w:r>
        <w:t>c)</w:t>
      </w:r>
      <w:r>
        <w:t>   je provozování železniční dopravní cesty podle zákona upravujícího správu železniční dopravní cesty</w:t>
      </w:r>
      <w:r>
        <w:rPr>
          <w:vertAlign w:val="superscript"/>
        </w:rPr>
        <w:t>12</w:t>
      </w:r>
      <w:r>
        <w:rPr>
          <w:vertAlign w:val="superscript"/>
        </w:rPr>
        <w:t>)</w:t>
      </w:r>
      <w:r>
        <w:t xml:space="preserve"> vykonávané provozovatelem železniční dopravní cesty.</w:t>
      </w:r>
    </w:p>
    <w:p w:rsidR="00A77B3E">
      <w:pPr>
        <w:pStyle w:val="14"/>
      </w:pPr>
      <w:r>
        <w:t>(4)</w:t>
      </w:r>
      <w:r>
        <w:t>   Strategicky významnou službou v odvětví digitální infrastruktura a služby je</w:t>
      </w:r>
    </w:p>
    <w:p w:rsidR="00A77B3E">
      <w:pPr>
        <w:pStyle w:val="15"/>
      </w:pPr>
      <w:r>
        <w:t>a)</w:t>
      </w:r>
      <w:r>
        <w:t xml:space="preserve">   poskytování veřejně dostupné služby elektronických komunikací podle zákona o elektronických komunikacích </w:t>
      </w:r>
      <w:r>
        <w:rPr>
          <w:vertAlign w:val="superscript"/>
        </w:rPr>
        <w:t>13</w:t>
      </w:r>
      <w:r>
        <w:t>)</w:t>
      </w:r>
      <w:r>
        <w:rPr>
          <w:vertAlign w:val="superscript"/>
        </w:rPr>
        <w:t xml:space="preserve"> </w:t>
      </w:r>
      <w:r>
        <w:t>v rozsahu služeb přístupu k internetu a interpersonálních komunikačních služeb vykonávané osobou poskytující veřejně dostupnou službu elektronických komunikací podle zákona o elektronických komunikacích skrze nejméně 350 000 aktivních mobilních SIM karet nebo nejméně 100 000 aktivních pevných internetových přípojek na území České republiky,</w:t>
      </w:r>
    </w:p>
    <w:p w:rsidR="00A77B3E">
      <w:pPr>
        <w:pStyle w:val="16"/>
      </w:pPr>
      <w:r>
        <w:t>b)</w:t>
      </w:r>
      <w:r>
        <w:t>   zajišťování veřejné komunikační sítě podle zákona o elektronických komunikacích vykonávané osobou poskytující veřejně dostupnou službu elektronických komunikací podle zákona o elektronických komunikacích skrze nejméně 350 000 aktivních mobilních SIM karet nebo nejméně 100 000 aktivních pevných internetových přípojek na území České republiky,</w:t>
      </w:r>
    </w:p>
    <w:p w:rsidR="00A77B3E">
      <w:pPr>
        <w:pStyle w:val="16"/>
      </w:pPr>
      <w:r>
        <w:t>c)</w:t>
      </w:r>
      <w:r>
        <w:t>   správa a provoz registru domény nejvyšší úrovně vykonávaná osobou spravující a provozující registr domény nejvyšší úrovně,</w:t>
      </w:r>
    </w:p>
    <w:p w:rsidR="00A77B3E">
      <w:pPr>
        <w:pStyle w:val="17"/>
      </w:pPr>
      <w:r>
        <w:t>d)</w:t>
      </w:r>
      <w:r>
        <w:t>   poskytování služby cloud computingu zařazeného do nejvyšší bezpečnostní úrovně vykonávané poskytovatelem státního cloud computingu podle zákona o informačních systémech veřejné správy</w:t>
      </w:r>
      <w:r>
        <w:rPr>
          <w:vertAlign w:val="superscript"/>
        </w:rPr>
        <w:t>14</w:t>
      </w:r>
      <w:r>
        <w:rPr>
          <w:vertAlign w:val="superscript"/>
        </w:rPr>
        <w:t>)</w:t>
      </w:r>
      <w:r>
        <w:t>.</w:t>
      </w:r>
    </w:p>
    <w:p w:rsidR="00A77B3E">
      <w:pPr>
        <w:pStyle w:val="1"/>
      </w:pPr>
    </w:p>
    <w:p w:rsidR="00A77B3E">
      <w:pPr>
        <w:pStyle w:val="12"/>
      </w:pPr>
      <w:r>
        <w:t>Příloha č. 2</w:t>
      </w:r>
    </w:p>
    <w:p w:rsidR="00A77B3E">
      <w:pPr>
        <w:pStyle w:val="13"/>
      </w:pPr>
      <w:r>
        <w:t>Stanovení nezbytného rozsahu dostupnosti strategicky významných služeb</w:t>
      </w:r>
    </w:p>
    <w:p w:rsidR="00A77B3E">
      <w:pPr>
        <w:pStyle w:val="14"/>
      </w:pPr>
      <w:r>
        <w:t>(1)</w:t>
      </w:r>
      <w:r>
        <w:t>   V odvětví veřejná správa tvoří nezbytný rozsah strategicky významné služby podle přílohy č. 1 odst. 1 k tomuto nařízení taková část strategicky významné služby, jejíž nedostupnost by mohla</w:t>
      </w:r>
    </w:p>
    <w:p w:rsidR="00A77B3E">
      <w:pPr>
        <w:pStyle w:val="15"/>
      </w:pPr>
      <w:r>
        <w:t>a)</w:t>
      </w:r>
      <w:r>
        <w:t>   vést ke zranění více než 2 500 lidí nebo k přímému ohrožení nebo ztrátě života více než 250 lidí,</w:t>
      </w:r>
    </w:p>
    <w:p w:rsidR="00A77B3E">
      <w:pPr>
        <w:pStyle w:val="16"/>
      </w:pPr>
      <w:r>
        <w:t>b)</w:t>
      </w:r>
      <w:r>
        <w:t>   vést k závažnému a dlouhodobému narušení schopnosti vyšetřovat trestnou činnost nebo ke zpochybnění zákonnosti trestního řízení,</w:t>
      </w:r>
    </w:p>
    <w:p w:rsidR="00A77B3E">
      <w:pPr>
        <w:pStyle w:val="16"/>
      </w:pPr>
      <w:r>
        <w:t>c)</w:t>
      </w:r>
      <w:r>
        <w:t>   zapříčinit hromadné nepokoje nebo jinak závažně narušit veřejný pořádek s celostátními dopady,</w:t>
      </w:r>
    </w:p>
    <w:p w:rsidR="00A77B3E">
      <w:pPr>
        <w:pStyle w:val="16"/>
      </w:pPr>
      <w:r>
        <w:t>d)</w:t>
      </w:r>
      <w:r>
        <w:t>   negativně ovlivnit diplomatické vztahy České republiky,</w:t>
      </w:r>
    </w:p>
    <w:p w:rsidR="00A77B3E">
      <w:pPr>
        <w:pStyle w:val="16"/>
      </w:pPr>
      <w:r>
        <w:t>e)</w:t>
      </w:r>
      <w:r>
        <w:t>   negativně ovlivnit vztahy s jinými orgány a osobami nebo vztahy s veřejností a současně negativní následky mohou být dlouhodobé a s mezinárodním prvkem,</w:t>
      </w:r>
    </w:p>
    <w:p w:rsidR="00A77B3E">
      <w:pPr>
        <w:pStyle w:val="16"/>
      </w:pPr>
      <w:r>
        <w:t>f)</w:t>
      </w:r>
      <w:r>
        <w:t>   vést k finančním ztrátám vyšším než 10 % běžných výdajů ročního rozpočtu orgánu veřejné správy, nejméně však 10 000 000 Kč,</w:t>
      </w:r>
    </w:p>
    <w:p w:rsidR="00A77B3E">
      <w:pPr>
        <w:pStyle w:val="16"/>
      </w:pPr>
      <w:r>
        <w:t>g)</w:t>
      </w:r>
      <w:r>
        <w:t>   způsobit hospodářské ztráty České republiky vyšší než 0,5 % hrubého domácího produktu,</w:t>
      </w:r>
    </w:p>
    <w:p w:rsidR="00A77B3E">
      <w:pPr>
        <w:pStyle w:val="16"/>
      </w:pPr>
      <w:r>
        <w:t>h)</w:t>
      </w:r>
      <w:r>
        <w:t>   způsobit rozsáhlé omezení poskytování nezbytných služeb nebo jiný závažný zásah do každodenního života postihující více než 125 000 lidí, nebo</w:t>
      </w:r>
    </w:p>
    <w:p w:rsidR="00A77B3E">
      <w:pPr>
        <w:pStyle w:val="17"/>
      </w:pPr>
      <w:r>
        <w:t>i)</w:t>
      </w:r>
      <w:r>
        <w:t>   vést k závažnému a dlouhodobému narušení schopnosti výkonu činnosti integrovaného záchranného systému.</w:t>
      </w:r>
    </w:p>
    <w:p w:rsidR="00A77B3E">
      <w:pPr>
        <w:pStyle w:val="14"/>
      </w:pPr>
      <w:r>
        <w:t>(2)</w:t>
      </w:r>
      <w:r>
        <w:t>   V odvětví energetika je nezbytný rozsah strategicky významné služby tvořen u</w:t>
      </w:r>
    </w:p>
    <w:p w:rsidR="00A77B3E">
      <w:pPr>
        <w:pStyle w:val="15"/>
      </w:pPr>
      <w:r>
        <w:t>a)</w:t>
      </w:r>
      <w:r>
        <w:t>   výroby elektřiny podle přílohy č. 1 odst. 2 písm. a) k tomuto nařízení celým rozsahem této strategicky významné služby,</w:t>
      </w:r>
    </w:p>
    <w:p w:rsidR="00A77B3E">
      <w:pPr>
        <w:pStyle w:val="16"/>
      </w:pPr>
      <w:r>
        <w:t>b)</w:t>
      </w:r>
      <w:r>
        <w:t>   provozu přenosové soustavy elektřiny podle přílohy č. 1 odst. 2 písm. b) k tomuto nařízení celým rozsahem této strategicky významné služby,</w:t>
      </w:r>
    </w:p>
    <w:p w:rsidR="00A77B3E">
      <w:pPr>
        <w:pStyle w:val="16"/>
      </w:pPr>
      <w:r>
        <w:t>c)</w:t>
      </w:r>
      <w:r>
        <w:t>   provozu regionální distribuční soustavy elektřiny podle přílohy č. 1 odst. 2 písm. c) k tomuto nařízení celým rozsahem této strategicky významné služby,</w:t>
      </w:r>
    </w:p>
    <w:p w:rsidR="00A77B3E">
      <w:pPr>
        <w:pStyle w:val="16"/>
      </w:pPr>
      <w:r>
        <w:t>d)</w:t>
      </w:r>
      <w:r>
        <w:t>   provozu ropovodu podle přílohy č. 1 odst. 2 písm. d) k tomuto nařízení provozem tranzitního ropovodu se jmenovitým průměrem nejméně 500 mm nebo vnitrostátního ropovodu se jmenovitým průměrem nejméně 200 mm,</w:t>
      </w:r>
    </w:p>
    <w:p w:rsidR="00A77B3E">
      <w:pPr>
        <w:pStyle w:val="16"/>
      </w:pPr>
      <w:r>
        <w:t>e)</w:t>
      </w:r>
      <w:r>
        <w:t>   provozu produktovodu podle přílohy č. 1 odst. 2 písm. e) k tomuto nařízení provozem produktovodu se jmenovitým průměrem nejméně 200 mm,</w:t>
      </w:r>
    </w:p>
    <w:p w:rsidR="00A77B3E">
      <w:pPr>
        <w:pStyle w:val="16"/>
      </w:pPr>
      <w:r>
        <w:t>f)</w:t>
      </w:r>
      <w:r>
        <w:t>   provozu přepravní soustavy zemního plynu podle přílohy č. 1 odst. 2 písm. f) k tomuto nařízení celým rozsahem této strategicky významné služby,</w:t>
      </w:r>
    </w:p>
    <w:p w:rsidR="00A77B3E">
      <w:pPr>
        <w:pStyle w:val="16"/>
      </w:pPr>
      <w:r>
        <w:t>g)</w:t>
      </w:r>
      <w:r>
        <w:t>   provozu distribuční soustavy zemního plynu podle přílohy č. 1 odst. 2 písm. g) k tomuto nařízení provozem distribuční soustavy zemního plynu v rámci vysokotlakého a středotlakého plynovodu,</w:t>
      </w:r>
    </w:p>
    <w:p w:rsidR="00A77B3E">
      <w:pPr>
        <w:pStyle w:val="16"/>
      </w:pPr>
      <w:r>
        <w:t>h)</w:t>
      </w:r>
      <w:r>
        <w:t>   činnosti Elektroenergetického datového centra podle přílohy č. 1 odst. 2 písm. h) k tomuto nařízení celým rozsahem této strategicky významné služby,</w:t>
      </w:r>
    </w:p>
    <w:p w:rsidR="00A77B3E">
      <w:pPr>
        <w:pStyle w:val="17"/>
      </w:pPr>
      <w:r>
        <w:t>i)</w:t>
      </w:r>
      <w:r>
        <w:t>   činnosti nominovaného organizátora trhu s elektřinou podle příloha č. 1 označení přílohy č. 1 odst. 2 písm. i) k tomuto nařízení celým rozsahem této strategicky významné služby.</w:t>
      </w:r>
    </w:p>
    <w:p w:rsidR="00A77B3E">
      <w:pPr>
        <w:pStyle w:val="14"/>
      </w:pPr>
      <w:r>
        <w:t>(3)</w:t>
      </w:r>
      <w:r>
        <w:t>   V odvětví doprava je nezbytný rozsah strategicky významné služby tvořen u</w:t>
      </w:r>
    </w:p>
    <w:p w:rsidR="00A77B3E">
      <w:pPr>
        <w:pStyle w:val="15"/>
      </w:pPr>
      <w:r>
        <w:t>a)</w:t>
      </w:r>
      <w:r>
        <w:t>   provozu služby řízení letového provozu podle přílohy č. 1 odst. 3 písm. a) k tomuto nařízení celým rozsahem této strategicky významné služby,</w:t>
      </w:r>
    </w:p>
    <w:p w:rsidR="00A77B3E">
      <w:pPr>
        <w:pStyle w:val="16"/>
      </w:pPr>
      <w:r>
        <w:t>b)</w:t>
      </w:r>
      <w:r>
        <w:t>   poskytování meteorologických služeb podle přílohy č. 1 odst. 3 písm. b) k tomuto nařízení celým rozsahem této strategicky významné služby,</w:t>
      </w:r>
    </w:p>
    <w:p w:rsidR="00A77B3E">
      <w:pPr>
        <w:pStyle w:val="17"/>
      </w:pPr>
      <w:r>
        <w:t>c)</w:t>
      </w:r>
      <w:r>
        <w:t>   poskytování služby provozování železniční dopravní cesty podle přílohy č. 1 odst. 3 písm. c) k tomuto nařízení celým rozsahem této strategicky významné služby.</w:t>
      </w:r>
    </w:p>
    <w:p w:rsidR="00A77B3E">
      <w:pPr>
        <w:pStyle w:val="14"/>
      </w:pPr>
      <w:r>
        <w:t>(4)</w:t>
      </w:r>
      <w:r>
        <w:t>   V odvětví digitální infrastruktura a služby je nezbytný rozsah strategicky významné služby tvořen u</w:t>
      </w:r>
    </w:p>
    <w:p w:rsidR="00A77B3E">
      <w:pPr>
        <w:pStyle w:val="15"/>
      </w:pPr>
      <w:r>
        <w:t>a)</w:t>
      </w:r>
      <w:r>
        <w:t>   poskytování veřejně dostupné služby elektronických komunikací podle přílohy č. 1 odst. 4 písm. a) k tomuto nařízení celým rozsahem této strategicky významné služby,</w:t>
      </w:r>
    </w:p>
    <w:p w:rsidR="00A77B3E">
      <w:pPr>
        <w:pStyle w:val="16"/>
      </w:pPr>
      <w:r>
        <w:t>b)</w:t>
      </w:r>
      <w:r>
        <w:t>   zajišťování veřejné komunikační sítě elektronických komunikací podle přílohy č. 1 odst. 4 písm. b) k tomuto nařízení celým rozsahem této strategicky významné služby,</w:t>
      </w:r>
    </w:p>
    <w:p w:rsidR="00A77B3E">
      <w:pPr>
        <w:pStyle w:val="16"/>
      </w:pPr>
      <w:r>
        <w:t>c)</w:t>
      </w:r>
      <w:r>
        <w:t>   správy a provozu registru domény nejvyšší úrovně podle přílohy č. 1 odst. 4 písm. c) k tomuto nařízení celým rozsahem této strategicky významné služby,</w:t>
      </w:r>
    </w:p>
    <w:p w:rsidR="00A77B3E">
      <w:pPr>
        <w:pStyle w:val="17"/>
      </w:pPr>
      <w:r>
        <w:t>d)</w:t>
      </w:r>
      <w:r>
        <w:t>   poskytování služby cloud computingu nejvyšší bezpečnostní úrovně vykonávané poskytovatelem státního cloud computingu podle zákona o informačních systémech veřejné správy</w:t>
      </w:r>
      <w:r>
        <w:rPr>
          <w:vertAlign w:val="superscript"/>
        </w:rPr>
        <w:t>15</w:t>
      </w:r>
      <w:r>
        <w:rPr>
          <w:vertAlign w:val="superscript"/>
        </w:rPr>
        <w:t>)</w:t>
      </w:r>
      <w:r>
        <w:t xml:space="preserve"> podle přílohy č. 1 odst. 4 písm. d) k tomuto nařízení celým rozsahem této strategicky významné služby.</w:t>
      </w:r>
    </w:p>
    <w:p w:rsidR="00A77B3E">
      <w:pPr>
        <w:pStyle w:val="18"/>
      </w:pPr>
    </w:p>
    <w:p w:rsidR="00A77B3E">
      <w:pPr>
        <w:pStyle w:val="19"/>
      </w:pPr>
      <w:r>
        <w:rPr>
          <w:vertAlign w:val="superscript"/>
        </w:rPr>
        <w:t>1</w:t>
      </w:r>
      <w:r>
        <w:t>)</w:t>
      </w:r>
      <w:r>
        <w:t>   § 28 zákona č. 150/2002 Sb., soudní řád správní, ve vyhlášeném znění, soudního řádu správního, ve znění pozdějších předpisů.</w:t>
      </w:r>
    </w:p>
    <w:p w:rsidR="00A77B3E">
      <w:pPr>
        <w:pStyle w:val="20"/>
      </w:pPr>
      <w:r>
        <w:rPr>
          <w:vertAlign w:val="superscript"/>
        </w:rPr>
        <w:t>2</w:t>
      </w:r>
      <w:r>
        <w:t>)</w:t>
      </w:r>
      <w:r>
        <w:t>   § 123 odst. 1 písm. l) zákona č. 6/2002 Sb., o soudech, soudcích, přísedících a státní správě soudů a o změně některých dalších zákonů, ve znění pozdějších předpisů.</w:t>
      </w:r>
    </w:p>
    <w:p w:rsidR="00A77B3E">
      <w:pPr>
        <w:pStyle w:val="20"/>
      </w:pPr>
      <w:r>
        <w:rPr>
          <w:vertAlign w:val="superscript"/>
        </w:rPr>
        <w:t>3</w:t>
      </w:r>
      <w:r>
        <w:t>)</w:t>
      </w:r>
      <w:r>
        <w:t>   § 13d písm. m) zákona č. 283/1993 Sb., o státním zastupitelství, ve znění pozdějších předpisů.</w:t>
      </w:r>
    </w:p>
    <w:p w:rsidR="00A77B3E">
      <w:pPr>
        <w:pStyle w:val="20"/>
      </w:pPr>
      <w:r>
        <w:rPr>
          <w:vertAlign w:val="superscript"/>
        </w:rPr>
        <w:t>4</w:t>
      </w:r>
      <w:r>
        <w:t>)</w:t>
      </w:r>
      <w:r>
        <w:t>   § 6 odst. 1 písm. a) zákona č. 273/2008 Sb., o Policii České republiky, ve znění pozdějších předpisů.</w:t>
      </w:r>
    </w:p>
    <w:p w:rsidR="00A77B3E">
      <w:pPr>
        <w:pStyle w:val="20"/>
      </w:pPr>
      <w:r>
        <w:rPr>
          <w:vertAlign w:val="superscript"/>
        </w:rPr>
        <w:t>5</w:t>
      </w:r>
      <w:r>
        <w:t>)</w:t>
      </w:r>
      <w:r>
        <w:t>   § 6 odst. 1 písm. b) zákona č. 273/2008 Sb., o Policii České republiky, ve znění pozdějších předpisů.</w:t>
      </w:r>
    </w:p>
    <w:p w:rsidR="00A77B3E">
      <w:pPr>
        <w:pStyle w:val="20"/>
      </w:pPr>
      <w:r>
        <w:rPr>
          <w:vertAlign w:val="superscript"/>
        </w:rPr>
        <w:t>6</w:t>
      </w:r>
      <w:r>
        <w:t>)</w:t>
      </w:r>
      <w:r>
        <w:t>   Zákon č. 320/2015 Sb. , o Hasičském záchranném sboru České republiky a o změně některých zákonů (zákon o hasičském záchranném sboru) , ve znění pozdějších předpisů.</w:t>
      </w:r>
    </w:p>
    <w:p w:rsidR="00A77B3E">
      <w:pPr>
        <w:pStyle w:val="20"/>
      </w:pPr>
      <w:r>
        <w:rPr>
          <w:vertAlign w:val="superscript"/>
        </w:rPr>
        <w:t>7</w:t>
      </w:r>
      <w:r>
        <w:t>)</w:t>
      </w:r>
      <w:r>
        <w:t>   Zákon č. 458/2000 Sb., o podmínkách podnikání a o výkonu státní správy v energetických odvětvích a o změně některých zákonů (energetický zákon), ve znění pozdějších předpisů.</w:t>
      </w:r>
    </w:p>
    <w:p w:rsidR="00A77B3E">
      <w:pPr>
        <w:pStyle w:val="20"/>
      </w:pPr>
      <w:r>
        <w:rPr>
          <w:vertAlign w:val="superscript"/>
        </w:rPr>
        <w:t>8</w:t>
      </w:r>
      <w:r>
        <w:t>)</w:t>
      </w:r>
      <w:r>
        <w:t>   Zákon č. 189/1999 Sb., o nouzových zásobách ropy, o řešení stavů ropné nouze a o změně některých souvisejících zákonů (zákon o nouzových zásobách ropy), ve znění pozdějších předpisů.</w:t>
      </w:r>
    </w:p>
    <w:p w:rsidR="00A77B3E">
      <w:pPr>
        <w:pStyle w:val="20"/>
      </w:pPr>
      <w:r>
        <w:rPr>
          <w:vertAlign w:val="superscript"/>
        </w:rPr>
        <w:t>9</w:t>
      </w:r>
      <w:r>
        <w:t>)</w:t>
      </w:r>
      <w:r>
        <w:t>   Článek 2 bod 8 nařízení Evropského parlamentu a Rady (EU) 2019/943 ze dne 5. června 2019 o vnitřním trhu s elektřinou, v platném znění.</w:t>
      </w:r>
    </w:p>
    <w:p w:rsidR="00A77B3E">
      <w:pPr>
        <w:pStyle w:val="20"/>
      </w:pPr>
      <w:r>
        <w:rPr>
          <w:vertAlign w:val="superscript"/>
        </w:rPr>
        <w:t>10</w:t>
      </w:r>
      <w:r>
        <w:t>)</w:t>
      </w:r>
      <w:r>
        <w:t>   Nařízení Evropského parlamentu a Rady (ES) č. 549/2004 ze dne 10. března 2004 , kterým se stanoví rámec pro vytvoření jednotného evropského nebe, v platném znění.</w:t>
      </w:r>
    </w:p>
    <w:p w:rsidR="00A77B3E">
      <w:pPr>
        <w:pStyle w:val="20"/>
      </w:pPr>
      <w:r>
        <w:rPr>
          <w:vertAlign w:val="superscript"/>
        </w:rPr>
        <w:t>11</w:t>
      </w:r>
      <w:r>
        <w:t>)</w:t>
      </w:r>
      <w:r>
        <w:t>   Kapitola II čl. 7 a 9 nařízení Evropského parlamentu a Rady (ES) č. 550/2004 ze dne 10. března 2004, o poskytování letových navigačních služeb v jednotném evropském nebi, v platném znění.</w:t>
      </w:r>
    </w:p>
    <w:p w:rsidR="00A77B3E">
      <w:pPr>
        <w:pStyle w:val="20"/>
      </w:pPr>
      <w:r>
        <w:rPr>
          <w:vertAlign w:val="superscript"/>
        </w:rPr>
        <w:t>12</w:t>
      </w:r>
      <w:r>
        <w:t>)</w:t>
      </w:r>
      <w:r>
        <w:t>   Zákon č. 77/2002 Sb., o akciové společnosti České dráhy, státní organizaci Správa železnic a o změně zákona č. 266/1994 Sb., o dráhách, ve znění pozdějších předpisů, a zákona č. 77/1997 Sb., o státním podniku, ve znění pozdějších předpisů.</w:t>
      </w:r>
    </w:p>
    <w:p w:rsidR="00A77B3E">
      <w:pPr>
        <w:pStyle w:val="20"/>
      </w:pPr>
      <w:r>
        <w:rPr>
          <w:vertAlign w:val="superscript"/>
        </w:rPr>
        <w:t>13</w:t>
      </w:r>
      <w:r>
        <w:t>)</w:t>
      </w:r>
      <w:r>
        <w:t>   Zákon č. 127/2005 Sb., o elektronických komunikacích a o změně některých souvisejících zákonů (zákon o elektronických komunikacích), ve znění pozdějších předpisů.</w:t>
      </w:r>
    </w:p>
    <w:p w:rsidR="00A77B3E">
      <w:pPr>
        <w:pStyle w:val="20"/>
      </w:pPr>
      <w:r>
        <w:rPr>
          <w:vertAlign w:val="superscript"/>
        </w:rPr>
        <w:t>14</w:t>
      </w:r>
      <w:r>
        <w:t>)</w:t>
      </w:r>
      <w:r>
        <w:t>   Zákon č. 365/2000 Sb., o informačních systémech veřejné správy a o změně některých zákonů, ve znění pozdějších předpisů.</w:t>
      </w:r>
    </w:p>
    <w:p w:rsidR="00A77B3E">
      <w:pPr>
        <w:pStyle w:val="21"/>
      </w:pPr>
      <w:r>
        <w:rPr>
          <w:vertAlign w:val="superscript"/>
        </w:rPr>
        <w:t>15</w:t>
      </w:r>
      <w:r>
        <w:t>)</w:t>
      </w:r>
      <w:r>
        <w:t>   § 6i odst. 1 písm. a) zákona č. 365/2000 Sb., o informačních systémech veřejné správy a o změně některých dalších zákonů, ve znění pozdějších předpisů.</w:t>
      </w:r>
    </w:p>
    <w:sectPr>
      <w:headerReference w:type="even" r:id="rId4"/>
      <w:headerReference w:type="default" r:id="rId5"/>
      <w:pgSz w:w="12240" w:h="15840"/>
      <w:pgMar w:top="1417" w:right="1417" w:bottom="1417" w:left="1417" w:header="400" w:footer="708" w:gutter="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9406"/>
    </w:tblGrid>
    <w:tr>
      <w:tblPrEx>
        <w:tblW w:w="5000" w:type="pct"/>
      </w:tblPrEx>
      <w:tc>
        <w:tcPr/>
        <w:p>
          <w:pPr>
            <w:pStyle w:val="HlavickaZlutyText"/>
            <w:jc w:val="left"/>
          </w:pPr>
        </w:p>
      </w:tc>
    </w:tr>
    <w:tr>
      <w:tblPrEx>
        <w:tblW w:w="5000" w:type="pct"/>
      </w:tblPrEx>
      <w:tc>
        <w:tcPr/>
        <w:p>
          <w:pPr>
            <w:pStyle w:val="Hlavicka"/>
            <w:jc w:val="center"/>
          </w:pPr>
        </w:p>
      </w:tc>
    </w:tr>
  </w:tbl>
  <w:p>
    <w:pPr>
      <w:pStyle w:val="Hlavic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108" w:type="dxa"/>
        <w:right w:w="108" w:type="dxa"/>
      </w:tblCellMar>
    </w:tblPr>
    <w:tblGrid>
      <w:gridCol w:w="9406"/>
    </w:tblGrid>
    <w:tr>
      <w:tblPrEx>
        <w:tblW w:w="5000" w:type="pct"/>
      </w:tblPrEx>
      <w:tc>
        <w:tcPr/>
        <w:p>
          <w:pPr>
            <w:pStyle w:val="HlavickaZlutyText"/>
            <w:jc w:val="right"/>
          </w:pPr>
        </w:p>
      </w:tc>
    </w:tr>
    <w:tr>
      <w:tblPrEx>
        <w:tblW w:w="5000" w:type="pct"/>
      </w:tblPrEx>
      <w:tc>
        <w:tcPr/>
        <w:p>
          <w:pPr>
            <w:pStyle w:val="Hlavicka"/>
            <w:jc w:val="left"/>
          </w:pPr>
        </w:p>
      </w:tc>
    </w:tr>
  </w:tbl>
  <w:p>
    <w:pPr>
      <w:pStyle w:val="Hlavic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evenAndOddHeader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lavicka">
    <w:name w:val="Hlavicka"/>
    <w:rPr>
      <w:i/>
      <w:sz w:val="20"/>
    </w:rPr>
  </w:style>
  <w:style w:type="paragraph" w:customStyle="1" w:styleId="HlavickaZlutyText">
    <w:name w:val="HlavickaZlutyText"/>
    <w:rPr>
      <w:i w:val="0"/>
      <w:sz w:val="18"/>
    </w:rPr>
  </w:style>
  <w:style w:type="paragraph" w:customStyle="1" w:styleId="Variantastart">
    <w:name w:val="Varianta_start"/>
    <w:pPr>
      <w:pBdr>
        <w:top w:val="single" w:sz="8" w:space="0" w:color="800080"/>
      </w:pBdr>
      <w:spacing w:before="0" w:after="100"/>
      <w:jc w:val="left"/>
    </w:pPr>
    <w:rPr>
      <w:rFonts w:ascii="Times New Roman" w:eastAsia="Times New Roman" w:hAnsi="Times New Roman" w:cs="Times New Roman"/>
      <w:b/>
      <w:i/>
      <w:color w:val="800080"/>
      <w:sz w:val="20"/>
    </w:rPr>
  </w:style>
  <w:style w:type="paragraph" w:customStyle="1" w:styleId="Variantakonec">
    <w:name w:val="Varianta_konec"/>
    <w:pPr>
      <w:pBdr>
        <w:bottom w:val="single" w:sz="8" w:space="0" w:color="800080"/>
      </w:pBdr>
      <w:spacing w:before="0" w:after="100"/>
      <w:jc w:val="left"/>
    </w:pPr>
    <w:rPr>
      <w:rFonts w:ascii="Times New Roman" w:eastAsia="Times New Roman" w:hAnsi="Times New Roman" w:cs="Times New Roman"/>
      <w:b/>
      <w:i/>
      <w:color w:val="800080"/>
      <w:sz w:val="20"/>
    </w:rPr>
  </w:style>
  <w:style w:type="paragraph" w:customStyle="1" w:styleId="Ucinnoststart">
    <w:name w:val="Ucinnost_start"/>
    <w:pPr>
      <w:pBdr>
        <w:top w:val="single" w:sz="8" w:space="0" w:color="8B0000"/>
      </w:pBdr>
      <w:spacing w:before="0" w:after="100"/>
      <w:jc w:val="left"/>
    </w:pPr>
    <w:rPr>
      <w:rFonts w:ascii="Times New Roman" w:eastAsia="Times New Roman" w:hAnsi="Times New Roman" w:cs="Times New Roman"/>
      <w:b/>
      <w:i/>
      <w:color w:val="8B0000"/>
      <w:sz w:val="20"/>
    </w:rPr>
  </w:style>
  <w:style w:type="paragraph" w:customStyle="1" w:styleId="Ucinnostkonec">
    <w:name w:val="Ucinnost_konec"/>
    <w:pPr>
      <w:pBdr>
        <w:bottom w:val="single" w:sz="8" w:space="0" w:color="8B0000"/>
      </w:pBdr>
      <w:spacing w:before="0" w:after="100"/>
      <w:jc w:val="left"/>
    </w:pPr>
    <w:rPr>
      <w:rFonts w:ascii="Times New Roman" w:eastAsia="Times New Roman" w:hAnsi="Times New Roman" w:cs="Times New Roman"/>
      <w:b/>
      <w:i/>
      <w:color w:val="8B0000"/>
      <w:sz w:val="20"/>
    </w:rPr>
  </w:style>
  <w:style w:type="paragraph" w:customStyle="1" w:styleId="Celex">
    <w:name w:val="Celex"/>
    <w:pPr>
      <w:spacing w:before="120" w:after="120"/>
      <w:jc w:val="left"/>
    </w:pPr>
    <w:rPr>
      <w:rFonts w:ascii="Times New Roman" w:eastAsia="Times New Roman" w:hAnsi="Times New Roman" w:cs="Times New Roman"/>
      <w:i/>
      <w:sz w:val="20"/>
    </w:rPr>
  </w:style>
  <w:style w:type="paragraph" w:customStyle="1" w:styleId="Pripominkystart">
    <w:name w:val="Pripominky_start"/>
    <w:pPr>
      <w:pBdr>
        <w:top w:val="single" w:sz="8" w:space="0" w:color="87CEFA"/>
      </w:pBdr>
      <w:spacing w:before="0" w:after="100"/>
      <w:jc w:val="right"/>
    </w:pPr>
    <w:rPr>
      <w:rFonts w:ascii="Times New Roman" w:eastAsia="Times New Roman" w:hAnsi="Times New Roman" w:cs="Times New Roman"/>
      <w:b/>
      <w:i/>
      <w:color w:val="87CEFA"/>
      <w:sz w:val="20"/>
    </w:rPr>
  </w:style>
  <w:style w:type="paragraph" w:customStyle="1" w:styleId="1">
    <w:name w:val="1"/>
    <w:pPr>
      <w:spacing w:before="11" w:after="0"/>
      <w:ind w:right="0"/>
      <w:jc w:val="left"/>
    </w:pPr>
    <w:rPr>
      <w:rFonts w:ascii="Times New Roman" w:eastAsia="Times New Roman" w:hAnsi="Times New Roman" w:cs="Times New Roman"/>
      <w:sz w:val="0"/>
    </w:rPr>
  </w:style>
  <w:style w:type="paragraph" w:customStyle="1" w:styleId="2">
    <w:name w:val="2"/>
    <w:pPr>
      <w:spacing w:before="57" w:after="227"/>
      <w:ind w:right="0"/>
      <w:jc w:val="center"/>
    </w:pPr>
    <w:rPr>
      <w:rFonts w:ascii="Times New Roman" w:eastAsia="Times New Roman" w:hAnsi="Times New Roman" w:cs="Times New Roman"/>
      <w:b/>
      <w:sz w:val="32"/>
    </w:rPr>
  </w:style>
  <w:style w:type="paragraph" w:customStyle="1" w:styleId="3">
    <w:name w:val="3"/>
    <w:pPr>
      <w:spacing w:before="0" w:after="0"/>
      <w:ind w:left="680" w:right="680"/>
      <w:jc w:val="center"/>
    </w:pPr>
    <w:rPr>
      <w:rFonts w:ascii="Times New Roman" w:eastAsia="Times New Roman" w:hAnsi="Times New Roman" w:cs="Times New Roman"/>
      <w:b/>
      <w:caps/>
      <w:sz w:val="32"/>
    </w:rPr>
  </w:style>
  <w:style w:type="paragraph" w:customStyle="1" w:styleId="4">
    <w:name w:val="4"/>
    <w:pPr>
      <w:spacing w:before="0" w:after="170"/>
      <w:ind w:left="850" w:right="850"/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5">
    <w:name w:val="5"/>
    <w:pPr>
      <w:spacing w:before="340" w:after="113"/>
      <w:ind w:left="850" w:right="850"/>
      <w:jc w:val="center"/>
    </w:pPr>
    <w:rPr>
      <w:rFonts w:ascii="Times New Roman" w:eastAsia="Times New Roman" w:hAnsi="Times New Roman" w:cs="Times New Roman"/>
      <w:b/>
      <w:sz w:val="34"/>
    </w:rPr>
  </w:style>
  <w:style w:type="paragraph" w:customStyle="1" w:styleId="6">
    <w:name w:val="6"/>
    <w:pPr>
      <w:spacing w:before="283" w:after="340"/>
      <w:ind w:right="0"/>
      <w:jc w:val="left"/>
    </w:pPr>
    <w:rPr>
      <w:rFonts w:ascii="Times New Roman" w:eastAsia="Times New Roman" w:hAnsi="Times New Roman" w:cs="Times New Roman"/>
      <w:sz w:val="30"/>
    </w:rPr>
  </w:style>
  <w:style w:type="paragraph" w:customStyle="1" w:styleId="7">
    <w:name w:val="7"/>
    <w:pPr>
      <w:overflowPunct/>
      <w:spacing w:before="227" w:after="113"/>
      <w:ind w:left="0" w:right="0" w:firstLine="0"/>
      <w:jc w:val="center"/>
    </w:pPr>
    <w:rPr>
      <w:rFonts w:ascii="Times New Roman" w:eastAsia="Times New Roman" w:hAnsi="Times New Roman" w:cs="Times New Roman"/>
      <w:sz w:val="28"/>
    </w:rPr>
  </w:style>
  <w:style w:type="paragraph" w:customStyle="1" w:styleId="8">
    <w:name w:val="8"/>
    <w:pPr>
      <w:spacing w:before="0" w:after="57"/>
      <w:ind w:left="850" w:right="850"/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9">
    <w:name w:val="9"/>
    <w:pPr>
      <w:spacing w:before="0" w:after="57"/>
      <w:ind w:right="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10">
    <w:name w:val="10"/>
    <w:pPr>
      <w:overflowPunct/>
      <w:spacing w:before="0" w:after="57"/>
      <w:ind w:left="680" w:right="0" w:hanging="34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Varianta10start">
    <w:name w:val="Varianta_10_start"/>
    <w:pPr>
      <w:pBdr>
        <w:top w:val="single" w:sz="8" w:space="0" w:color="800080"/>
      </w:pBdr>
      <w:spacing w:before="0" w:after="100"/>
      <w:ind w:left="680"/>
      <w:jc w:val="left"/>
    </w:pPr>
    <w:rPr>
      <w:rFonts w:ascii="Times New Roman" w:eastAsia="Times New Roman" w:hAnsi="Times New Roman" w:cs="Times New Roman"/>
      <w:b/>
      <w:i/>
      <w:color w:val="800080"/>
      <w:sz w:val="20"/>
    </w:rPr>
  </w:style>
  <w:style w:type="paragraph" w:customStyle="1" w:styleId="Varianta10konec">
    <w:name w:val="Varianta_10_konec"/>
    <w:pPr>
      <w:pBdr>
        <w:bottom w:val="single" w:sz="8" w:space="0" w:color="800080"/>
      </w:pBdr>
      <w:spacing w:before="0" w:after="100"/>
      <w:ind w:left="680"/>
      <w:jc w:val="left"/>
    </w:pPr>
    <w:rPr>
      <w:rFonts w:ascii="Times New Roman" w:eastAsia="Times New Roman" w:hAnsi="Times New Roman" w:cs="Times New Roman"/>
      <w:b/>
      <w:i/>
      <w:color w:val="800080"/>
      <w:sz w:val="20"/>
    </w:rPr>
  </w:style>
  <w:style w:type="paragraph" w:customStyle="1" w:styleId="Ucinnost10start">
    <w:name w:val="Ucinnost_10_start"/>
    <w:pPr>
      <w:pBdr>
        <w:top w:val="single" w:sz="8" w:space="0" w:color="8B0000"/>
      </w:pBdr>
      <w:spacing w:before="0" w:after="100"/>
      <w:ind w:left="680"/>
      <w:jc w:val="left"/>
    </w:pPr>
    <w:rPr>
      <w:rFonts w:ascii="Times New Roman" w:eastAsia="Times New Roman" w:hAnsi="Times New Roman" w:cs="Times New Roman"/>
      <w:b/>
      <w:i/>
      <w:color w:val="8B0000"/>
      <w:sz w:val="20"/>
    </w:rPr>
  </w:style>
  <w:style w:type="paragraph" w:customStyle="1" w:styleId="Ucinnost10konec">
    <w:name w:val="Ucinnost_10_konec"/>
    <w:pPr>
      <w:pBdr>
        <w:bottom w:val="single" w:sz="8" w:space="0" w:color="8B0000"/>
      </w:pBdr>
      <w:spacing w:before="0" w:after="100"/>
      <w:ind w:left="680"/>
      <w:jc w:val="left"/>
    </w:pPr>
    <w:rPr>
      <w:rFonts w:ascii="Times New Roman" w:eastAsia="Times New Roman" w:hAnsi="Times New Roman" w:cs="Times New Roman"/>
      <w:b/>
      <w:i/>
      <w:color w:val="8B0000"/>
      <w:sz w:val="20"/>
    </w:rPr>
  </w:style>
  <w:style w:type="paragraph" w:customStyle="1" w:styleId="Pripominky10start">
    <w:name w:val="Pripominky_10_start"/>
    <w:pPr>
      <w:pBdr>
        <w:top w:val="single" w:sz="8" w:space="0" w:color="87CEFA"/>
      </w:pBdr>
      <w:spacing w:before="0" w:after="100"/>
      <w:ind w:left="680"/>
      <w:jc w:val="right"/>
    </w:pPr>
    <w:rPr>
      <w:rFonts w:ascii="Times New Roman" w:eastAsia="Times New Roman" w:hAnsi="Times New Roman" w:cs="Times New Roman"/>
      <w:b/>
      <w:i/>
      <w:color w:val="87CEFA"/>
      <w:sz w:val="20"/>
    </w:rPr>
  </w:style>
  <w:style w:type="paragraph" w:customStyle="1" w:styleId="11">
    <w:name w:val="11"/>
    <w:pPr>
      <w:overflowPunct/>
      <w:spacing w:before="57" w:after="227"/>
      <w:ind w:left="680" w:right="0" w:hanging="34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Varianta11start">
    <w:name w:val="Varianta_11_start"/>
    <w:pPr>
      <w:pBdr>
        <w:top w:val="single" w:sz="8" w:space="0" w:color="800080"/>
      </w:pBdr>
      <w:spacing w:before="0" w:after="100"/>
      <w:ind w:left="680"/>
      <w:jc w:val="left"/>
    </w:pPr>
    <w:rPr>
      <w:rFonts w:ascii="Times New Roman" w:eastAsia="Times New Roman" w:hAnsi="Times New Roman" w:cs="Times New Roman"/>
      <w:b/>
      <w:i/>
      <w:color w:val="800080"/>
      <w:sz w:val="20"/>
    </w:rPr>
  </w:style>
  <w:style w:type="paragraph" w:customStyle="1" w:styleId="Varianta11konec">
    <w:name w:val="Varianta_11_konec"/>
    <w:pPr>
      <w:pBdr>
        <w:bottom w:val="single" w:sz="8" w:space="0" w:color="800080"/>
      </w:pBdr>
      <w:spacing w:before="0" w:after="100"/>
      <w:ind w:left="680"/>
      <w:jc w:val="left"/>
    </w:pPr>
    <w:rPr>
      <w:rFonts w:ascii="Times New Roman" w:eastAsia="Times New Roman" w:hAnsi="Times New Roman" w:cs="Times New Roman"/>
      <w:b/>
      <w:i/>
      <w:color w:val="800080"/>
      <w:sz w:val="20"/>
    </w:rPr>
  </w:style>
  <w:style w:type="paragraph" w:customStyle="1" w:styleId="Ucinnost11start">
    <w:name w:val="Ucinnost_11_start"/>
    <w:pPr>
      <w:pBdr>
        <w:top w:val="single" w:sz="8" w:space="0" w:color="8B0000"/>
      </w:pBdr>
      <w:spacing w:before="0" w:after="100"/>
      <w:ind w:left="680"/>
      <w:jc w:val="left"/>
    </w:pPr>
    <w:rPr>
      <w:rFonts w:ascii="Times New Roman" w:eastAsia="Times New Roman" w:hAnsi="Times New Roman" w:cs="Times New Roman"/>
      <w:b/>
      <w:i/>
      <w:color w:val="8B0000"/>
      <w:sz w:val="20"/>
    </w:rPr>
  </w:style>
  <w:style w:type="paragraph" w:customStyle="1" w:styleId="Ucinnost11konec">
    <w:name w:val="Ucinnost_11_konec"/>
    <w:pPr>
      <w:pBdr>
        <w:bottom w:val="single" w:sz="8" w:space="0" w:color="8B0000"/>
      </w:pBdr>
      <w:spacing w:before="0" w:after="100"/>
      <w:ind w:left="680"/>
      <w:jc w:val="left"/>
    </w:pPr>
    <w:rPr>
      <w:rFonts w:ascii="Times New Roman" w:eastAsia="Times New Roman" w:hAnsi="Times New Roman" w:cs="Times New Roman"/>
      <w:b/>
      <w:i/>
      <w:color w:val="8B0000"/>
      <w:sz w:val="20"/>
    </w:rPr>
  </w:style>
  <w:style w:type="paragraph" w:customStyle="1" w:styleId="Pripominky11start">
    <w:name w:val="Pripominky_11_start"/>
    <w:pPr>
      <w:pBdr>
        <w:top w:val="single" w:sz="8" w:space="0" w:color="87CEFA"/>
      </w:pBdr>
      <w:spacing w:before="0" w:after="100"/>
      <w:ind w:left="680"/>
      <w:jc w:val="right"/>
    </w:pPr>
    <w:rPr>
      <w:rFonts w:ascii="Times New Roman" w:eastAsia="Times New Roman" w:hAnsi="Times New Roman" w:cs="Times New Roman"/>
      <w:b/>
      <w:i/>
      <w:color w:val="87CEFA"/>
      <w:sz w:val="20"/>
    </w:rPr>
  </w:style>
  <w:style w:type="paragraph" w:customStyle="1" w:styleId="12">
    <w:name w:val="12"/>
    <w:pPr>
      <w:overflowPunct/>
      <w:spacing w:before="737" w:after="57"/>
      <w:ind w:left="0" w:right="0" w:firstLine="0"/>
      <w:jc w:val="right"/>
    </w:pPr>
    <w:rPr>
      <w:rFonts w:ascii="Times New Roman" w:eastAsia="Times New Roman" w:hAnsi="Times New Roman" w:cs="Times New Roman"/>
      <w:b/>
      <w:sz w:val="26"/>
    </w:rPr>
  </w:style>
  <w:style w:type="paragraph" w:customStyle="1" w:styleId="13">
    <w:name w:val="13"/>
    <w:pPr>
      <w:spacing w:before="0" w:after="113"/>
      <w:ind w:left="850" w:right="850"/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14">
    <w:name w:val="14"/>
    <w:pPr>
      <w:overflowPunct/>
      <w:spacing w:before="0" w:after="57"/>
      <w:ind w:left="510" w:right="0" w:hanging="51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Varianta14start">
    <w:name w:val="Varianta_14_start"/>
    <w:pPr>
      <w:pBdr>
        <w:top w:val="single" w:sz="8" w:space="0" w:color="800080"/>
      </w:pBdr>
      <w:spacing w:before="0" w:after="100"/>
      <w:ind w:left="510"/>
      <w:jc w:val="left"/>
    </w:pPr>
    <w:rPr>
      <w:rFonts w:ascii="Times New Roman" w:eastAsia="Times New Roman" w:hAnsi="Times New Roman" w:cs="Times New Roman"/>
      <w:b/>
      <w:i/>
      <w:color w:val="800080"/>
      <w:sz w:val="20"/>
    </w:rPr>
  </w:style>
  <w:style w:type="paragraph" w:customStyle="1" w:styleId="Varianta14konec">
    <w:name w:val="Varianta_14_konec"/>
    <w:pPr>
      <w:pBdr>
        <w:bottom w:val="single" w:sz="8" w:space="0" w:color="800080"/>
      </w:pBdr>
      <w:spacing w:before="0" w:after="100"/>
      <w:ind w:left="510"/>
      <w:jc w:val="left"/>
    </w:pPr>
    <w:rPr>
      <w:rFonts w:ascii="Times New Roman" w:eastAsia="Times New Roman" w:hAnsi="Times New Roman" w:cs="Times New Roman"/>
      <w:b/>
      <w:i/>
      <w:color w:val="800080"/>
      <w:sz w:val="20"/>
    </w:rPr>
  </w:style>
  <w:style w:type="paragraph" w:customStyle="1" w:styleId="Ucinnost14start">
    <w:name w:val="Ucinnost_14_start"/>
    <w:pPr>
      <w:pBdr>
        <w:top w:val="single" w:sz="8" w:space="0" w:color="8B0000"/>
      </w:pBdr>
      <w:spacing w:before="0" w:after="100"/>
      <w:ind w:left="510"/>
      <w:jc w:val="left"/>
    </w:pPr>
    <w:rPr>
      <w:rFonts w:ascii="Times New Roman" w:eastAsia="Times New Roman" w:hAnsi="Times New Roman" w:cs="Times New Roman"/>
      <w:b/>
      <w:i/>
      <w:color w:val="8B0000"/>
      <w:sz w:val="20"/>
    </w:rPr>
  </w:style>
  <w:style w:type="paragraph" w:customStyle="1" w:styleId="Ucinnost14konec">
    <w:name w:val="Ucinnost_14_konec"/>
    <w:pPr>
      <w:pBdr>
        <w:bottom w:val="single" w:sz="8" w:space="0" w:color="8B0000"/>
      </w:pBdr>
      <w:spacing w:before="0" w:after="100"/>
      <w:ind w:left="510"/>
      <w:jc w:val="left"/>
    </w:pPr>
    <w:rPr>
      <w:rFonts w:ascii="Times New Roman" w:eastAsia="Times New Roman" w:hAnsi="Times New Roman" w:cs="Times New Roman"/>
      <w:b/>
      <w:i/>
      <w:color w:val="8B0000"/>
      <w:sz w:val="20"/>
    </w:rPr>
  </w:style>
  <w:style w:type="paragraph" w:customStyle="1" w:styleId="Pripominky14start">
    <w:name w:val="Pripominky_14_start"/>
    <w:pPr>
      <w:pBdr>
        <w:top w:val="single" w:sz="8" w:space="0" w:color="87CEFA"/>
      </w:pBdr>
      <w:spacing w:before="0" w:after="100"/>
      <w:ind w:left="510"/>
      <w:jc w:val="right"/>
    </w:pPr>
    <w:rPr>
      <w:rFonts w:ascii="Times New Roman" w:eastAsia="Times New Roman" w:hAnsi="Times New Roman" w:cs="Times New Roman"/>
      <w:b/>
      <w:i/>
      <w:color w:val="87CEFA"/>
      <w:sz w:val="20"/>
    </w:rPr>
  </w:style>
  <w:style w:type="paragraph" w:customStyle="1" w:styleId="15">
    <w:name w:val="15"/>
    <w:pPr>
      <w:overflowPunct/>
      <w:spacing w:before="0" w:after="57"/>
      <w:ind w:left="1190" w:right="0" w:hanging="34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Varianta15start">
    <w:name w:val="Varianta_15_start"/>
    <w:pPr>
      <w:pBdr>
        <w:top w:val="single" w:sz="8" w:space="0" w:color="800080"/>
      </w:pBdr>
      <w:spacing w:before="0" w:after="100"/>
      <w:ind w:left="1190"/>
      <w:jc w:val="left"/>
    </w:pPr>
    <w:rPr>
      <w:rFonts w:ascii="Times New Roman" w:eastAsia="Times New Roman" w:hAnsi="Times New Roman" w:cs="Times New Roman"/>
      <w:b/>
      <w:i/>
      <w:color w:val="800080"/>
      <w:sz w:val="20"/>
    </w:rPr>
  </w:style>
  <w:style w:type="paragraph" w:customStyle="1" w:styleId="Varianta15konec">
    <w:name w:val="Varianta_15_konec"/>
    <w:pPr>
      <w:pBdr>
        <w:bottom w:val="single" w:sz="8" w:space="0" w:color="800080"/>
      </w:pBdr>
      <w:spacing w:before="0" w:after="100"/>
      <w:ind w:left="1190"/>
      <w:jc w:val="left"/>
    </w:pPr>
    <w:rPr>
      <w:rFonts w:ascii="Times New Roman" w:eastAsia="Times New Roman" w:hAnsi="Times New Roman" w:cs="Times New Roman"/>
      <w:b/>
      <w:i/>
      <w:color w:val="800080"/>
      <w:sz w:val="20"/>
    </w:rPr>
  </w:style>
  <w:style w:type="paragraph" w:customStyle="1" w:styleId="Ucinnost15start">
    <w:name w:val="Ucinnost_15_start"/>
    <w:pPr>
      <w:pBdr>
        <w:top w:val="single" w:sz="8" w:space="0" w:color="8B0000"/>
      </w:pBdr>
      <w:spacing w:before="0" w:after="100"/>
      <w:ind w:left="1190"/>
      <w:jc w:val="left"/>
    </w:pPr>
    <w:rPr>
      <w:rFonts w:ascii="Times New Roman" w:eastAsia="Times New Roman" w:hAnsi="Times New Roman" w:cs="Times New Roman"/>
      <w:b/>
      <w:i/>
      <w:color w:val="8B0000"/>
      <w:sz w:val="20"/>
    </w:rPr>
  </w:style>
  <w:style w:type="paragraph" w:customStyle="1" w:styleId="Ucinnost15konec">
    <w:name w:val="Ucinnost_15_konec"/>
    <w:pPr>
      <w:pBdr>
        <w:bottom w:val="single" w:sz="8" w:space="0" w:color="8B0000"/>
      </w:pBdr>
      <w:spacing w:before="0" w:after="100"/>
      <w:ind w:left="1190"/>
      <w:jc w:val="left"/>
    </w:pPr>
    <w:rPr>
      <w:rFonts w:ascii="Times New Roman" w:eastAsia="Times New Roman" w:hAnsi="Times New Roman" w:cs="Times New Roman"/>
      <w:b/>
      <w:i/>
      <w:color w:val="8B0000"/>
      <w:sz w:val="20"/>
    </w:rPr>
  </w:style>
  <w:style w:type="paragraph" w:customStyle="1" w:styleId="Pripominky15start">
    <w:name w:val="Pripominky_15_start"/>
    <w:pPr>
      <w:pBdr>
        <w:top w:val="single" w:sz="8" w:space="0" w:color="87CEFA"/>
      </w:pBdr>
      <w:spacing w:before="0" w:after="100"/>
      <w:ind w:left="1190"/>
      <w:jc w:val="right"/>
    </w:pPr>
    <w:rPr>
      <w:rFonts w:ascii="Times New Roman" w:eastAsia="Times New Roman" w:hAnsi="Times New Roman" w:cs="Times New Roman"/>
      <w:b/>
      <w:i/>
      <w:color w:val="87CEFA"/>
      <w:sz w:val="20"/>
    </w:rPr>
  </w:style>
  <w:style w:type="paragraph" w:customStyle="1" w:styleId="16">
    <w:name w:val="16"/>
    <w:pPr>
      <w:overflowPunct/>
      <w:spacing w:before="57" w:after="57"/>
      <w:ind w:left="1190" w:right="0" w:hanging="34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Varianta16start">
    <w:name w:val="Varianta_16_start"/>
    <w:pPr>
      <w:pBdr>
        <w:top w:val="single" w:sz="8" w:space="0" w:color="800080"/>
      </w:pBdr>
      <w:spacing w:before="0" w:after="100"/>
      <w:ind w:left="1190"/>
      <w:jc w:val="left"/>
    </w:pPr>
    <w:rPr>
      <w:rFonts w:ascii="Times New Roman" w:eastAsia="Times New Roman" w:hAnsi="Times New Roman" w:cs="Times New Roman"/>
      <w:b/>
      <w:i/>
      <w:color w:val="800080"/>
      <w:sz w:val="20"/>
    </w:rPr>
  </w:style>
  <w:style w:type="paragraph" w:customStyle="1" w:styleId="Varianta16konec">
    <w:name w:val="Varianta_16_konec"/>
    <w:pPr>
      <w:pBdr>
        <w:bottom w:val="single" w:sz="8" w:space="0" w:color="800080"/>
      </w:pBdr>
      <w:spacing w:before="0" w:after="100"/>
      <w:ind w:left="1190"/>
      <w:jc w:val="left"/>
    </w:pPr>
    <w:rPr>
      <w:rFonts w:ascii="Times New Roman" w:eastAsia="Times New Roman" w:hAnsi="Times New Roman" w:cs="Times New Roman"/>
      <w:b/>
      <w:i/>
      <w:color w:val="800080"/>
      <w:sz w:val="20"/>
    </w:rPr>
  </w:style>
  <w:style w:type="paragraph" w:customStyle="1" w:styleId="Ucinnost16start">
    <w:name w:val="Ucinnost_16_start"/>
    <w:pPr>
      <w:pBdr>
        <w:top w:val="single" w:sz="8" w:space="0" w:color="8B0000"/>
      </w:pBdr>
      <w:spacing w:before="0" w:after="100"/>
      <w:ind w:left="1190"/>
      <w:jc w:val="left"/>
    </w:pPr>
    <w:rPr>
      <w:rFonts w:ascii="Times New Roman" w:eastAsia="Times New Roman" w:hAnsi="Times New Roman" w:cs="Times New Roman"/>
      <w:b/>
      <w:i/>
      <w:color w:val="8B0000"/>
      <w:sz w:val="20"/>
    </w:rPr>
  </w:style>
  <w:style w:type="paragraph" w:customStyle="1" w:styleId="Ucinnost16konec">
    <w:name w:val="Ucinnost_16_konec"/>
    <w:pPr>
      <w:pBdr>
        <w:bottom w:val="single" w:sz="8" w:space="0" w:color="8B0000"/>
      </w:pBdr>
      <w:spacing w:before="0" w:after="100"/>
      <w:ind w:left="1190"/>
      <w:jc w:val="left"/>
    </w:pPr>
    <w:rPr>
      <w:rFonts w:ascii="Times New Roman" w:eastAsia="Times New Roman" w:hAnsi="Times New Roman" w:cs="Times New Roman"/>
      <w:b/>
      <w:i/>
      <w:color w:val="8B0000"/>
      <w:sz w:val="20"/>
    </w:rPr>
  </w:style>
  <w:style w:type="paragraph" w:customStyle="1" w:styleId="Pripominky16start">
    <w:name w:val="Pripominky_16_start"/>
    <w:pPr>
      <w:pBdr>
        <w:top w:val="single" w:sz="8" w:space="0" w:color="87CEFA"/>
      </w:pBdr>
      <w:spacing w:before="0" w:after="100"/>
      <w:ind w:left="1190"/>
      <w:jc w:val="right"/>
    </w:pPr>
    <w:rPr>
      <w:rFonts w:ascii="Times New Roman" w:eastAsia="Times New Roman" w:hAnsi="Times New Roman" w:cs="Times New Roman"/>
      <w:b/>
      <w:i/>
      <w:color w:val="87CEFA"/>
      <w:sz w:val="20"/>
    </w:rPr>
  </w:style>
  <w:style w:type="paragraph" w:customStyle="1" w:styleId="17">
    <w:name w:val="17"/>
    <w:pPr>
      <w:overflowPunct/>
      <w:spacing w:before="57" w:after="227"/>
      <w:ind w:left="1190" w:right="0" w:hanging="34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Varianta17start">
    <w:name w:val="Varianta_17_start"/>
    <w:pPr>
      <w:pBdr>
        <w:top w:val="single" w:sz="8" w:space="0" w:color="800080"/>
      </w:pBdr>
      <w:spacing w:before="0" w:after="100"/>
      <w:ind w:left="1190"/>
      <w:jc w:val="left"/>
    </w:pPr>
    <w:rPr>
      <w:rFonts w:ascii="Times New Roman" w:eastAsia="Times New Roman" w:hAnsi="Times New Roman" w:cs="Times New Roman"/>
      <w:b/>
      <w:i/>
      <w:color w:val="800080"/>
      <w:sz w:val="20"/>
    </w:rPr>
  </w:style>
  <w:style w:type="paragraph" w:customStyle="1" w:styleId="Varianta17konec">
    <w:name w:val="Varianta_17_konec"/>
    <w:pPr>
      <w:pBdr>
        <w:bottom w:val="single" w:sz="8" w:space="0" w:color="800080"/>
      </w:pBdr>
      <w:spacing w:before="0" w:after="100"/>
      <w:ind w:left="1190"/>
      <w:jc w:val="left"/>
    </w:pPr>
    <w:rPr>
      <w:rFonts w:ascii="Times New Roman" w:eastAsia="Times New Roman" w:hAnsi="Times New Roman" w:cs="Times New Roman"/>
      <w:b/>
      <w:i/>
      <w:color w:val="800080"/>
      <w:sz w:val="20"/>
    </w:rPr>
  </w:style>
  <w:style w:type="paragraph" w:customStyle="1" w:styleId="Ucinnost17start">
    <w:name w:val="Ucinnost_17_start"/>
    <w:pPr>
      <w:pBdr>
        <w:top w:val="single" w:sz="8" w:space="0" w:color="8B0000"/>
      </w:pBdr>
      <w:spacing w:before="0" w:after="100"/>
      <w:ind w:left="1190"/>
      <w:jc w:val="left"/>
    </w:pPr>
    <w:rPr>
      <w:rFonts w:ascii="Times New Roman" w:eastAsia="Times New Roman" w:hAnsi="Times New Roman" w:cs="Times New Roman"/>
      <w:b/>
      <w:i/>
      <w:color w:val="8B0000"/>
      <w:sz w:val="20"/>
    </w:rPr>
  </w:style>
  <w:style w:type="paragraph" w:customStyle="1" w:styleId="Ucinnost17konec">
    <w:name w:val="Ucinnost_17_konec"/>
    <w:pPr>
      <w:pBdr>
        <w:bottom w:val="single" w:sz="8" w:space="0" w:color="8B0000"/>
      </w:pBdr>
      <w:spacing w:before="0" w:after="100"/>
      <w:ind w:left="1190"/>
      <w:jc w:val="left"/>
    </w:pPr>
    <w:rPr>
      <w:rFonts w:ascii="Times New Roman" w:eastAsia="Times New Roman" w:hAnsi="Times New Roman" w:cs="Times New Roman"/>
      <w:b/>
      <w:i/>
      <w:color w:val="8B0000"/>
      <w:sz w:val="20"/>
    </w:rPr>
  </w:style>
  <w:style w:type="paragraph" w:customStyle="1" w:styleId="Pripominky17start">
    <w:name w:val="Pripominky_17_start"/>
    <w:pPr>
      <w:pBdr>
        <w:top w:val="single" w:sz="8" w:space="0" w:color="87CEFA"/>
      </w:pBdr>
      <w:spacing w:before="0" w:after="100"/>
      <w:ind w:left="1190"/>
      <w:jc w:val="right"/>
    </w:pPr>
    <w:rPr>
      <w:rFonts w:ascii="Times New Roman" w:eastAsia="Times New Roman" w:hAnsi="Times New Roman" w:cs="Times New Roman"/>
      <w:b/>
      <w:i/>
      <w:color w:val="87CEFA"/>
      <w:sz w:val="20"/>
    </w:rPr>
  </w:style>
  <w:style w:type="paragraph" w:customStyle="1" w:styleId="18">
    <w:name w:val="18"/>
    <w:pPr>
      <w:pBdr>
        <w:top w:val="single" w:sz="11" w:space="0" w:color="000000"/>
      </w:pBdr>
      <w:spacing w:before="510" w:after="57"/>
      <w:ind w:right="6236"/>
      <w:jc w:val="left"/>
    </w:pPr>
    <w:rPr>
      <w:rFonts w:ascii="Times New Roman" w:eastAsia="Times New Roman" w:hAnsi="Times New Roman" w:cs="Times New Roman"/>
      <w:sz w:val="18"/>
    </w:rPr>
  </w:style>
  <w:style w:type="paragraph" w:customStyle="1" w:styleId="19">
    <w:name w:val="19"/>
    <w:pPr>
      <w:overflowPunct/>
      <w:spacing w:before="57" w:after="113"/>
      <w:ind w:left="227" w:right="0" w:hanging="227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Varianta19start">
    <w:name w:val="Varianta_19_start"/>
    <w:pPr>
      <w:pBdr>
        <w:top w:val="single" w:sz="8" w:space="0" w:color="800080"/>
      </w:pBdr>
      <w:spacing w:before="0" w:after="100"/>
      <w:ind w:left="227"/>
      <w:jc w:val="left"/>
    </w:pPr>
    <w:rPr>
      <w:rFonts w:ascii="Times New Roman" w:eastAsia="Times New Roman" w:hAnsi="Times New Roman" w:cs="Times New Roman"/>
      <w:b/>
      <w:i/>
      <w:color w:val="800080"/>
      <w:sz w:val="20"/>
    </w:rPr>
  </w:style>
  <w:style w:type="paragraph" w:customStyle="1" w:styleId="Varianta19konec">
    <w:name w:val="Varianta_19_konec"/>
    <w:pPr>
      <w:pBdr>
        <w:bottom w:val="single" w:sz="8" w:space="0" w:color="800080"/>
      </w:pBdr>
      <w:spacing w:before="0" w:after="100"/>
      <w:ind w:left="227"/>
      <w:jc w:val="left"/>
    </w:pPr>
    <w:rPr>
      <w:rFonts w:ascii="Times New Roman" w:eastAsia="Times New Roman" w:hAnsi="Times New Roman" w:cs="Times New Roman"/>
      <w:b/>
      <w:i/>
      <w:color w:val="800080"/>
      <w:sz w:val="20"/>
    </w:rPr>
  </w:style>
  <w:style w:type="paragraph" w:customStyle="1" w:styleId="Ucinnost19start">
    <w:name w:val="Ucinnost_19_start"/>
    <w:pPr>
      <w:pBdr>
        <w:top w:val="single" w:sz="8" w:space="0" w:color="8B0000"/>
      </w:pBdr>
      <w:spacing w:before="0" w:after="100"/>
      <w:ind w:left="227"/>
      <w:jc w:val="left"/>
    </w:pPr>
    <w:rPr>
      <w:rFonts w:ascii="Times New Roman" w:eastAsia="Times New Roman" w:hAnsi="Times New Roman" w:cs="Times New Roman"/>
      <w:b/>
      <w:i/>
      <w:color w:val="8B0000"/>
      <w:sz w:val="20"/>
    </w:rPr>
  </w:style>
  <w:style w:type="paragraph" w:customStyle="1" w:styleId="Ucinnost19konec">
    <w:name w:val="Ucinnost_19_konec"/>
    <w:pPr>
      <w:pBdr>
        <w:bottom w:val="single" w:sz="8" w:space="0" w:color="8B0000"/>
      </w:pBdr>
      <w:spacing w:before="0" w:after="100"/>
      <w:ind w:left="227"/>
      <w:jc w:val="left"/>
    </w:pPr>
    <w:rPr>
      <w:rFonts w:ascii="Times New Roman" w:eastAsia="Times New Roman" w:hAnsi="Times New Roman" w:cs="Times New Roman"/>
      <w:b/>
      <w:i/>
      <w:color w:val="8B0000"/>
      <w:sz w:val="20"/>
    </w:rPr>
  </w:style>
  <w:style w:type="paragraph" w:customStyle="1" w:styleId="Pripominky19start">
    <w:name w:val="Pripominky_19_start"/>
    <w:pPr>
      <w:pBdr>
        <w:top w:val="single" w:sz="8" w:space="0" w:color="87CEFA"/>
      </w:pBdr>
      <w:spacing w:before="0" w:after="100"/>
      <w:ind w:left="227"/>
      <w:jc w:val="right"/>
    </w:pPr>
    <w:rPr>
      <w:rFonts w:ascii="Times New Roman" w:eastAsia="Times New Roman" w:hAnsi="Times New Roman" w:cs="Times New Roman"/>
      <w:b/>
      <w:i/>
      <w:color w:val="87CEFA"/>
      <w:sz w:val="20"/>
    </w:rPr>
  </w:style>
  <w:style w:type="paragraph" w:customStyle="1" w:styleId="20">
    <w:name w:val="20"/>
    <w:pPr>
      <w:overflowPunct/>
      <w:spacing w:before="113" w:after="113"/>
      <w:ind w:left="227" w:right="0" w:hanging="227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Varianta20start">
    <w:name w:val="Varianta_20_start"/>
    <w:pPr>
      <w:pBdr>
        <w:top w:val="single" w:sz="8" w:space="0" w:color="800080"/>
      </w:pBdr>
      <w:spacing w:before="0" w:after="100"/>
      <w:ind w:left="227"/>
      <w:jc w:val="left"/>
    </w:pPr>
    <w:rPr>
      <w:rFonts w:ascii="Times New Roman" w:eastAsia="Times New Roman" w:hAnsi="Times New Roman" w:cs="Times New Roman"/>
      <w:b/>
      <w:i/>
      <w:color w:val="800080"/>
      <w:sz w:val="20"/>
    </w:rPr>
  </w:style>
  <w:style w:type="paragraph" w:customStyle="1" w:styleId="Varianta20konec">
    <w:name w:val="Varianta_20_konec"/>
    <w:pPr>
      <w:pBdr>
        <w:bottom w:val="single" w:sz="8" w:space="0" w:color="800080"/>
      </w:pBdr>
      <w:spacing w:before="0" w:after="100"/>
      <w:ind w:left="227"/>
      <w:jc w:val="left"/>
    </w:pPr>
    <w:rPr>
      <w:rFonts w:ascii="Times New Roman" w:eastAsia="Times New Roman" w:hAnsi="Times New Roman" w:cs="Times New Roman"/>
      <w:b/>
      <w:i/>
      <w:color w:val="800080"/>
      <w:sz w:val="20"/>
    </w:rPr>
  </w:style>
  <w:style w:type="paragraph" w:customStyle="1" w:styleId="Ucinnost20start">
    <w:name w:val="Ucinnost_20_start"/>
    <w:pPr>
      <w:pBdr>
        <w:top w:val="single" w:sz="8" w:space="0" w:color="8B0000"/>
      </w:pBdr>
      <w:spacing w:before="0" w:after="100"/>
      <w:ind w:left="227"/>
      <w:jc w:val="left"/>
    </w:pPr>
    <w:rPr>
      <w:rFonts w:ascii="Times New Roman" w:eastAsia="Times New Roman" w:hAnsi="Times New Roman" w:cs="Times New Roman"/>
      <w:b/>
      <w:i/>
      <w:color w:val="8B0000"/>
      <w:sz w:val="20"/>
    </w:rPr>
  </w:style>
  <w:style w:type="paragraph" w:customStyle="1" w:styleId="Ucinnost20konec">
    <w:name w:val="Ucinnost_20_konec"/>
    <w:pPr>
      <w:pBdr>
        <w:bottom w:val="single" w:sz="8" w:space="0" w:color="8B0000"/>
      </w:pBdr>
      <w:spacing w:before="0" w:after="100"/>
      <w:ind w:left="227"/>
      <w:jc w:val="left"/>
    </w:pPr>
    <w:rPr>
      <w:rFonts w:ascii="Times New Roman" w:eastAsia="Times New Roman" w:hAnsi="Times New Roman" w:cs="Times New Roman"/>
      <w:b/>
      <w:i/>
      <w:color w:val="8B0000"/>
      <w:sz w:val="20"/>
    </w:rPr>
  </w:style>
  <w:style w:type="paragraph" w:customStyle="1" w:styleId="Pripominky20start">
    <w:name w:val="Pripominky_20_start"/>
    <w:pPr>
      <w:pBdr>
        <w:top w:val="single" w:sz="8" w:space="0" w:color="87CEFA"/>
      </w:pBdr>
      <w:spacing w:before="0" w:after="100"/>
      <w:ind w:left="227"/>
      <w:jc w:val="right"/>
    </w:pPr>
    <w:rPr>
      <w:rFonts w:ascii="Times New Roman" w:eastAsia="Times New Roman" w:hAnsi="Times New Roman" w:cs="Times New Roman"/>
      <w:b/>
      <w:i/>
      <w:color w:val="87CEFA"/>
      <w:sz w:val="20"/>
    </w:rPr>
  </w:style>
  <w:style w:type="paragraph" w:customStyle="1" w:styleId="21">
    <w:name w:val="21"/>
    <w:pPr>
      <w:overflowPunct/>
      <w:spacing w:before="113" w:after="170"/>
      <w:ind w:left="227" w:right="0" w:hanging="227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Varianta21start">
    <w:name w:val="Varianta_21_start"/>
    <w:pPr>
      <w:pBdr>
        <w:top w:val="single" w:sz="8" w:space="0" w:color="800080"/>
      </w:pBdr>
      <w:spacing w:before="0" w:after="100"/>
      <w:ind w:left="227"/>
      <w:jc w:val="left"/>
    </w:pPr>
    <w:rPr>
      <w:rFonts w:ascii="Times New Roman" w:eastAsia="Times New Roman" w:hAnsi="Times New Roman" w:cs="Times New Roman"/>
      <w:b/>
      <w:i/>
      <w:color w:val="800080"/>
      <w:sz w:val="20"/>
    </w:rPr>
  </w:style>
  <w:style w:type="paragraph" w:customStyle="1" w:styleId="Varianta21konec">
    <w:name w:val="Varianta_21_konec"/>
    <w:pPr>
      <w:pBdr>
        <w:bottom w:val="single" w:sz="8" w:space="0" w:color="800080"/>
      </w:pBdr>
      <w:spacing w:before="0" w:after="100"/>
      <w:ind w:left="227"/>
      <w:jc w:val="left"/>
    </w:pPr>
    <w:rPr>
      <w:rFonts w:ascii="Times New Roman" w:eastAsia="Times New Roman" w:hAnsi="Times New Roman" w:cs="Times New Roman"/>
      <w:b/>
      <w:i/>
      <w:color w:val="800080"/>
      <w:sz w:val="20"/>
    </w:rPr>
  </w:style>
  <w:style w:type="paragraph" w:customStyle="1" w:styleId="Ucinnost21start">
    <w:name w:val="Ucinnost_21_start"/>
    <w:pPr>
      <w:pBdr>
        <w:top w:val="single" w:sz="8" w:space="0" w:color="8B0000"/>
      </w:pBdr>
      <w:spacing w:before="0" w:after="100"/>
      <w:ind w:left="227"/>
      <w:jc w:val="left"/>
    </w:pPr>
    <w:rPr>
      <w:rFonts w:ascii="Times New Roman" w:eastAsia="Times New Roman" w:hAnsi="Times New Roman" w:cs="Times New Roman"/>
      <w:b/>
      <w:i/>
      <w:color w:val="8B0000"/>
      <w:sz w:val="20"/>
    </w:rPr>
  </w:style>
  <w:style w:type="paragraph" w:customStyle="1" w:styleId="Ucinnost21konec">
    <w:name w:val="Ucinnost_21_konec"/>
    <w:pPr>
      <w:pBdr>
        <w:bottom w:val="single" w:sz="8" w:space="0" w:color="8B0000"/>
      </w:pBdr>
      <w:spacing w:before="0" w:after="100"/>
      <w:ind w:left="227"/>
      <w:jc w:val="left"/>
    </w:pPr>
    <w:rPr>
      <w:rFonts w:ascii="Times New Roman" w:eastAsia="Times New Roman" w:hAnsi="Times New Roman" w:cs="Times New Roman"/>
      <w:b/>
      <w:i/>
      <w:color w:val="8B0000"/>
      <w:sz w:val="20"/>
    </w:rPr>
  </w:style>
  <w:style w:type="paragraph" w:customStyle="1" w:styleId="Pripominky21start">
    <w:name w:val="Pripominky_21_start"/>
    <w:pPr>
      <w:pBdr>
        <w:top w:val="single" w:sz="8" w:space="0" w:color="87CEFA"/>
      </w:pBdr>
      <w:spacing w:before="0" w:after="100"/>
      <w:ind w:left="227"/>
      <w:jc w:val="right"/>
    </w:pPr>
    <w:rPr>
      <w:rFonts w:ascii="Times New Roman" w:eastAsia="Times New Roman" w:hAnsi="Times New Roman" w:cs="Times New Roman"/>
      <w:b/>
      <w:i/>
      <w:color w:val="87CEF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