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7DFF" w14:textId="47DA9ACA" w:rsidR="00140DD8" w:rsidRDefault="00C9265D" w:rsidP="00C9265D">
      <w:r>
        <w:t xml:space="preserve">Zákon </w:t>
      </w:r>
      <w:hyperlink r:id="rId5" w:history="1">
        <w:r w:rsidRPr="00BB7B81">
          <w:rPr>
            <w:rStyle w:val="Hypertextovodkaz"/>
          </w:rPr>
          <w:t>č. 424/2023 Sb.</w:t>
        </w:r>
      </w:hyperlink>
      <w:r>
        <w:t xml:space="preserve"> </w:t>
      </w:r>
      <w:r>
        <w:t>Zákon o požadavcích na přístupnost některých výrobků a služeb</w:t>
      </w:r>
      <w:r>
        <w:t xml:space="preserve"> </w:t>
      </w:r>
      <w:r w:rsidR="00EC1B3F">
        <w:t xml:space="preserve">transponuje </w:t>
      </w:r>
      <w:r w:rsidR="00C653C7" w:rsidRPr="00C653C7">
        <w:t>Evropský akt o přístupnosti (</w:t>
      </w:r>
      <w:proofErr w:type="spellStart"/>
      <w:r w:rsidR="00C653C7" w:rsidRPr="00C653C7">
        <w:t>European</w:t>
      </w:r>
      <w:proofErr w:type="spellEnd"/>
      <w:r w:rsidR="00C653C7" w:rsidRPr="00C653C7">
        <w:t xml:space="preserve"> </w:t>
      </w:r>
      <w:proofErr w:type="spellStart"/>
      <w:r w:rsidR="00C653C7" w:rsidRPr="00C653C7">
        <w:t>Accessibility</w:t>
      </w:r>
      <w:proofErr w:type="spellEnd"/>
      <w:r w:rsidR="00C653C7" w:rsidRPr="00C653C7">
        <w:t xml:space="preserve"> </w:t>
      </w:r>
      <w:proofErr w:type="spellStart"/>
      <w:r w:rsidR="00C653C7" w:rsidRPr="00C653C7">
        <w:t>Act</w:t>
      </w:r>
      <w:proofErr w:type="spellEnd"/>
      <w:r w:rsidR="00C653C7" w:rsidRPr="00C653C7">
        <w:t xml:space="preserve"> – EAA) – Směrnice (EU) 2019/882, která od června 2025</w:t>
      </w:r>
      <w:r w:rsidR="001561F6">
        <w:t xml:space="preserve">. </w:t>
      </w:r>
      <w:r w:rsidR="006F4881">
        <w:t>Přístupností se rozumí přizpůsob</w:t>
      </w:r>
      <w:r w:rsidR="007106DD">
        <w:t xml:space="preserve">ení služby tak, aby ji mohli konzumovat i lidé se zrakovým nebo sluchových (rozuměj smyslovým) postižením. </w:t>
      </w:r>
    </w:p>
    <w:p w14:paraId="6597DC3B" w14:textId="77777777" w:rsidR="001561F6" w:rsidRDefault="001561F6" w:rsidP="00C9265D"/>
    <w:p w14:paraId="3554299C" w14:textId="6457EEB2" w:rsidR="001561F6" w:rsidRDefault="001561F6" w:rsidP="00C9265D">
      <w:r>
        <w:t>Regulátore</w:t>
      </w:r>
      <w:r w:rsidR="00EB45F7">
        <w:t>m EAA</w:t>
      </w:r>
      <w:r>
        <w:t xml:space="preserve"> </w:t>
      </w:r>
      <w:r w:rsidR="00BB03EB">
        <w:t>je Český telekomunikační úřad</w:t>
      </w:r>
      <w:r w:rsidR="00EB45F7">
        <w:t xml:space="preserve"> pro oblast elektronických komunikací. </w:t>
      </w:r>
      <w:r w:rsidR="003F4442">
        <w:t xml:space="preserve">Pro další relevantní oblasti (například e-shop) je Česká obchodní inspekce. </w:t>
      </w:r>
    </w:p>
    <w:p w14:paraId="20FF3A69" w14:textId="77777777" w:rsidR="003F4442" w:rsidRDefault="003F4442" w:rsidP="00C9265D"/>
    <w:p w14:paraId="4B45EA1F" w14:textId="4C287C52" w:rsidR="003F4442" w:rsidRDefault="003F4442" w:rsidP="00C9265D">
      <w:r>
        <w:t xml:space="preserve">Objemová kritéria: </w:t>
      </w:r>
      <w:r w:rsidR="00432DBF">
        <w:t>EAA říká v</w:t>
      </w:r>
      <w:r w:rsidR="00850D6B">
        <w:t> článku 4 odst. 5, že se povinnosti podle EAA nevztahují na mikro</w:t>
      </w:r>
      <w:r w:rsidR="00587C88">
        <w:t xml:space="preserve">podniky (tj. méně nežli 10 zaměstnanců a obrat pod 2 miliony EUR). Mikropodniky jsou vyloučeny zcela. </w:t>
      </w:r>
      <w:r w:rsidR="00DB364C">
        <w:t xml:space="preserve">Všechny ostatní podniky povinnými osobami jsou, </w:t>
      </w:r>
      <w:r w:rsidR="005371DD">
        <w:t>pokud poskytují služby nebo produkty podle EAA. Tyto jsou</w:t>
      </w:r>
      <w:r w:rsidR="00B92736">
        <w:t xml:space="preserve">: elektronické komunikační služby (hlas, SMS, chat), weby a mobilní aplikace pro veřejnost, </w:t>
      </w:r>
      <w:r w:rsidR="00004B90">
        <w:t xml:space="preserve">e-knihy a e-commerce služby. </w:t>
      </w:r>
      <w:r w:rsidR="006B237E">
        <w:t>Patří sem i poskytování služeb elektronických komunikací</w:t>
      </w:r>
      <w:r w:rsidR="001E426C">
        <w:t xml:space="preserve"> a IPTV. </w:t>
      </w:r>
    </w:p>
    <w:p w14:paraId="63B3CF4D" w14:textId="6DB81318" w:rsidR="001E426C" w:rsidRDefault="00700B28" w:rsidP="00C9265D">
      <w:r>
        <w:t xml:space="preserve">Poskytovatel by měl </w:t>
      </w:r>
      <w:r w:rsidR="001B5221">
        <w:t xml:space="preserve">vydat prohlášení o přístupnosti (například že plní normu </w:t>
      </w:r>
      <w:r w:rsidR="001B5221" w:rsidRPr="001B5221">
        <w:t>EN 301</w:t>
      </w:r>
      <w:r w:rsidR="001B5221">
        <w:t> </w:t>
      </w:r>
      <w:r w:rsidR="001B5221" w:rsidRPr="001B5221">
        <w:t>549</w:t>
      </w:r>
      <w:r w:rsidR="001B5221">
        <w:t xml:space="preserve"> </w:t>
      </w:r>
      <w:proofErr w:type="spellStart"/>
      <w:r w:rsidR="00013A39" w:rsidRPr="00013A39">
        <w:t>Accessibility</w:t>
      </w:r>
      <w:proofErr w:type="spellEnd"/>
      <w:r w:rsidR="00013A39" w:rsidRPr="00013A39">
        <w:t xml:space="preserve"> </w:t>
      </w:r>
      <w:proofErr w:type="spellStart"/>
      <w:r w:rsidR="00013A39" w:rsidRPr="00013A39">
        <w:t>requirements</w:t>
      </w:r>
      <w:proofErr w:type="spellEnd"/>
      <w:r w:rsidR="00013A39" w:rsidRPr="00013A39">
        <w:t xml:space="preserve"> </w:t>
      </w:r>
      <w:proofErr w:type="spellStart"/>
      <w:r w:rsidR="00013A39" w:rsidRPr="00013A39">
        <w:t>for</w:t>
      </w:r>
      <w:proofErr w:type="spellEnd"/>
      <w:r w:rsidR="00013A39" w:rsidRPr="00013A39">
        <w:t xml:space="preserve"> ICT </w:t>
      </w:r>
      <w:proofErr w:type="spellStart"/>
      <w:r w:rsidR="00013A39" w:rsidRPr="00013A39">
        <w:t>products</w:t>
      </w:r>
      <w:proofErr w:type="spellEnd"/>
      <w:r w:rsidR="00013A39" w:rsidRPr="00013A39">
        <w:t xml:space="preserve"> and </w:t>
      </w:r>
      <w:proofErr w:type="spellStart"/>
      <w:r w:rsidR="00013A39" w:rsidRPr="00013A39">
        <w:t>services</w:t>
      </w:r>
      <w:proofErr w:type="spellEnd"/>
      <w:r w:rsidR="00013A39">
        <w:t>).</w:t>
      </w:r>
      <w:r w:rsidR="00444D7F">
        <w:t xml:space="preserve"> </w:t>
      </w:r>
      <w:r w:rsidR="00444D7F" w:rsidRPr="00444D7F">
        <w:t>EN 301 549 do značné míry čerpá z pokynů pro přístupnost webového obsahu v2.1</w:t>
      </w:r>
      <w:r w:rsidR="00444D7F">
        <w:t xml:space="preserve"> </w:t>
      </w:r>
      <w:r w:rsidR="009F3A9A">
        <w:t>(</w:t>
      </w:r>
      <w:hyperlink r:id="rId6" w:history="1">
        <w:r w:rsidR="009F3A9A" w:rsidRPr="008151F2">
          <w:rPr>
            <w:rStyle w:val="Hypertextovodkaz"/>
          </w:rPr>
          <w:t>https://www.w3.org/TR/WCAG21/</w:t>
        </w:r>
      </w:hyperlink>
      <w:r w:rsidR="009F3A9A">
        <w:t xml:space="preserve">) </w:t>
      </w:r>
      <w:r w:rsidR="00444D7F" w:rsidRPr="00444D7F">
        <w:t>vydan</w:t>
      </w:r>
      <w:r w:rsidR="00444D7F" w:rsidRPr="00444D7F">
        <w:rPr>
          <w:rFonts w:ascii="Aptos" w:hAnsi="Aptos" w:cs="Aptos"/>
        </w:rPr>
        <w:t>ý</w:t>
      </w:r>
      <w:r w:rsidR="00444D7F" w:rsidRPr="00444D7F">
        <w:t>ch W3C a zn</w:t>
      </w:r>
      <w:r w:rsidR="00444D7F" w:rsidRPr="00444D7F">
        <w:rPr>
          <w:rFonts w:ascii="Aptos" w:hAnsi="Aptos" w:cs="Aptos"/>
        </w:rPr>
        <w:t>á</w:t>
      </w:r>
      <w:r w:rsidR="00444D7F" w:rsidRPr="00444D7F">
        <w:t>m</w:t>
      </w:r>
      <w:r w:rsidR="00444D7F" w:rsidRPr="00444D7F">
        <w:rPr>
          <w:rFonts w:ascii="Aptos" w:hAnsi="Aptos" w:cs="Aptos"/>
        </w:rPr>
        <w:t>ý</w:t>
      </w:r>
      <w:r w:rsidR="00444D7F" w:rsidRPr="00444D7F">
        <w:t>ch jako WCAG 2.1. Tyto WCAG jsou mezin</w:t>
      </w:r>
      <w:r w:rsidR="00444D7F" w:rsidRPr="00444D7F">
        <w:rPr>
          <w:rFonts w:ascii="Aptos" w:hAnsi="Aptos" w:cs="Aptos"/>
        </w:rPr>
        <w:t>á</w:t>
      </w:r>
      <w:r w:rsidR="00444D7F" w:rsidRPr="00444D7F">
        <w:t>rodn</w:t>
      </w:r>
      <w:r w:rsidR="00444D7F" w:rsidRPr="00444D7F">
        <w:rPr>
          <w:rFonts w:ascii="Aptos" w:hAnsi="Aptos" w:cs="Aptos"/>
        </w:rPr>
        <w:t>ě</w:t>
      </w:r>
      <w:r w:rsidR="00444D7F" w:rsidRPr="00444D7F">
        <w:t xml:space="preserve"> uzn</w:t>
      </w:r>
      <w:r w:rsidR="00444D7F" w:rsidRPr="00444D7F">
        <w:rPr>
          <w:rFonts w:ascii="Aptos" w:hAnsi="Aptos" w:cs="Aptos"/>
        </w:rPr>
        <w:t>á</w:t>
      </w:r>
      <w:r w:rsidR="00444D7F" w:rsidRPr="00444D7F">
        <w:t>van</w:t>
      </w:r>
      <w:r w:rsidR="00444D7F" w:rsidRPr="00444D7F">
        <w:rPr>
          <w:rFonts w:ascii="Aptos" w:hAnsi="Aptos" w:cs="Aptos"/>
        </w:rPr>
        <w:t>é</w:t>
      </w:r>
      <w:r w:rsidR="00444D7F" w:rsidRPr="00444D7F">
        <w:t xml:space="preserve"> po</w:t>
      </w:r>
      <w:r w:rsidR="00444D7F" w:rsidRPr="00444D7F">
        <w:rPr>
          <w:rFonts w:ascii="Aptos" w:hAnsi="Aptos" w:cs="Aptos"/>
        </w:rPr>
        <w:t>ž</w:t>
      </w:r>
      <w:r w:rsidR="00444D7F" w:rsidRPr="00444D7F">
        <w:t>adavky na tvorbu webov</w:t>
      </w:r>
      <w:r w:rsidR="00444D7F" w:rsidRPr="00444D7F">
        <w:rPr>
          <w:rFonts w:ascii="Aptos" w:hAnsi="Aptos" w:cs="Aptos"/>
        </w:rPr>
        <w:t>é</w:t>
      </w:r>
      <w:r w:rsidR="00444D7F" w:rsidRPr="00444D7F">
        <w:t>ho obsahu. Jsou pova</w:t>
      </w:r>
      <w:r w:rsidR="00444D7F" w:rsidRPr="00444D7F">
        <w:rPr>
          <w:rFonts w:ascii="Aptos" w:hAnsi="Aptos" w:cs="Aptos"/>
        </w:rPr>
        <w:t>ž</w:t>
      </w:r>
      <w:r w:rsidR="00444D7F" w:rsidRPr="00444D7F">
        <w:t>ov</w:t>
      </w:r>
      <w:r w:rsidR="00444D7F" w:rsidRPr="00444D7F">
        <w:rPr>
          <w:rFonts w:ascii="Aptos" w:hAnsi="Aptos" w:cs="Aptos"/>
        </w:rPr>
        <w:t>á</w:t>
      </w:r>
      <w:r w:rsidR="00444D7F" w:rsidRPr="00444D7F">
        <w:t>ny za osv</w:t>
      </w:r>
      <w:r w:rsidR="00444D7F" w:rsidRPr="00444D7F">
        <w:rPr>
          <w:rFonts w:ascii="Aptos" w:hAnsi="Aptos" w:cs="Aptos"/>
        </w:rPr>
        <w:t>ě</w:t>
      </w:r>
      <w:r w:rsidR="00444D7F" w:rsidRPr="00444D7F">
        <w:t>d</w:t>
      </w:r>
      <w:r w:rsidR="00444D7F" w:rsidRPr="00444D7F">
        <w:rPr>
          <w:rFonts w:ascii="Aptos" w:hAnsi="Aptos" w:cs="Aptos"/>
        </w:rPr>
        <w:t>č</w:t>
      </w:r>
      <w:r w:rsidR="00444D7F" w:rsidRPr="00444D7F">
        <w:t>en</w:t>
      </w:r>
      <w:r w:rsidR="00444D7F" w:rsidRPr="00444D7F">
        <w:rPr>
          <w:rFonts w:ascii="Aptos" w:hAnsi="Aptos" w:cs="Aptos"/>
        </w:rPr>
        <w:t>é</w:t>
      </w:r>
      <w:r w:rsidR="00444D7F" w:rsidRPr="00444D7F">
        <w:t xml:space="preserve"> postupy a jsou velmi </w:t>
      </w:r>
      <w:r w:rsidR="00444D7F" w:rsidRPr="00444D7F">
        <w:rPr>
          <w:rFonts w:ascii="Aptos" w:hAnsi="Aptos" w:cs="Aptos"/>
        </w:rPr>
        <w:t>š</w:t>
      </w:r>
      <w:r w:rsidR="00444D7F" w:rsidRPr="00444D7F">
        <w:t>iroce pou</w:t>
      </w:r>
      <w:r w:rsidR="00444D7F" w:rsidRPr="00444D7F">
        <w:rPr>
          <w:rFonts w:ascii="Aptos" w:hAnsi="Aptos" w:cs="Aptos"/>
        </w:rPr>
        <w:t>ží</w:t>
      </w:r>
      <w:r w:rsidR="00444D7F" w:rsidRPr="00444D7F">
        <w:t>v</w:t>
      </w:r>
      <w:r w:rsidR="00444D7F" w:rsidRPr="00444D7F">
        <w:rPr>
          <w:rFonts w:ascii="Aptos" w:hAnsi="Aptos" w:cs="Aptos"/>
        </w:rPr>
        <w:t>á</w:t>
      </w:r>
      <w:r w:rsidR="00444D7F" w:rsidRPr="00444D7F">
        <w:t>ny.</w:t>
      </w:r>
      <w:r w:rsidR="00047D3E">
        <w:t xml:space="preserve"> Neoficiální překlad normy je zde: </w:t>
      </w:r>
      <w:r w:rsidR="00047D3E" w:rsidRPr="00047D3E">
        <w:t>https://drive.google.com/file/d/1pXDZpql8-oT5YU-AHKuKM8bm3Q8dJye9/view?usp=sharing</w:t>
      </w:r>
    </w:p>
    <w:p w14:paraId="0EF30C58" w14:textId="74CCC8C2" w:rsidR="00795F98" w:rsidRDefault="00795F98" w:rsidP="00C9265D">
      <w:r>
        <w:t>Jednou ze specifických povinností</w:t>
      </w:r>
      <w:r w:rsidR="002E4843">
        <w:t xml:space="preserve"> je povinnost poskytovat</w:t>
      </w:r>
      <w:r w:rsidR="005A1E04">
        <w:t>elů hlasové služby zprostředkovat kromě přenosu hlasu také Real Time Text (RTT). V této věci jsme komunikovali s</w:t>
      </w:r>
      <w:r w:rsidR="00CB06C1">
        <w:t> </w:t>
      </w:r>
      <w:r w:rsidR="005A1E04">
        <w:t>ČTÚ</w:t>
      </w:r>
      <w:r w:rsidR="00CB06C1">
        <w:t>, které sdělilo, že není stanovený poskytovatel konverzní služby RTT</w:t>
      </w:r>
      <w:r w:rsidR="00D11F24">
        <w:t xml:space="preserve">: </w:t>
      </w:r>
    </w:p>
    <w:p w14:paraId="55E287A4" w14:textId="313E1968" w:rsidR="00D11F24" w:rsidRDefault="00780F1D" w:rsidP="00C9265D">
      <w:r>
        <w:rPr>
          <w:i/>
          <w:iCs/>
        </w:rPr>
        <w:t xml:space="preserve">Duben 2025: </w:t>
      </w:r>
      <w:r w:rsidR="00D11F24">
        <w:rPr>
          <w:i/>
          <w:iCs/>
        </w:rPr>
        <w:t>„</w:t>
      </w:r>
      <w:r w:rsidR="00D11F24" w:rsidRPr="00D11F24">
        <w:rPr>
          <w:i/>
          <w:iCs/>
        </w:rPr>
        <w:t>V tuto chvíli nemáme informace o tom, že by ČR ve smyslu Vámi zmíněného odstavce 28 recitálu Směrnice ustanovila poskytovatele konverzní služby. Bližší informace by v tomto směru mělo být schopno podat MPO, kde je možno se obracet na oddělení technické harmonizace, konkrétně na pana kolegu Mgr. Jakuba Korce (</w:t>
      </w:r>
      <w:hyperlink r:id="rId7" w:tgtFrame="_blank" w:history="1">
        <w:r w:rsidR="00D11F24" w:rsidRPr="00D11F24">
          <w:rPr>
            <w:rStyle w:val="Hypertextovodkaz"/>
            <w:i/>
            <w:iCs/>
          </w:rPr>
          <w:t>jakub.korec@mpo.gov.cz</w:t>
        </w:r>
      </w:hyperlink>
      <w:r w:rsidR="00D11F24" w:rsidRPr="00D11F24">
        <w:rPr>
          <w:i/>
          <w:iCs/>
        </w:rPr>
        <w:t>).</w:t>
      </w:r>
      <w:r w:rsidR="00D11F24">
        <w:rPr>
          <w:i/>
          <w:iCs/>
        </w:rPr>
        <w:t>“</w:t>
      </w:r>
    </w:p>
    <w:p w14:paraId="776F2B76" w14:textId="77777777" w:rsidR="00877DF4" w:rsidRDefault="007E64E6" w:rsidP="00C9265D">
      <w:r>
        <w:t>Protože bez stanovení národního poskytovatele RTT služby nemůžeme takovou službu poskytovat, nepovažujeme tuto povinnost za splnitelnou</w:t>
      </w:r>
      <w:r w:rsidR="00C82F6B">
        <w:t xml:space="preserve"> – to se však bude časem měnit. </w:t>
      </w:r>
      <w:r w:rsidR="00877DF4">
        <w:t xml:space="preserve">Bude nutné také nabídnout zařízení s podporou služby. Týká se i VOIP. </w:t>
      </w:r>
    </w:p>
    <w:p w14:paraId="21391401" w14:textId="6C588910" w:rsidR="00187362" w:rsidRDefault="00E91077" w:rsidP="00C9265D">
      <w:r>
        <w:t xml:space="preserve">Výrobky: </w:t>
      </w:r>
      <w:r w:rsidR="00187362">
        <w:t>EAA se také týká výrobků uváděných na trh</w:t>
      </w:r>
      <w:r w:rsidR="00962249">
        <w:t xml:space="preserve">. Nově uváděné výrobky, v našem případě například koncová zařízení, budou muset </w:t>
      </w:r>
      <w:r w:rsidR="0086532B">
        <w:t xml:space="preserve">plnit požadavky na přístupnost. </w:t>
      </w:r>
      <w:r w:rsidR="008901FF">
        <w:t xml:space="preserve">Podle §8 Zákona je odpovědný nejenom výrobce, ale i distributor. </w:t>
      </w:r>
    </w:p>
    <w:p w14:paraId="24FA7DAC" w14:textId="38E331B2" w:rsidR="00E91077" w:rsidRDefault="00312E7C" w:rsidP="00C9265D">
      <w:r>
        <w:t xml:space="preserve">Služby: Poskytovatelé služby jsou odpovědní za plnění požadavku na přístupnost. </w:t>
      </w:r>
      <w:r w:rsidR="00117D97">
        <w:t>Je nutné do Všeobecných obchodních podmínek</w:t>
      </w:r>
      <w:r w:rsidR="00D44D2A">
        <w:t xml:space="preserve"> (nebo podobném dokumentu)</w:t>
      </w:r>
      <w:r w:rsidR="00117D97">
        <w:t xml:space="preserve"> doplnit, jak </w:t>
      </w:r>
      <w:r w:rsidR="00D44D2A">
        <w:t xml:space="preserve">poskytovaná služby plní požadavky na přístupnost. </w:t>
      </w:r>
      <w:r w:rsidR="007B7DF1">
        <w:t>Všeobecný popis služby doplní vysvětlivkami fungování služby</w:t>
      </w:r>
      <w:r w:rsidR="00CC09C9">
        <w:t>.</w:t>
      </w:r>
      <w:r w:rsidR="00CC09C9" w:rsidRPr="00467D64">
        <w:rPr>
          <w:b/>
          <w:bCs/>
        </w:rPr>
        <w:t xml:space="preserve"> </w:t>
      </w:r>
      <w:r w:rsidR="001529E0">
        <w:rPr>
          <w:b/>
          <w:bCs/>
        </w:rPr>
        <w:t xml:space="preserve">Bude jednoduché pochopit povinnosti IPTV providerů, složitější je pochopení u poskytovatelů prostého přenosu. </w:t>
      </w:r>
      <w:r w:rsidR="00467D64" w:rsidRPr="00467D64">
        <w:rPr>
          <w:b/>
          <w:bCs/>
        </w:rPr>
        <w:t>Je zjevné, že samotná služba</w:t>
      </w:r>
      <w:r w:rsidR="00467D64">
        <w:t xml:space="preserve"> připojení k internetu není vidět ani slyšet, </w:t>
      </w:r>
      <w:proofErr w:type="gramStart"/>
      <w:r w:rsidR="00467D64">
        <w:t xml:space="preserve">takže </w:t>
      </w:r>
      <w:r w:rsidR="00467D64" w:rsidRPr="00467D64">
        <w:t xml:space="preserve"> </w:t>
      </w:r>
      <w:r w:rsidR="00536BB4">
        <w:t>se</w:t>
      </w:r>
      <w:proofErr w:type="gramEnd"/>
      <w:r w:rsidR="00536BB4">
        <w:t xml:space="preserve"> prohlášení a audit o přístupnosti bude týkat zejména procesů: </w:t>
      </w:r>
    </w:p>
    <w:p w14:paraId="0DCB8B01" w14:textId="562CD508" w:rsidR="00536BB4" w:rsidRDefault="00C348E2" w:rsidP="00C348E2">
      <w:pPr>
        <w:pStyle w:val="Odstavecseseznamem"/>
        <w:numPr>
          <w:ilvl w:val="0"/>
          <w:numId w:val="1"/>
        </w:numPr>
      </w:pPr>
      <w:r>
        <w:t>uzavření smlouvy,</w:t>
      </w:r>
      <w:r>
        <w:t xml:space="preserve"> </w:t>
      </w:r>
      <w:r>
        <w:t>správa účtu,</w:t>
      </w:r>
      <w:r>
        <w:t xml:space="preserve"> </w:t>
      </w:r>
      <w:r>
        <w:t>fakturace,</w:t>
      </w:r>
      <w:r>
        <w:t xml:space="preserve"> </w:t>
      </w:r>
      <w:r>
        <w:t>zákaznický servis.</w:t>
      </w:r>
    </w:p>
    <w:p w14:paraId="54C4EE78" w14:textId="77777777" w:rsidR="0086532B" w:rsidRDefault="0086532B" w:rsidP="00C9265D"/>
    <w:p w14:paraId="3D382C37" w14:textId="77777777" w:rsidR="007F4EE3" w:rsidRPr="007F4EE3" w:rsidRDefault="007F4EE3" w:rsidP="007F4EE3">
      <w:pPr>
        <w:rPr>
          <w:b/>
          <w:bCs/>
        </w:rPr>
      </w:pPr>
      <w:r w:rsidRPr="007F4EE3">
        <w:rPr>
          <w:b/>
          <w:bCs/>
        </w:rPr>
        <w:t>Povinnosti:</w:t>
      </w:r>
    </w:p>
    <w:p w14:paraId="2F04FDCB" w14:textId="77777777" w:rsidR="007F4EE3" w:rsidRPr="007F4EE3" w:rsidRDefault="007F4EE3" w:rsidP="007F4EE3">
      <w:pPr>
        <w:numPr>
          <w:ilvl w:val="0"/>
          <w:numId w:val="2"/>
        </w:numPr>
      </w:pPr>
      <w:r w:rsidRPr="007F4EE3">
        <w:t xml:space="preserve">Umožnit </w:t>
      </w:r>
      <w:r w:rsidRPr="007F4EE3">
        <w:rPr>
          <w:b/>
          <w:bCs/>
        </w:rPr>
        <w:t>rovnocenný přístup</w:t>
      </w:r>
      <w:r w:rsidRPr="007F4EE3">
        <w:t xml:space="preserve"> osobám s různým typem postižení.</w:t>
      </w:r>
    </w:p>
    <w:p w14:paraId="6D8916FB" w14:textId="77777777" w:rsidR="007F4EE3" w:rsidRPr="007F4EE3" w:rsidRDefault="007F4EE3" w:rsidP="007F4EE3">
      <w:pPr>
        <w:numPr>
          <w:ilvl w:val="0"/>
          <w:numId w:val="2"/>
        </w:numPr>
      </w:pPr>
      <w:r w:rsidRPr="007F4EE3">
        <w:t xml:space="preserve">Používat rozhraní kompatibilní s </w:t>
      </w:r>
      <w:proofErr w:type="spellStart"/>
      <w:r w:rsidRPr="007F4EE3">
        <w:t>asistivními</w:t>
      </w:r>
      <w:proofErr w:type="spellEnd"/>
      <w:r w:rsidRPr="007F4EE3">
        <w:t xml:space="preserve"> technologiemi (např. čtečky obrazovky).</w:t>
      </w:r>
    </w:p>
    <w:p w14:paraId="3F438AE7" w14:textId="77777777" w:rsidR="007F4EE3" w:rsidRPr="007F4EE3" w:rsidRDefault="007F4EE3" w:rsidP="007F4EE3">
      <w:pPr>
        <w:numPr>
          <w:ilvl w:val="0"/>
          <w:numId w:val="2"/>
        </w:numPr>
      </w:pPr>
      <w:r w:rsidRPr="007F4EE3">
        <w:t xml:space="preserve">Ovládací prvky musí být </w:t>
      </w:r>
      <w:r w:rsidRPr="007F4EE3">
        <w:rPr>
          <w:b/>
          <w:bCs/>
        </w:rPr>
        <w:t>srozumitelné, ovladatelné, čitelné</w:t>
      </w:r>
      <w:r w:rsidRPr="007F4EE3">
        <w:t>.</w:t>
      </w:r>
    </w:p>
    <w:p w14:paraId="1318EB21" w14:textId="77777777" w:rsidR="007F4EE3" w:rsidRDefault="007F4EE3" w:rsidP="00C9265D"/>
    <w:p w14:paraId="56F0639A" w14:textId="4ACBAD3C" w:rsidR="00DB364C" w:rsidRDefault="00DB364C" w:rsidP="00C9265D">
      <w:r>
        <w:t xml:space="preserve"> </w:t>
      </w:r>
    </w:p>
    <w:p w14:paraId="2EADE9C0" w14:textId="77777777" w:rsidR="00587C88" w:rsidRDefault="00587C88" w:rsidP="00C9265D"/>
    <w:sectPr w:rsidR="00587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53614"/>
    <w:multiLevelType w:val="hybridMultilevel"/>
    <w:tmpl w:val="8C0AF808"/>
    <w:lvl w:ilvl="0" w:tplc="A822AD0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278D8"/>
    <w:multiLevelType w:val="multilevel"/>
    <w:tmpl w:val="9EFA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0929129">
    <w:abstractNumId w:val="0"/>
  </w:num>
  <w:num w:numId="2" w16cid:durableId="2077824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FB"/>
    <w:rsid w:val="00004B90"/>
    <w:rsid w:val="00013A39"/>
    <w:rsid w:val="00047D3E"/>
    <w:rsid w:val="00117D97"/>
    <w:rsid w:val="00140DD8"/>
    <w:rsid w:val="001529E0"/>
    <w:rsid w:val="001561F6"/>
    <w:rsid w:val="00187362"/>
    <w:rsid w:val="001B5221"/>
    <w:rsid w:val="001E426C"/>
    <w:rsid w:val="002139DC"/>
    <w:rsid w:val="00216A0F"/>
    <w:rsid w:val="002E4843"/>
    <w:rsid w:val="00312E7C"/>
    <w:rsid w:val="003F4442"/>
    <w:rsid w:val="00432DBF"/>
    <w:rsid w:val="00444D7F"/>
    <w:rsid w:val="00467D64"/>
    <w:rsid w:val="00536BB4"/>
    <w:rsid w:val="005371DD"/>
    <w:rsid w:val="00573539"/>
    <w:rsid w:val="00587C88"/>
    <w:rsid w:val="005A1E04"/>
    <w:rsid w:val="006B237E"/>
    <w:rsid w:val="006F4881"/>
    <w:rsid w:val="00700B28"/>
    <w:rsid w:val="007106DD"/>
    <w:rsid w:val="00780F1D"/>
    <w:rsid w:val="00795F98"/>
    <w:rsid w:val="007A4239"/>
    <w:rsid w:val="007B7DF1"/>
    <w:rsid w:val="007E64E6"/>
    <w:rsid w:val="007F4EE3"/>
    <w:rsid w:val="00850D6B"/>
    <w:rsid w:val="008573FB"/>
    <w:rsid w:val="0086532B"/>
    <w:rsid w:val="00877DF4"/>
    <w:rsid w:val="008901FF"/>
    <w:rsid w:val="00962249"/>
    <w:rsid w:val="009F3A9A"/>
    <w:rsid w:val="00B92736"/>
    <w:rsid w:val="00BB03EB"/>
    <w:rsid w:val="00BB7B81"/>
    <w:rsid w:val="00C348E2"/>
    <w:rsid w:val="00C653C7"/>
    <w:rsid w:val="00C82F6B"/>
    <w:rsid w:val="00C9265D"/>
    <w:rsid w:val="00CB06C1"/>
    <w:rsid w:val="00CC09C9"/>
    <w:rsid w:val="00D11F24"/>
    <w:rsid w:val="00D44D2A"/>
    <w:rsid w:val="00DB364C"/>
    <w:rsid w:val="00E91077"/>
    <w:rsid w:val="00EB45F7"/>
    <w:rsid w:val="00EC1B3F"/>
    <w:rsid w:val="00F2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1274"/>
  <w15:chartTrackingRefBased/>
  <w15:docId w15:val="{3DA8B73B-B9D8-4767-BA5E-CDFC1F56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7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7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73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7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73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7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7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7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7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73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73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73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73F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73F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73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73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73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73F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57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7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7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57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57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573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573F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573F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73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73F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573F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44D7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4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7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kub.korec@mpo.g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3.org/TR/WCAG21/" TargetMode="External"/><Relationship Id="rId5" Type="http://schemas.openxmlformats.org/officeDocument/2006/relationships/hyperlink" Target="https://www.zakonyprolidi.cz/cs/2023-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519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Rejzek</dc:creator>
  <cp:keywords/>
  <dc:description/>
  <cp:lastModifiedBy>Jakub Rejzek</cp:lastModifiedBy>
  <cp:revision>52</cp:revision>
  <dcterms:created xsi:type="dcterms:W3CDTF">2025-06-30T08:19:00Z</dcterms:created>
  <dcterms:modified xsi:type="dcterms:W3CDTF">2025-06-30T09:44:00Z</dcterms:modified>
</cp:coreProperties>
</file>