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23C28" w14:textId="31902BD3" w:rsidR="003901D7" w:rsidRPr="002309CE" w:rsidRDefault="003901D7" w:rsidP="003901D7">
      <w:pPr>
        <w:spacing w:after="36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2309CE">
        <w:rPr>
          <w:rFonts w:ascii="Arial" w:hAnsi="Arial" w:cs="Arial"/>
          <w:b/>
          <w:sz w:val="22"/>
          <w:szCs w:val="22"/>
        </w:rPr>
        <w:t>PŘEDKLÁDACÍ ZPRÁVA</w:t>
      </w:r>
    </w:p>
    <w:p w14:paraId="0B6A801C" w14:textId="77777777" w:rsidR="003901D7" w:rsidRPr="002309CE" w:rsidRDefault="003901D7" w:rsidP="003901D7">
      <w:pPr>
        <w:spacing w:before="200" w:after="60" w:line="240" w:lineRule="auto"/>
        <w:jc w:val="both"/>
        <w:rPr>
          <w:rFonts w:ascii="Arial" w:hAnsi="Arial" w:cs="Arial"/>
          <w:sz w:val="22"/>
          <w:szCs w:val="22"/>
        </w:rPr>
      </w:pPr>
      <w:r w:rsidRPr="002309CE">
        <w:rPr>
          <w:rFonts w:ascii="Arial" w:hAnsi="Arial" w:cs="Arial"/>
          <w:sz w:val="22"/>
          <w:szCs w:val="22"/>
        </w:rPr>
        <w:t>Vláda uložila svým usnesením č. 94/2019 k </w:t>
      </w:r>
      <w:r w:rsidRPr="002309CE">
        <w:rPr>
          <w:rFonts w:ascii="Arial" w:hAnsi="Arial" w:cs="Arial"/>
          <w:i/>
          <w:sz w:val="22"/>
          <w:szCs w:val="22"/>
        </w:rPr>
        <w:t>Národní koncepci realizace politiky soudržnosti v ČR po roce 2020 – podkladu pro Dohodu o partnerství pro období 2021-2027, k přípravě Dohody o partnerství a operačních programů ČR pro fondy EU v oblasti soudržnosti na období 2021-2027 ministryni pro místní rozvoj</w:t>
      </w:r>
      <w:r w:rsidRPr="002309CE">
        <w:rPr>
          <w:rFonts w:ascii="Arial" w:hAnsi="Arial" w:cs="Arial"/>
          <w:sz w:val="22"/>
          <w:szCs w:val="22"/>
        </w:rPr>
        <w:t xml:space="preserve"> předložit vládě do 31. července 2019 její konečnou podobu.</w:t>
      </w:r>
    </w:p>
    <w:p w14:paraId="0FC160C8" w14:textId="2F62551A" w:rsidR="003901D7" w:rsidRPr="002309CE" w:rsidRDefault="003901D7" w:rsidP="003901D7">
      <w:pPr>
        <w:spacing w:before="200" w:after="60" w:line="24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2309CE">
        <w:rPr>
          <w:rFonts w:ascii="Arial" w:hAnsi="Arial" w:cs="Arial"/>
          <w:sz w:val="22"/>
          <w:szCs w:val="22"/>
        </w:rPr>
        <w:t>Národní koncepc</w:t>
      </w:r>
      <w:r w:rsidR="00821C58">
        <w:rPr>
          <w:rFonts w:ascii="Arial" w:hAnsi="Arial" w:cs="Arial"/>
          <w:sz w:val="22"/>
          <w:szCs w:val="22"/>
        </w:rPr>
        <w:t>e</w:t>
      </w:r>
      <w:r w:rsidRPr="002309CE">
        <w:rPr>
          <w:rFonts w:ascii="Arial" w:hAnsi="Arial" w:cs="Arial"/>
          <w:sz w:val="22"/>
          <w:szCs w:val="22"/>
        </w:rPr>
        <w:t xml:space="preserve"> realizace politiky soudržnosti v ČR po roce 2020 (dále také NKR či Národní koncepce) má za cíl připravit ČR na čerpání v období 2021-2027, pro které bude k dispozici cca 20 mld. EURO. Víceletý finanční rámec stejně jako i legislativa pro EU fondy jsou i v době předložení konečné verze Národní koncepce na EU úrovni nedojednány. Finanční, strategické i procesní pozadí EU fondů tak může doznat v dalších měsících určitých změn a bude nutné je reflektovat i na národní úrovni.</w:t>
      </w:r>
    </w:p>
    <w:bookmarkEnd w:id="0"/>
    <w:p w14:paraId="08AA8B63" w14:textId="77777777" w:rsidR="003901D7" w:rsidRPr="002309CE" w:rsidRDefault="003901D7" w:rsidP="003901D7">
      <w:pPr>
        <w:spacing w:before="200" w:after="60" w:line="240" w:lineRule="auto"/>
        <w:jc w:val="both"/>
        <w:rPr>
          <w:rFonts w:ascii="Arial" w:hAnsi="Arial" w:cs="Arial"/>
          <w:sz w:val="22"/>
          <w:szCs w:val="22"/>
        </w:rPr>
      </w:pPr>
      <w:r w:rsidRPr="002309CE">
        <w:rPr>
          <w:rFonts w:ascii="Arial" w:hAnsi="Arial" w:cs="Arial"/>
          <w:sz w:val="22"/>
          <w:szCs w:val="22"/>
        </w:rPr>
        <w:t xml:space="preserve">Informaci o vyjednávání EU legislativy Ministerstvo pro místní rozvoj předkládá vládě do konce června 2019, detailní informace o přípravě Dohody o partnerství a operačních programů je vládě předkládána v samostatném dokumentu do konce července 2019. </w:t>
      </w:r>
    </w:p>
    <w:p w14:paraId="11B20752" w14:textId="77777777" w:rsidR="003901D7" w:rsidRPr="002309CE" w:rsidRDefault="003901D7" w:rsidP="003901D7">
      <w:pPr>
        <w:spacing w:before="200" w:after="60" w:line="240" w:lineRule="auto"/>
        <w:jc w:val="both"/>
        <w:rPr>
          <w:rFonts w:ascii="Arial" w:hAnsi="Arial" w:cs="Arial"/>
          <w:sz w:val="22"/>
          <w:szCs w:val="22"/>
        </w:rPr>
      </w:pPr>
      <w:r w:rsidRPr="002309CE">
        <w:rPr>
          <w:rFonts w:ascii="Arial" w:hAnsi="Arial" w:cs="Arial"/>
          <w:sz w:val="22"/>
          <w:szCs w:val="22"/>
        </w:rPr>
        <w:t>Oproti NKR vzaté vládou na vědomí v únoru t. r. dochází v předložené konečné podobě NKR k následujícím změnám:</w:t>
      </w:r>
    </w:p>
    <w:p w14:paraId="75CF8AA9" w14:textId="77777777" w:rsidR="003901D7" w:rsidRPr="0071307D" w:rsidRDefault="003901D7" w:rsidP="003901D7">
      <w:pPr>
        <w:pStyle w:val="Odstavecseseznamem"/>
        <w:numPr>
          <w:ilvl w:val="0"/>
          <w:numId w:val="4"/>
        </w:numPr>
        <w:spacing w:before="40" w:after="80" w:line="240" w:lineRule="auto"/>
        <w:ind w:left="425" w:hanging="357"/>
        <w:contextualSpacing w:val="0"/>
        <w:jc w:val="both"/>
        <w:rPr>
          <w:rFonts w:ascii="Arial" w:hAnsi="Arial" w:cs="Arial"/>
          <w:b/>
          <w:i/>
          <w:sz w:val="22"/>
          <w:szCs w:val="22"/>
        </w:rPr>
      </w:pPr>
      <w:r w:rsidRPr="0071307D">
        <w:rPr>
          <w:rFonts w:ascii="Arial" w:hAnsi="Arial" w:cs="Arial"/>
          <w:b/>
          <w:i/>
          <w:sz w:val="22"/>
          <w:szCs w:val="22"/>
        </w:rPr>
        <w:t>Analytická část</w:t>
      </w:r>
      <w:r w:rsidRPr="0071307D">
        <w:rPr>
          <w:rFonts w:ascii="Arial" w:hAnsi="Arial" w:cs="Arial"/>
          <w:i/>
          <w:sz w:val="22"/>
          <w:szCs w:val="22"/>
        </w:rPr>
        <w:t xml:space="preserve"> – byly provedeny dílčí úpravy textu i názvů podoblastí; část byla rozšířena o podoblast cestovního ruchu; upravena byla i SWOT analýza.</w:t>
      </w:r>
    </w:p>
    <w:p w14:paraId="3607663D" w14:textId="77777777" w:rsidR="003901D7" w:rsidRPr="0071307D" w:rsidRDefault="003901D7" w:rsidP="003901D7">
      <w:pPr>
        <w:pStyle w:val="Odstavecseseznamem"/>
        <w:numPr>
          <w:ilvl w:val="0"/>
          <w:numId w:val="4"/>
        </w:numPr>
        <w:spacing w:before="40" w:after="80" w:line="240" w:lineRule="auto"/>
        <w:ind w:left="425" w:hanging="357"/>
        <w:contextualSpacing w:val="0"/>
        <w:jc w:val="both"/>
        <w:rPr>
          <w:rFonts w:ascii="Arial" w:hAnsi="Arial" w:cs="Arial"/>
          <w:b/>
          <w:i/>
          <w:sz w:val="22"/>
          <w:szCs w:val="22"/>
        </w:rPr>
      </w:pPr>
      <w:r w:rsidRPr="0071307D">
        <w:rPr>
          <w:rFonts w:ascii="Arial" w:hAnsi="Arial" w:cs="Arial"/>
          <w:b/>
          <w:i/>
          <w:sz w:val="22"/>
          <w:szCs w:val="22"/>
        </w:rPr>
        <w:t>Evropská rovina</w:t>
      </w:r>
      <w:r w:rsidRPr="0071307D">
        <w:rPr>
          <w:rFonts w:ascii="Arial" w:hAnsi="Arial" w:cs="Arial"/>
          <w:i/>
          <w:sz w:val="22"/>
          <w:szCs w:val="22"/>
        </w:rPr>
        <w:t xml:space="preserve"> – dílčím způsobem byla zvýrazněna role pravidel vyplývajících z nařízení pro EU fondy; vazba podoblastí na cíle politiky EU je nově součástí přílohy NKR.</w:t>
      </w:r>
    </w:p>
    <w:p w14:paraId="54E9FAEA" w14:textId="77777777" w:rsidR="003901D7" w:rsidRPr="0071307D" w:rsidRDefault="003901D7" w:rsidP="003901D7">
      <w:pPr>
        <w:pStyle w:val="Odstavecseseznamem"/>
        <w:numPr>
          <w:ilvl w:val="0"/>
          <w:numId w:val="4"/>
        </w:numPr>
        <w:spacing w:before="40" w:after="80" w:line="240" w:lineRule="auto"/>
        <w:ind w:left="425" w:hanging="357"/>
        <w:contextualSpacing w:val="0"/>
        <w:jc w:val="both"/>
        <w:rPr>
          <w:rFonts w:ascii="Arial" w:hAnsi="Arial" w:cs="Arial"/>
          <w:b/>
          <w:i/>
          <w:sz w:val="22"/>
          <w:szCs w:val="22"/>
        </w:rPr>
      </w:pPr>
      <w:r w:rsidRPr="0071307D">
        <w:rPr>
          <w:rFonts w:ascii="Arial" w:hAnsi="Arial" w:cs="Arial"/>
          <w:b/>
          <w:i/>
          <w:sz w:val="22"/>
          <w:szCs w:val="22"/>
        </w:rPr>
        <w:t xml:space="preserve">Návrhová část </w:t>
      </w:r>
      <w:r w:rsidRPr="0071307D">
        <w:rPr>
          <w:rFonts w:ascii="Arial" w:hAnsi="Arial" w:cs="Arial"/>
          <w:i/>
          <w:sz w:val="22"/>
          <w:szCs w:val="22"/>
        </w:rPr>
        <w:t xml:space="preserve">– došlo k zpřesnění textu ve vazbě na zpracování karet specifických cílů; doplnění vazeb cílů NKR vůči tématům společnost 4.0, klima či vůči územní dimenzi; klíčovými změnami je (1) posouzení relevance cílů NKR vůči investičním prioritám uvedeným ve Zprávě pro ČR v rámci Evropského semestru a (2) zhodnocení procesu </w:t>
      </w:r>
      <w:proofErr w:type="spellStart"/>
      <w:r w:rsidRPr="0071307D">
        <w:rPr>
          <w:rFonts w:ascii="Arial" w:hAnsi="Arial" w:cs="Arial"/>
          <w:i/>
          <w:sz w:val="22"/>
          <w:szCs w:val="22"/>
        </w:rPr>
        <w:t>prioritizace</w:t>
      </w:r>
      <w:proofErr w:type="spellEnd"/>
      <w:r w:rsidRPr="0071307D">
        <w:rPr>
          <w:rFonts w:ascii="Arial" w:hAnsi="Arial" w:cs="Arial"/>
          <w:i/>
          <w:sz w:val="22"/>
          <w:szCs w:val="22"/>
        </w:rPr>
        <w:t xml:space="preserve"> a uvedení jejích výsledků</w:t>
      </w:r>
    </w:p>
    <w:p w14:paraId="2F4BCB29" w14:textId="77777777" w:rsidR="003901D7" w:rsidRPr="0071307D" w:rsidRDefault="003901D7" w:rsidP="003901D7">
      <w:pPr>
        <w:pStyle w:val="Odstavecseseznamem"/>
        <w:numPr>
          <w:ilvl w:val="0"/>
          <w:numId w:val="4"/>
        </w:numPr>
        <w:spacing w:before="40" w:after="80" w:line="240" w:lineRule="auto"/>
        <w:ind w:left="425" w:hanging="357"/>
        <w:contextualSpacing w:val="0"/>
        <w:jc w:val="both"/>
        <w:rPr>
          <w:rStyle w:val="normaltextrun"/>
          <w:rFonts w:ascii="Arial" w:hAnsi="Arial" w:cs="Arial"/>
          <w:b/>
          <w:i/>
          <w:sz w:val="22"/>
          <w:szCs w:val="22"/>
        </w:rPr>
      </w:pPr>
      <w:r w:rsidRPr="0071307D">
        <w:rPr>
          <w:rFonts w:ascii="Arial" w:hAnsi="Arial" w:cs="Arial"/>
          <w:b/>
          <w:i/>
          <w:sz w:val="22"/>
          <w:szCs w:val="22"/>
        </w:rPr>
        <w:t>Implementační část</w:t>
      </w:r>
      <w:r w:rsidRPr="0071307D">
        <w:rPr>
          <w:rFonts w:ascii="Arial" w:hAnsi="Arial" w:cs="Arial"/>
          <w:i/>
          <w:sz w:val="22"/>
          <w:szCs w:val="22"/>
        </w:rPr>
        <w:t xml:space="preserve"> - </w:t>
      </w:r>
      <w:r w:rsidRPr="0071307D">
        <w:rPr>
          <w:rFonts w:ascii="Arial" w:hAnsi="Arial" w:cs="Arial"/>
          <w:i/>
          <w:color w:val="000000"/>
          <w:sz w:val="22"/>
          <w:szCs w:val="22"/>
        </w:rPr>
        <w:t xml:space="preserve">- do této části byly přesunuty části týkající se doplňkovosti s přímo řízenými programy EU; nově je také zařazena část věnující se finančním nástrojům či vazbě na Společnou zemědělskou politiku; dále je zde informace o </w:t>
      </w:r>
      <w:r w:rsidRPr="0071307D">
        <w:rPr>
          <w:rStyle w:val="normaltextrun"/>
          <w:rFonts w:ascii="Arial" w:hAnsi="Arial" w:cs="Arial"/>
          <w:i/>
          <w:color w:val="000000"/>
          <w:sz w:val="22"/>
          <w:szCs w:val="22"/>
        </w:rPr>
        <w:t>přípravě Dohody o partnerství a operačních programů, Jednotného národního rámce a pravidel, územní dimenzi v EU fondech apod. V návaznosti na počet a základní strukturu operačních programů schválených usnesením vlády č. 94/2019 bylo upraveno schéma jejich vazeb na specifické cíle NKR.</w:t>
      </w:r>
    </w:p>
    <w:p w14:paraId="09BDA9CE" w14:textId="77777777" w:rsidR="003901D7" w:rsidRPr="0071307D" w:rsidRDefault="003901D7" w:rsidP="003901D7">
      <w:pPr>
        <w:pStyle w:val="Odstavecseseznamem"/>
        <w:numPr>
          <w:ilvl w:val="0"/>
          <w:numId w:val="4"/>
        </w:numPr>
        <w:spacing w:before="40" w:after="80" w:line="240" w:lineRule="auto"/>
        <w:ind w:left="425" w:hanging="357"/>
        <w:contextualSpacing w:val="0"/>
        <w:jc w:val="both"/>
        <w:rPr>
          <w:rFonts w:ascii="Arial" w:hAnsi="Arial" w:cs="Arial"/>
          <w:b/>
          <w:i/>
          <w:sz w:val="22"/>
          <w:szCs w:val="22"/>
        </w:rPr>
      </w:pPr>
      <w:r w:rsidRPr="0071307D">
        <w:rPr>
          <w:rFonts w:ascii="Arial" w:hAnsi="Arial" w:cs="Arial"/>
          <w:b/>
          <w:i/>
          <w:sz w:val="22"/>
          <w:szCs w:val="22"/>
        </w:rPr>
        <w:t xml:space="preserve">Na závěr NKR jsou uvedena opatření a doporučení NKR směřující k využití výsledků </w:t>
      </w:r>
      <w:proofErr w:type="spellStart"/>
      <w:r w:rsidRPr="0071307D">
        <w:rPr>
          <w:rFonts w:ascii="Arial" w:hAnsi="Arial" w:cs="Arial"/>
          <w:b/>
          <w:i/>
          <w:sz w:val="22"/>
          <w:szCs w:val="22"/>
        </w:rPr>
        <w:t>prioritizace</w:t>
      </w:r>
      <w:proofErr w:type="spellEnd"/>
      <w:r w:rsidRPr="0071307D">
        <w:rPr>
          <w:rFonts w:ascii="Arial" w:hAnsi="Arial" w:cs="Arial"/>
          <w:b/>
          <w:i/>
          <w:sz w:val="22"/>
          <w:szCs w:val="22"/>
        </w:rPr>
        <w:t xml:space="preserve"> při přípravě Dohody o partnerství a operačních programů.</w:t>
      </w:r>
    </w:p>
    <w:p w14:paraId="4C28095E" w14:textId="77777777" w:rsidR="003901D7" w:rsidRDefault="003901D7" w:rsidP="003901D7">
      <w:pPr>
        <w:spacing w:before="200" w:after="120" w:line="240" w:lineRule="auto"/>
        <w:jc w:val="both"/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</w:pPr>
      <w:r w:rsidRPr="002309CE">
        <w:rPr>
          <w:rStyle w:val="normaltextrun"/>
          <w:rFonts w:ascii="Arial" w:hAnsi="Arial" w:cs="Arial"/>
          <w:color w:val="000000"/>
          <w:sz w:val="22"/>
          <w:szCs w:val="22"/>
        </w:rPr>
        <w:t xml:space="preserve">K zhodnocení </w:t>
      </w:r>
      <w:proofErr w:type="spellStart"/>
      <w:r w:rsidRPr="002309CE">
        <w:rPr>
          <w:rStyle w:val="normaltextrun"/>
          <w:rFonts w:ascii="Arial" w:hAnsi="Arial" w:cs="Arial"/>
          <w:color w:val="000000"/>
          <w:sz w:val="22"/>
          <w:szCs w:val="22"/>
        </w:rPr>
        <w:t>prioritizace</w:t>
      </w:r>
      <w:proofErr w:type="spellEnd"/>
      <w:r w:rsidRPr="002309CE">
        <w:rPr>
          <w:rStyle w:val="normaltextrun"/>
          <w:rFonts w:ascii="Arial" w:hAnsi="Arial" w:cs="Arial"/>
          <w:color w:val="000000"/>
          <w:sz w:val="22"/>
          <w:szCs w:val="22"/>
        </w:rPr>
        <w:t xml:space="preserve">, která proběhla na přelomu března a dubna 2019, lze ještě doplnit, že jejím </w:t>
      </w:r>
      <w:r w:rsidRPr="002309CE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účelem není jednotlivé specifické cíle a priority vyřazovat z budoucí podpory či stanovovat pořadí důležitosti mezi jednotlivými tematickými oblastmi. Cílem je 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zejména poukázat na významnost, připravenost priorit/oblastí a další faktory nutné pro úspěšnou implementaci EU fondů a</w:t>
      </w:r>
      <w:r w:rsidRPr="002309CE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také </w:t>
      </w:r>
      <w:r w:rsidRPr="002309CE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identifikovat 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i </w:t>
      </w:r>
      <w:r w:rsidRPr="002309CE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slabá místa a bariéry, u nichž je třeba problémové aspekty řešit tak, aby byla rizika implementace politiky soudržnosti v budoucím období odstraněna či maximálně eliminována. Výsledky </w:t>
      </w:r>
      <w:proofErr w:type="spellStart"/>
      <w:r w:rsidRPr="002309CE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prioritizace</w:t>
      </w:r>
      <w:proofErr w:type="spellEnd"/>
      <w:r w:rsidRPr="002309CE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budou využity pro přípravu Dohody o partnerství a operačních programů.</w:t>
      </w:r>
      <w:r w:rsidRPr="002309CE" w:rsidDel="000A0FB9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2309CE">
        <w:rPr>
          <w:rStyle w:val="normaltextrun"/>
          <w:rFonts w:ascii="Arial" w:hAnsi="Arial" w:cs="Arial"/>
          <w:color w:val="000000"/>
          <w:sz w:val="22"/>
          <w:szCs w:val="22"/>
        </w:rPr>
        <w:t xml:space="preserve">Před hodnocením, na kterém se podílelo široké spektrum hodnotitelů, byla také upravena některá kritéria a po individuálním hodnocení následovala skupinová setkání hodnotitelů, kde došlo k diskusi a příp. doladění hodnocení. Celkové hodnocení jednotlivých oblastí a specifických cílů zaznamenalo ve srovnání s 1. fází </w:t>
      </w:r>
      <w:proofErr w:type="spellStart"/>
      <w:r w:rsidRPr="002309CE">
        <w:rPr>
          <w:rStyle w:val="normaltextrun"/>
          <w:rFonts w:ascii="Arial" w:hAnsi="Arial" w:cs="Arial"/>
          <w:color w:val="000000"/>
          <w:sz w:val="22"/>
          <w:szCs w:val="22"/>
        </w:rPr>
        <w:lastRenderedPageBreak/>
        <w:t>prioritizace</w:t>
      </w:r>
      <w:proofErr w:type="spellEnd"/>
      <w:r w:rsidRPr="002309CE">
        <w:rPr>
          <w:rStyle w:val="normaltextrun"/>
          <w:rFonts w:ascii="Arial" w:hAnsi="Arial" w:cs="Arial"/>
          <w:color w:val="000000"/>
          <w:sz w:val="22"/>
          <w:szCs w:val="22"/>
        </w:rPr>
        <w:t xml:space="preserve"> jednoznačně pozitivní posun. Celkově došlo také ke konsolidaci oblastí a specifických cílů z hlediska hodnocení podle jednotlivých kritérií</w:t>
      </w:r>
      <w:r w:rsidRPr="002309CE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. </w:t>
      </w:r>
    </w:p>
    <w:p w14:paraId="36FC4A91" w14:textId="77777777" w:rsidR="003901D7" w:rsidRDefault="003901D7" w:rsidP="003901D7">
      <w:pPr>
        <w:spacing w:before="200" w:after="120" w:line="240" w:lineRule="auto"/>
        <w:jc w:val="both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2309CE">
        <w:rPr>
          <w:rStyle w:val="normaltextrun"/>
          <w:rFonts w:ascii="Arial" w:hAnsi="Arial" w:cs="Arial"/>
          <w:color w:val="000000"/>
          <w:sz w:val="22"/>
          <w:szCs w:val="22"/>
        </w:rPr>
        <w:t>Mezi hlavní úkoly uložené v návrhu usnesení vlády patří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:</w:t>
      </w:r>
    </w:p>
    <w:p w14:paraId="07C57A57" w14:textId="77777777" w:rsidR="003901D7" w:rsidRPr="0009314B" w:rsidRDefault="003901D7" w:rsidP="003901D7">
      <w:pPr>
        <w:pStyle w:val="Odstavecseseznamem"/>
        <w:numPr>
          <w:ilvl w:val="0"/>
          <w:numId w:val="6"/>
        </w:numPr>
        <w:spacing w:before="60" w:after="80" w:line="240" w:lineRule="auto"/>
        <w:ind w:left="425" w:hanging="357"/>
        <w:contextualSpacing w:val="0"/>
        <w:jc w:val="both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09314B">
        <w:rPr>
          <w:rStyle w:val="normaltextrun"/>
          <w:rFonts w:ascii="Arial" w:hAnsi="Arial" w:cs="Arial"/>
          <w:color w:val="000000"/>
          <w:sz w:val="22"/>
          <w:szCs w:val="22"/>
        </w:rPr>
        <w:t>stanovení programů cíle Evropské územní spolupráce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(řízení a koordinace pod MMR),</w:t>
      </w:r>
    </w:p>
    <w:p w14:paraId="3DF31108" w14:textId="77777777" w:rsidR="003901D7" w:rsidRDefault="003901D7" w:rsidP="003901D7">
      <w:pPr>
        <w:pStyle w:val="Odstavecseseznamem"/>
        <w:numPr>
          <w:ilvl w:val="0"/>
          <w:numId w:val="6"/>
        </w:numPr>
        <w:spacing w:before="60" w:after="80" w:line="240" w:lineRule="auto"/>
        <w:ind w:left="425" w:hanging="357"/>
        <w:contextualSpacing w:val="0"/>
        <w:jc w:val="both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09314B">
        <w:rPr>
          <w:rStyle w:val="normaltextrun"/>
          <w:rFonts w:ascii="Arial" w:hAnsi="Arial" w:cs="Arial"/>
          <w:color w:val="000000"/>
          <w:sz w:val="22"/>
          <w:szCs w:val="22"/>
        </w:rPr>
        <w:t>zařazení OP Rybářství pod Dohodu o partnerství, tudíž dochází k doplnění programů schválených vládou usnesením č. 94 z letošního roku,</w:t>
      </w:r>
    </w:p>
    <w:p w14:paraId="30E126F1" w14:textId="77777777" w:rsidR="003901D7" w:rsidRPr="0009314B" w:rsidRDefault="003901D7" w:rsidP="003901D7">
      <w:pPr>
        <w:pStyle w:val="Odstavecseseznamem"/>
        <w:numPr>
          <w:ilvl w:val="0"/>
          <w:numId w:val="6"/>
        </w:numPr>
        <w:spacing w:before="60" w:after="80" w:line="240" w:lineRule="auto"/>
        <w:ind w:left="425" w:hanging="357"/>
        <w:contextualSpacing w:val="0"/>
        <w:jc w:val="both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09314B">
        <w:rPr>
          <w:rStyle w:val="normaltextrun"/>
          <w:rFonts w:ascii="Arial" w:hAnsi="Arial" w:cs="Arial"/>
          <w:color w:val="000000"/>
          <w:sz w:val="22"/>
          <w:szCs w:val="22"/>
        </w:rPr>
        <w:t>zpracování návrhu rozložení alokací na úrovni Dohody o partnerství a mezi operační programy,</w:t>
      </w:r>
    </w:p>
    <w:p w14:paraId="489FA685" w14:textId="77777777" w:rsidR="003901D7" w:rsidRDefault="003901D7" w:rsidP="003901D7">
      <w:pPr>
        <w:pStyle w:val="Odstavecseseznamem"/>
        <w:numPr>
          <w:ilvl w:val="0"/>
          <w:numId w:val="6"/>
        </w:numPr>
        <w:spacing w:before="60" w:after="80" w:line="240" w:lineRule="auto"/>
        <w:ind w:left="425" w:hanging="357"/>
        <w:contextualSpacing w:val="0"/>
        <w:jc w:val="both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09314B">
        <w:rPr>
          <w:rStyle w:val="normaltextrun"/>
          <w:rFonts w:ascii="Arial" w:hAnsi="Arial" w:cs="Arial"/>
          <w:color w:val="000000"/>
          <w:sz w:val="22"/>
          <w:szCs w:val="22"/>
        </w:rPr>
        <w:t xml:space="preserve">realizace opatření, která vyšla z hodnocení </w:t>
      </w:r>
      <w:proofErr w:type="spellStart"/>
      <w:r w:rsidRPr="0009314B">
        <w:rPr>
          <w:rStyle w:val="normaltextrun"/>
          <w:rFonts w:ascii="Arial" w:hAnsi="Arial" w:cs="Arial"/>
          <w:color w:val="000000"/>
          <w:sz w:val="22"/>
          <w:szCs w:val="22"/>
        </w:rPr>
        <w:t>prioritizitace</w:t>
      </w:r>
      <w:proofErr w:type="spellEnd"/>
      <w:r w:rsidRPr="0009314B">
        <w:rPr>
          <w:rStyle w:val="normaltextrun"/>
          <w:rFonts w:ascii="Arial" w:hAnsi="Arial" w:cs="Arial"/>
          <w:color w:val="000000"/>
          <w:sz w:val="22"/>
          <w:szCs w:val="22"/>
        </w:rPr>
        <w:t xml:space="preserve"> NKR (viz kap. 4. 8 materiálu),</w:t>
      </w:r>
    </w:p>
    <w:p w14:paraId="2FC41449" w14:textId="77777777" w:rsidR="003901D7" w:rsidRPr="0009314B" w:rsidRDefault="003901D7" w:rsidP="003901D7">
      <w:pPr>
        <w:pStyle w:val="Odstavecseseznamem"/>
        <w:numPr>
          <w:ilvl w:val="0"/>
          <w:numId w:val="6"/>
        </w:numPr>
        <w:spacing w:before="60" w:after="80" w:line="240" w:lineRule="auto"/>
        <w:ind w:left="425" w:hanging="357"/>
        <w:contextualSpacing w:val="0"/>
        <w:jc w:val="both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zpracování dokumentu k územní dimenzi v EU fondech,</w:t>
      </w:r>
    </w:p>
    <w:p w14:paraId="104AF171" w14:textId="77777777" w:rsidR="003901D7" w:rsidRPr="0009314B" w:rsidRDefault="003901D7" w:rsidP="003901D7">
      <w:pPr>
        <w:pStyle w:val="Odstavecseseznamem"/>
        <w:numPr>
          <w:ilvl w:val="0"/>
          <w:numId w:val="6"/>
        </w:numPr>
        <w:spacing w:before="60" w:after="80" w:line="240" w:lineRule="auto"/>
        <w:ind w:left="425" w:hanging="357"/>
        <w:contextualSpacing w:val="0"/>
        <w:jc w:val="both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09314B">
        <w:rPr>
          <w:rStyle w:val="normaltextrun"/>
          <w:rFonts w:ascii="Arial" w:hAnsi="Arial" w:cs="Arial"/>
          <w:color w:val="000000"/>
          <w:sz w:val="22"/>
          <w:szCs w:val="22"/>
        </w:rPr>
        <w:t>řešení hraničních oblastí mezi operačními programy, Společnou zemědělskou politikou, programy EU a národními dotačními programy.</w:t>
      </w:r>
    </w:p>
    <w:p w14:paraId="261D2304" w14:textId="77777777" w:rsidR="003901D7" w:rsidRPr="002309CE" w:rsidRDefault="003901D7" w:rsidP="003901D7">
      <w:pPr>
        <w:spacing w:before="200" w:after="0" w:line="240" w:lineRule="auto"/>
        <w:jc w:val="both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2309CE">
        <w:rPr>
          <w:rStyle w:val="normaltextrun"/>
          <w:rFonts w:ascii="Arial" w:hAnsi="Arial" w:cs="Arial"/>
          <w:color w:val="000000"/>
          <w:sz w:val="22"/>
          <w:szCs w:val="22"/>
        </w:rPr>
        <w:t>Úkoly uložené usnesením vlády č. 94/2019 se navrhovaným usnesením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nemění a zůstávají v platnosti, kromě bodu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III./1/e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>) a bodu III./1i), které již byly splněny a nejsou tedy dále relevantní.</w:t>
      </w:r>
    </w:p>
    <w:p w14:paraId="46D51550" w14:textId="77777777" w:rsidR="003901D7" w:rsidRPr="002309CE" w:rsidRDefault="003901D7" w:rsidP="003901D7">
      <w:pPr>
        <w:spacing w:before="200" w:after="0" w:line="240" w:lineRule="auto"/>
        <w:jc w:val="both"/>
        <w:rPr>
          <w:rFonts w:ascii="Arial" w:hAnsi="Arial" w:cs="Arial"/>
          <w:sz w:val="22"/>
          <w:szCs w:val="22"/>
        </w:rPr>
      </w:pPr>
      <w:r w:rsidRPr="002309CE">
        <w:rPr>
          <w:rStyle w:val="normaltextrun"/>
          <w:rFonts w:ascii="Arial" w:hAnsi="Arial" w:cs="Arial"/>
          <w:color w:val="000000"/>
          <w:sz w:val="22"/>
          <w:szCs w:val="22"/>
        </w:rPr>
        <w:t xml:space="preserve">Předložený materiál byl rozeslán do meziresortního připomínkového řízení dne ………… s termínem uplatnění připomínek do ……… Celkem bylo uplatněno … připomínek, z toho … zásadních. Všechny připomínky byly vypořádány a projednány a materiál je předkládán vládě …… Přehled všech uplatněných připomínek a jejich vypořádání je uveden v části IV. Předloženého materiálu. </w:t>
      </w:r>
    </w:p>
    <w:p w14:paraId="2452B0A0" w14:textId="77777777" w:rsidR="00BF1DFB" w:rsidRPr="003901D7" w:rsidRDefault="00BF1DFB" w:rsidP="003901D7"/>
    <w:sectPr w:rsidR="00BF1DFB" w:rsidRPr="003901D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B0B0F" w14:textId="77777777" w:rsidR="00842119" w:rsidRDefault="00842119" w:rsidP="00F90640">
      <w:pPr>
        <w:spacing w:after="0" w:line="240" w:lineRule="auto"/>
      </w:pPr>
      <w:r>
        <w:separator/>
      </w:r>
    </w:p>
  </w:endnote>
  <w:endnote w:type="continuationSeparator" w:id="0">
    <w:p w14:paraId="7E548FFF" w14:textId="77777777" w:rsidR="00842119" w:rsidRDefault="00842119" w:rsidP="00F90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3455166"/>
      <w:docPartObj>
        <w:docPartGallery w:val="Page Numbers (Bottom of Page)"/>
        <w:docPartUnique/>
      </w:docPartObj>
    </w:sdtPr>
    <w:sdtEndPr/>
    <w:sdtContent>
      <w:p w14:paraId="40A38BEB" w14:textId="150C476A" w:rsidR="00F90640" w:rsidRDefault="00F906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191">
          <w:rPr>
            <w:noProof/>
          </w:rPr>
          <w:t>1</w:t>
        </w:r>
        <w:r>
          <w:fldChar w:fldCharType="end"/>
        </w:r>
      </w:p>
    </w:sdtContent>
  </w:sdt>
  <w:p w14:paraId="5D3B9B00" w14:textId="77777777" w:rsidR="00F90640" w:rsidRDefault="00F906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042A0" w14:textId="77777777" w:rsidR="00842119" w:rsidRDefault="00842119" w:rsidP="00F90640">
      <w:pPr>
        <w:spacing w:after="0" w:line="240" w:lineRule="auto"/>
      </w:pPr>
      <w:r>
        <w:separator/>
      </w:r>
    </w:p>
  </w:footnote>
  <w:footnote w:type="continuationSeparator" w:id="0">
    <w:p w14:paraId="0255B522" w14:textId="77777777" w:rsidR="00842119" w:rsidRDefault="00842119" w:rsidP="00F90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235AA" w14:textId="32EA6AAA" w:rsidR="00632964" w:rsidRPr="005E2F85" w:rsidRDefault="00084191" w:rsidP="00632964">
    <w:pPr>
      <w:pStyle w:val="Zhlav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II.</w:t>
    </w:r>
  </w:p>
  <w:p w14:paraId="456E5E62" w14:textId="77777777" w:rsidR="00632964" w:rsidRDefault="006329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D3010"/>
    <w:multiLevelType w:val="hybridMultilevel"/>
    <w:tmpl w:val="22AEC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3041C"/>
    <w:multiLevelType w:val="multilevel"/>
    <w:tmpl w:val="B8EA99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8D7F80"/>
    <w:multiLevelType w:val="hybridMultilevel"/>
    <w:tmpl w:val="3ACC0C0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C434AF"/>
    <w:multiLevelType w:val="hybridMultilevel"/>
    <w:tmpl w:val="B7D2A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40217"/>
    <w:multiLevelType w:val="multilevel"/>
    <w:tmpl w:val="C30416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9B6CB3"/>
    <w:multiLevelType w:val="hybridMultilevel"/>
    <w:tmpl w:val="B4F0C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FB"/>
    <w:rsid w:val="00052BCF"/>
    <w:rsid w:val="00084191"/>
    <w:rsid w:val="000A0FB9"/>
    <w:rsid w:val="000C37FB"/>
    <w:rsid w:val="00114563"/>
    <w:rsid w:val="00144A0D"/>
    <w:rsid w:val="001C0202"/>
    <w:rsid w:val="001C7B0F"/>
    <w:rsid w:val="001D4BD4"/>
    <w:rsid w:val="002309CE"/>
    <w:rsid w:val="002360EE"/>
    <w:rsid w:val="00291112"/>
    <w:rsid w:val="002B043D"/>
    <w:rsid w:val="0034400C"/>
    <w:rsid w:val="00347199"/>
    <w:rsid w:val="00352DEF"/>
    <w:rsid w:val="00370A2B"/>
    <w:rsid w:val="003901D7"/>
    <w:rsid w:val="00395955"/>
    <w:rsid w:val="003E6C8B"/>
    <w:rsid w:val="003F3F6E"/>
    <w:rsid w:val="003F5C7A"/>
    <w:rsid w:val="00405F3E"/>
    <w:rsid w:val="004345DC"/>
    <w:rsid w:val="00441AE2"/>
    <w:rsid w:val="0045411E"/>
    <w:rsid w:val="00493C54"/>
    <w:rsid w:val="004A084A"/>
    <w:rsid w:val="004D2865"/>
    <w:rsid w:val="005122A8"/>
    <w:rsid w:val="005D6689"/>
    <w:rsid w:val="00623711"/>
    <w:rsid w:val="00630569"/>
    <w:rsid w:val="00632964"/>
    <w:rsid w:val="006661CB"/>
    <w:rsid w:val="00684610"/>
    <w:rsid w:val="006D1690"/>
    <w:rsid w:val="007A34E2"/>
    <w:rsid w:val="007C4BD9"/>
    <w:rsid w:val="007C7166"/>
    <w:rsid w:val="00821C58"/>
    <w:rsid w:val="00830166"/>
    <w:rsid w:val="00837C3A"/>
    <w:rsid w:val="00842119"/>
    <w:rsid w:val="008711F8"/>
    <w:rsid w:val="00883D6F"/>
    <w:rsid w:val="008B6BE4"/>
    <w:rsid w:val="008F778F"/>
    <w:rsid w:val="00901952"/>
    <w:rsid w:val="00955396"/>
    <w:rsid w:val="00A04234"/>
    <w:rsid w:val="00A107C4"/>
    <w:rsid w:val="00A648AB"/>
    <w:rsid w:val="00AB744D"/>
    <w:rsid w:val="00AC1B11"/>
    <w:rsid w:val="00AF7D58"/>
    <w:rsid w:val="00B4658F"/>
    <w:rsid w:val="00BF1DFB"/>
    <w:rsid w:val="00D1284D"/>
    <w:rsid w:val="00D22875"/>
    <w:rsid w:val="00D46A69"/>
    <w:rsid w:val="00D5235D"/>
    <w:rsid w:val="00D76920"/>
    <w:rsid w:val="00D80B1F"/>
    <w:rsid w:val="00D915A0"/>
    <w:rsid w:val="00DB2334"/>
    <w:rsid w:val="00DD0155"/>
    <w:rsid w:val="00DE1638"/>
    <w:rsid w:val="00DF736E"/>
    <w:rsid w:val="00EF356E"/>
    <w:rsid w:val="00F638DC"/>
    <w:rsid w:val="00F9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E9EC"/>
  <w15:chartTrackingRefBased/>
  <w15:docId w15:val="{954100C4-69CD-404F-A514-FF7DD606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5396"/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customStyle="1" w:styleId="paragraph">
    <w:name w:val="paragraph"/>
    <w:basedOn w:val="Normln"/>
    <w:rsid w:val="00AF7D58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customStyle="1" w:styleId="normaltextrun">
    <w:name w:val="normaltextrun"/>
    <w:basedOn w:val="Standardnpsmoodstavce"/>
    <w:rsid w:val="00AF7D58"/>
  </w:style>
  <w:style w:type="character" w:customStyle="1" w:styleId="eop">
    <w:name w:val="eop"/>
    <w:basedOn w:val="Standardnpsmoodstavce"/>
    <w:rsid w:val="00AF7D58"/>
  </w:style>
  <w:style w:type="character" w:customStyle="1" w:styleId="contextualspellingandgrammarerror">
    <w:name w:val="contextualspellingandgrammarerror"/>
    <w:basedOn w:val="Standardnpsmoodstavce"/>
    <w:rsid w:val="000C37FB"/>
  </w:style>
  <w:style w:type="character" w:customStyle="1" w:styleId="spellingerror">
    <w:name w:val="spellingerror"/>
    <w:basedOn w:val="Standardnpsmoodstavce"/>
    <w:rsid w:val="000C37FB"/>
  </w:style>
  <w:style w:type="character" w:customStyle="1" w:styleId="scxw39938721">
    <w:name w:val="scxw39938721"/>
    <w:basedOn w:val="Standardnpsmoodstavce"/>
    <w:rsid w:val="000C37FB"/>
  </w:style>
  <w:style w:type="paragraph" w:styleId="Zhlav">
    <w:name w:val="header"/>
    <w:basedOn w:val="Normln"/>
    <w:link w:val="ZhlavChar"/>
    <w:uiPriority w:val="99"/>
    <w:unhideWhenUsed/>
    <w:rsid w:val="00F90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640"/>
  </w:style>
  <w:style w:type="paragraph" w:styleId="Zpat">
    <w:name w:val="footer"/>
    <w:basedOn w:val="Normln"/>
    <w:link w:val="ZpatChar"/>
    <w:uiPriority w:val="99"/>
    <w:unhideWhenUsed/>
    <w:rsid w:val="00F90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640"/>
  </w:style>
  <w:style w:type="character" w:styleId="Odkaznakoment">
    <w:name w:val="annotation reference"/>
    <w:basedOn w:val="Standardnpsmoodstavce"/>
    <w:uiPriority w:val="99"/>
    <w:semiHidden/>
    <w:unhideWhenUsed/>
    <w:rsid w:val="00D523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23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23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23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235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2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35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D4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5F4FF732F663438DC7BBDE7D2A92A5" ma:contentTypeVersion="4" ma:contentTypeDescription="Vytvoří nový dokument" ma:contentTypeScope="" ma:versionID="a53418b6f6e518d13d38ca70e2ccc597">
  <xsd:schema xmlns:xsd="http://www.w3.org/2001/XMLSchema" xmlns:xs="http://www.w3.org/2001/XMLSchema" xmlns:p="http://schemas.microsoft.com/office/2006/metadata/properties" xmlns:ns2="a5dcb9bc-8d52-4d3e-a595-09c2d5420a48" xmlns:ns3="c21e7edb-b367-4ac7-a92d-02aa336f11bf" targetNamespace="http://schemas.microsoft.com/office/2006/metadata/properties" ma:root="true" ma:fieldsID="4a6f632d16916570da4a7416b5919e9d" ns2:_="" ns3:_="">
    <xsd:import namespace="a5dcb9bc-8d52-4d3e-a595-09c2d5420a48"/>
    <xsd:import namespace="c21e7edb-b367-4ac7-a92d-02aa336f11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cb9bc-8d52-4d3e-a595-09c2d5420a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3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e7edb-b367-4ac7-a92d-02aa336f1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dcb9bc-8d52-4d3e-a595-09c2d5420a48">MMR22-929250655-75</_dlc_DocId>
    <_dlc_DocIdUrl xmlns="a5dcb9bc-8d52-4d3e-a595-09c2d5420a48">
      <Url>https://mmrcz.sharepoint.com/sites/22/224/_layouts/15/DocIdRedir.aspx?ID=MMR22-929250655-75</Url>
      <Description>MMR22-929250655-75</Description>
    </_dlc_DocIdUrl>
  </documentManagement>
</p:properties>
</file>

<file path=customXml/itemProps1.xml><?xml version="1.0" encoding="utf-8"?>
<ds:datastoreItem xmlns:ds="http://schemas.openxmlformats.org/officeDocument/2006/customXml" ds:itemID="{F4279FF4-D130-44A0-8F06-5EF9CD2CE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cb9bc-8d52-4d3e-a595-09c2d5420a48"/>
    <ds:schemaRef ds:uri="c21e7edb-b367-4ac7-a92d-02aa336f1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06F6D-842A-4026-A766-935E4604ECB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1866019-0F79-4F8C-990C-8D15DA1214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C99F80-1391-409A-8C34-82310F39B303}">
  <ds:schemaRefs>
    <ds:schemaRef ds:uri="http://purl.org/dc/terms/"/>
    <ds:schemaRef ds:uri="a5dcb9bc-8d52-4d3e-a595-09c2d5420a48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21e7edb-b367-4ac7-a92d-02aa336f11b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716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Hartmann Igor</dc:creator>
  <cp:keywords/>
  <dc:description/>
  <cp:lastModifiedBy>Témová Tereza</cp:lastModifiedBy>
  <cp:revision>15</cp:revision>
  <cp:lastPrinted>2019-06-05T07:00:00Z</cp:lastPrinted>
  <dcterms:created xsi:type="dcterms:W3CDTF">2019-05-23T13:59:00Z</dcterms:created>
  <dcterms:modified xsi:type="dcterms:W3CDTF">2019-06-05T12:52:00Z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0x010100745F4FF732F663438DC7BBDE7D2A92A5</vt:lpwstr>
  </property>
  <property fmtid="{D5CDD505-2E9C-101B-9397-08002B2CF9AE}" pid="3" name="_dlc_DocIdItemGuid">
    <vt:lpwstr>013d8698-3eb4-4e3b-b077-750563a88680</vt:lpwstr>
  </property>
</Properties>
</file>