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B0E18" w14:textId="77777777" w:rsidR="00980FAA" w:rsidRDefault="00980FAA">
      <w:bookmarkStart w:id="0" w:name="_GoBack"/>
      <w:bookmarkEnd w:id="0"/>
    </w:p>
    <w:p w14:paraId="6A98949E" w14:textId="77777777" w:rsidR="00980FAA" w:rsidRDefault="00980FAA"/>
    <w:p w14:paraId="7A8A72CC" w14:textId="77777777" w:rsidR="00980FAA" w:rsidRDefault="00980FAA"/>
    <w:p w14:paraId="2C62F08D" w14:textId="77777777" w:rsidR="00980FAA" w:rsidRDefault="00980FAA"/>
    <w:p w14:paraId="6AB30F30" w14:textId="77777777" w:rsidR="00980FAA" w:rsidRDefault="00980FAA"/>
    <w:p w14:paraId="725A8697" w14:textId="77777777" w:rsidR="00980FAA" w:rsidRDefault="00980FAA" w:rsidP="00C35ADC">
      <w:pPr>
        <w:jc w:val="right"/>
      </w:pPr>
    </w:p>
    <w:p w14:paraId="15EA4D1D" w14:textId="77777777" w:rsidR="00980FAA" w:rsidRDefault="00980FAA"/>
    <w:p w14:paraId="589D078F" w14:textId="77777777" w:rsidR="00980FAA" w:rsidRDefault="00980FAA"/>
    <w:p w14:paraId="1B37D15E" w14:textId="77777777" w:rsidR="00980FAA" w:rsidRDefault="00980FAA"/>
    <w:p w14:paraId="4767C383" w14:textId="77777777" w:rsidR="00980FAA" w:rsidRDefault="00980FAA"/>
    <w:p w14:paraId="72C4538D" w14:textId="77777777" w:rsidR="00980FAA" w:rsidRDefault="00980FAA"/>
    <w:p w14:paraId="70C635B1" w14:textId="77777777" w:rsidR="00980FAA" w:rsidRDefault="00980FAA"/>
    <w:tbl>
      <w:tblPr>
        <w:tblpPr w:leftFromText="187" w:rightFromText="187" w:vertAnchor="page" w:horzAnchor="margin" w:tblpY="7781"/>
        <w:tblW w:w="3988" w:type="pct"/>
        <w:tblBorders>
          <w:left w:val="single" w:sz="12" w:space="0" w:color="5B9BD5" w:themeColor="accent1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7442"/>
      </w:tblGrid>
      <w:tr w:rsidR="00950770" w14:paraId="3E8E5ABC" w14:textId="77777777" w:rsidTr="001E4737">
        <w:tc>
          <w:tcPr>
            <w:tcW w:w="7442" w:type="dxa"/>
          </w:tcPr>
          <w:p w14:paraId="7F06AFAC" w14:textId="77777777" w:rsidR="00950770" w:rsidRDefault="006577CA" w:rsidP="001E4737">
            <w:pPr>
              <w:pStyle w:val="Bezmezer"/>
              <w:spacing w:line="216" w:lineRule="auto"/>
              <w:rPr>
                <w:rFonts w:asciiTheme="majorHAnsi" w:eastAsiaTheme="majorEastAsia" w:hAnsiTheme="majorHAnsi" w:cstheme="majorBidi"/>
                <w:color w:val="5B9BD5" w:themeColor="accent1"/>
                <w:sz w:val="88"/>
                <w:szCs w:val="88"/>
              </w:rPr>
            </w:pPr>
            <w:sdt>
              <w:sdtPr>
                <w:rPr>
                  <w:rFonts w:ascii="Arial" w:eastAsia="Arial Unicode MS" w:hAnsi="Arial" w:cs="Arial"/>
                  <w:b/>
                  <w:sz w:val="34"/>
                  <w:szCs w:val="34"/>
                </w:rPr>
                <w:alias w:val="Název"/>
                <w:id w:val="13406919"/>
                <w:placeholder>
                  <w:docPart w:val="A95F2C64CE144BA0BF2D846CF1F0C98A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r w:rsidR="001C4BEC">
                  <w:rPr>
                    <w:rFonts w:ascii="Arial" w:eastAsia="Arial Unicode MS" w:hAnsi="Arial" w:cs="Arial"/>
                    <w:b/>
                    <w:sz w:val="34"/>
                    <w:szCs w:val="34"/>
                  </w:rPr>
                  <w:t>Národní koncepce realizace politiky soudržnosti v ČR po roce 2020 -</w:t>
                </w:r>
              </w:sdtContent>
            </w:sdt>
          </w:p>
        </w:tc>
      </w:tr>
      <w:tr w:rsidR="00950770" w14:paraId="6DFC9266" w14:textId="77777777" w:rsidTr="001E4737">
        <w:tc>
          <w:tcPr>
            <w:tcW w:w="744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763BC4DF" w14:textId="77777777" w:rsidR="00950770" w:rsidRDefault="006577CA" w:rsidP="001E4737">
            <w:pPr>
              <w:pStyle w:val="Bezmezer"/>
              <w:rPr>
                <w:color w:val="2E74B5" w:themeColor="accent1" w:themeShade="BF"/>
                <w:sz w:val="24"/>
              </w:rPr>
            </w:pPr>
            <w:sdt>
              <w:sdtPr>
                <w:rPr>
                  <w:rFonts w:ascii="Arial" w:eastAsia="Arial Unicode MS" w:hAnsi="Arial" w:cs="Arial"/>
                  <w:b/>
                  <w:sz w:val="42"/>
                  <w:szCs w:val="42"/>
                </w:rPr>
                <w:alias w:val="Podtitul"/>
                <w:id w:val="13406923"/>
                <w:placeholder>
                  <w:docPart w:val="C5BEAF161C804C2F9DE7C3FFBDE06A4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r w:rsidR="00B96D24" w:rsidRPr="00B96D24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 xml:space="preserve">Příloha č. 4  </w:t>
                </w:r>
                <w:r w:rsidR="00B96D24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 xml:space="preserve">                                 </w:t>
                </w:r>
                <w:r w:rsidR="00B96D24" w:rsidRPr="00B96D24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>Vztah specifických cílů NKR k procesu evropského semestru</w:t>
                </w:r>
              </w:sdtContent>
            </w:sdt>
          </w:p>
        </w:tc>
      </w:tr>
    </w:tbl>
    <w:p w14:paraId="0D8948C5" w14:textId="77777777" w:rsidR="00980FAA" w:rsidRDefault="00980FAA"/>
    <w:p w14:paraId="66B96ED4" w14:textId="77777777" w:rsidR="00950770" w:rsidRDefault="00950770"/>
    <w:p w14:paraId="72DD9CDF" w14:textId="77777777" w:rsidR="00950770" w:rsidRDefault="00950770"/>
    <w:p w14:paraId="3AD7F965" w14:textId="77777777" w:rsidR="00980FAA" w:rsidRDefault="00980FAA"/>
    <w:p w14:paraId="0A875E34" w14:textId="77777777" w:rsidR="00980FAA" w:rsidRDefault="00980FAA"/>
    <w:p w14:paraId="0635A173" w14:textId="77777777" w:rsidR="00980FAA" w:rsidRDefault="00980FAA"/>
    <w:p w14:paraId="527F60DD" w14:textId="77777777" w:rsidR="00980FAA" w:rsidRDefault="00980FAA"/>
    <w:p w14:paraId="7BB3DEF0" w14:textId="77777777" w:rsidR="00980FAA" w:rsidRDefault="00980FAA"/>
    <w:p w14:paraId="3E7CA987" w14:textId="77777777" w:rsidR="00980FAA" w:rsidRDefault="00980FAA"/>
    <w:p w14:paraId="4F808220" w14:textId="77777777" w:rsidR="00980FAA" w:rsidRDefault="00980FAA"/>
    <w:p w14:paraId="100CD68D" w14:textId="77777777" w:rsidR="00980FAA" w:rsidRDefault="00980FAA"/>
    <w:p w14:paraId="578F994A" w14:textId="77777777" w:rsidR="00980FAA" w:rsidRDefault="00980FAA"/>
    <w:p w14:paraId="3AF8A352" w14:textId="77777777" w:rsidR="00980FAA" w:rsidRDefault="00980FAA"/>
    <w:p w14:paraId="6F9E48CB" w14:textId="77777777" w:rsidR="00980FAA" w:rsidRDefault="00980FAA"/>
    <w:p w14:paraId="265B82F1" w14:textId="77777777" w:rsidR="00980FAA" w:rsidRDefault="00980FAA"/>
    <w:p w14:paraId="1FBB204F" w14:textId="77777777" w:rsidR="00980FAA" w:rsidRDefault="00980FAA"/>
    <w:p w14:paraId="30D287EA" w14:textId="77777777" w:rsidR="00C35ADC" w:rsidRDefault="00C35ADC">
      <w:pPr>
        <w:sectPr w:rsidR="00C35ADC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3126"/>
        <w:gridCol w:w="2085"/>
        <w:gridCol w:w="3424"/>
        <w:gridCol w:w="2452"/>
      </w:tblGrid>
      <w:tr w:rsidR="007B3286" w:rsidRPr="00F72BDF" w14:paraId="414FB678" w14:textId="77777777" w:rsidTr="004C3902">
        <w:trPr>
          <w:trHeight w:val="255"/>
        </w:trPr>
        <w:tc>
          <w:tcPr>
            <w:tcW w:w="3271" w:type="dxa"/>
            <w:shd w:val="clear" w:color="4F81BD" w:fill="4F81BD"/>
            <w:vAlign w:val="bottom"/>
            <w:hideMark/>
          </w:tcPr>
          <w:p w14:paraId="17B4F7C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46F04">
              <w:rPr>
                <w:rFonts w:ascii="Arial" w:eastAsia="Times New Roman" w:hAnsi="Arial" w:cs="Arial"/>
                <w:b/>
                <w:bCs/>
                <w:lang w:eastAsia="cs-CZ"/>
              </w:rPr>
              <w:lastRenderedPageBreak/>
              <w:t>Popis problematiky</w:t>
            </w:r>
          </w:p>
        </w:tc>
        <w:tc>
          <w:tcPr>
            <w:tcW w:w="0" w:type="auto"/>
            <w:shd w:val="clear" w:color="4F81BD" w:fill="4F81BD"/>
            <w:vAlign w:val="bottom"/>
            <w:hideMark/>
          </w:tcPr>
          <w:p w14:paraId="14931425" w14:textId="77777777" w:rsidR="00646F04" w:rsidRPr="00646F04" w:rsidRDefault="007B3286" w:rsidP="00646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72BDF">
              <w:rPr>
                <w:rFonts w:ascii="Arial" w:eastAsia="Times New Roman" w:hAnsi="Arial" w:cs="Arial"/>
                <w:b/>
                <w:bCs/>
                <w:lang w:eastAsia="cs-CZ"/>
              </w:rPr>
              <w:t>Doporučení CR</w:t>
            </w:r>
          </w:p>
        </w:tc>
        <w:tc>
          <w:tcPr>
            <w:tcW w:w="0" w:type="auto"/>
            <w:shd w:val="clear" w:color="4F81BD" w:fill="4F81BD"/>
            <w:vAlign w:val="bottom"/>
            <w:hideMark/>
          </w:tcPr>
          <w:p w14:paraId="69788A6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46F04">
              <w:rPr>
                <w:rFonts w:ascii="Arial" w:eastAsia="Times New Roman" w:hAnsi="Arial" w:cs="Arial"/>
                <w:b/>
                <w:bCs/>
                <w:lang w:eastAsia="cs-CZ"/>
              </w:rPr>
              <w:t>SC NKR</w:t>
            </w:r>
          </w:p>
        </w:tc>
        <w:tc>
          <w:tcPr>
            <w:tcW w:w="0" w:type="auto"/>
            <w:shd w:val="clear" w:color="4F81BD" w:fill="4F81BD"/>
            <w:noWrap/>
            <w:vAlign w:val="bottom"/>
            <w:hideMark/>
          </w:tcPr>
          <w:p w14:paraId="5062B61C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46F04">
              <w:rPr>
                <w:rFonts w:ascii="Arial" w:eastAsia="Times New Roman" w:hAnsi="Arial" w:cs="Arial"/>
                <w:b/>
                <w:bCs/>
                <w:lang w:eastAsia="cs-CZ"/>
              </w:rPr>
              <w:t>SC dle přílsušného nařízení</w:t>
            </w:r>
          </w:p>
        </w:tc>
        <w:tc>
          <w:tcPr>
            <w:tcW w:w="0" w:type="auto"/>
            <w:shd w:val="clear" w:color="4F81BD" w:fill="4F81BD"/>
            <w:noWrap/>
            <w:vAlign w:val="bottom"/>
            <w:hideMark/>
          </w:tcPr>
          <w:p w14:paraId="75F1337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46F04">
              <w:rPr>
                <w:rFonts w:ascii="Arial" w:eastAsia="Times New Roman" w:hAnsi="Arial" w:cs="Arial"/>
                <w:b/>
                <w:bCs/>
                <w:lang w:eastAsia="cs-CZ"/>
              </w:rPr>
              <w:t>Intenzita potřeb</w:t>
            </w:r>
          </w:p>
        </w:tc>
      </w:tr>
      <w:tr w:rsidR="007B3286" w:rsidRPr="00F72BDF" w14:paraId="4F2D12DA" w14:textId="77777777" w:rsidTr="004C3902">
        <w:trPr>
          <w:trHeight w:val="2828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2A17DE74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1. Česká republika zaostává, pokud jde o podíl inovativních podniků, které jsou hlavní hybnou silou konkurenceschopnosti. Byly určeny vysoce prioritní investiční potřeby(39) s cílem posílit kapacity v oblasti výzkumu a inovací a zavádění moderních technologií, zejména za účelem posílení výkonnosti v oblasti inovací a podpory růstu produktivity určením oblastí inteligentní specializace na základě vnitrostátních a regionálních potřeb a potenciálu s cílem: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70BDDF34" w14:textId="3A9EA6D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výšit atraktivitu a konkurenceschopnost systému výzkum zlepšením postupů řízení a snížením byrokracie, financováním na základě kvality výzkumu, vytvářením pobídek pro přilákání kvalifikovaných vědeckých pracovníků, a modernizací výzkumných infrastruktur, pokud existují jasné důkazy o obchodním zájmu a prokazatelné vazby na inteligentní specializaci; 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F28D0A4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Rozvoj zázemí pro kvalitní a relevantní výzkum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1BD8FC12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posílení výzkumných a inovačních kapacit a zavádění pokročilých technologií;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6E4B05DE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28658757" w14:textId="77777777" w:rsidTr="004C3902">
        <w:trPr>
          <w:trHeight w:val="720"/>
        </w:trPr>
        <w:tc>
          <w:tcPr>
            <w:tcW w:w="3271" w:type="dxa"/>
            <w:shd w:val="clear" w:color="auto" w:fill="auto"/>
            <w:vAlign w:val="center"/>
            <w:hideMark/>
          </w:tcPr>
          <w:p w14:paraId="0F39231E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4FB49" w14:textId="21D58905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spolupráci a předávání znalostí mezi výzkumnými institucemi / akademickou obcí a podniky v prioritních odvětvích,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8DAA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Zkvalitnění strategického řízení VaVai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8851D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posílení výzkumných a inovačních kapacit a zavádění pokročilých technologií;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7AAF0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1B34DBC8" w14:textId="77777777" w:rsidTr="004C3902">
        <w:trPr>
          <w:trHeight w:val="96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5A05D96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2D71A16E" w14:textId="6C13196A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výšit počet inovativních firem a začínajících podniků v odvětvích inteligentní specializace s nejvyšším potenciálem a současně zohlednit rovněž regionální specializace, 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7B4AB31A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Podpora inovace prostřednictvím aplikovaného výzkumu a experimentálního vývoje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7BC5EAD9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posílení výzkumných a inovačních kapacit a zavádění pokročilých technologií;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72CF7127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6ABBCDA8" w14:textId="77777777" w:rsidTr="004C3902">
        <w:trPr>
          <w:trHeight w:val="807"/>
        </w:trPr>
        <w:tc>
          <w:tcPr>
            <w:tcW w:w="3271" w:type="dxa"/>
            <w:shd w:val="clear" w:color="auto" w:fill="auto"/>
            <w:vAlign w:val="center"/>
            <w:hideMark/>
          </w:tcPr>
          <w:p w14:paraId="55E04FD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2B555" w14:textId="4C84DA3F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investice do univerzit a středních škol zohledňujících priority inteligentní specializace.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33E64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Rozvoj zázemí pro kvalitní a relevantní výzkum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D6B3B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posílení výzkumných a inovačních kapacit a zavádění pokročilých technologií;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7754D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521970D4" w14:textId="77777777" w:rsidTr="004C3902">
        <w:trPr>
          <w:trHeight w:val="288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41CD9932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2. Ačkoli Česká republika dosahuje v rámci EU zhruba průměrných výsledků, pokud jde o integraci digitálních technologií, počet domácností a podniků využívajících technologie založené na datech zůstává omezený. Byly určeny prioritní investiční potřeby za účelem využití přínosů digitalizace pro občany, podniky a orgány státní správy, a zejména s cílem: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077AF3FA" w14:textId="0EF3C434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ozšířit a urychlit elektronickou veřejnou správu, včetně zavádění služeb elektronického zdravotnictví a celoevropských interoperabilních služeb,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12EE650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Elektronizace výkonu veřejné správy a zavedení související infrastruktury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5EA5D77D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ii) využití přínosů digitalizace pro občany, podniky a vlády;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1B48C77B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F72BDF" w:rsidRPr="00646F04" w14:paraId="388C32B6" w14:textId="77777777" w:rsidTr="004C3902">
        <w:trPr>
          <w:cantSplit/>
          <w:trHeight w:val="47"/>
        </w:trPr>
        <w:tc>
          <w:tcPr>
            <w:tcW w:w="3271" w:type="dxa"/>
            <w:shd w:val="clear" w:color="auto" w:fill="auto"/>
            <w:vAlign w:val="center"/>
            <w:hideMark/>
          </w:tcPr>
          <w:p w14:paraId="350A693B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3CBB5" w14:textId="302F30E5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integraci a zavádění digitálních technologií v malých a středních podnicích, včetně infrastruktury a služeb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ABF56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Zavedení principů digitální ekonomiky a průmyslu 4.0 ve firmách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B2554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ii) využití přínosů digitalizace pro občany, podniky a vlády;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3CE41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7B3286" w:rsidRPr="00F72BDF" w14:paraId="24E8D758" w14:textId="77777777" w:rsidTr="004C3902">
        <w:trPr>
          <w:trHeight w:val="288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75823234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3. Malé a střední podniky zaostávají, pokud jde o investice do činností v oblasti výzkumu, vývoje a inovací a posílení jejich pozice v globálních hodnotových řetězcích. Byly určeny vysoce prioritní investiční potřeby za účelem zvýšení konkurenceschopnosti malých a středních podniků a podpory šíření a zavádění technologií, zejména s cílem: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1ECCE223" w14:textId="5E451706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podniky, aby získaly lepší pozici v hodnotových řetězcích, zvyšovat produktivitu a usnadnit účast v mezinárodních a makroregionálních klastrech vedených odvětvím a výzkumem, 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50C2C4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Zvýšení přidané hodnoty výrobků a služeb podniků v produkčním řetězci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2F0ACE1F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iii) posílení růstu a konkurenceschopnosti malých a středních podniků;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C92558D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43923C14" w14:textId="77777777" w:rsidTr="004C3902">
        <w:trPr>
          <w:trHeight w:val="960"/>
        </w:trPr>
        <w:tc>
          <w:tcPr>
            <w:tcW w:w="3271" w:type="dxa"/>
            <w:shd w:val="clear" w:color="auto" w:fill="auto"/>
            <w:vAlign w:val="center"/>
            <w:hideMark/>
          </w:tcPr>
          <w:p w14:paraId="139A0BA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D1654" w14:textId="4F2BD7A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osílit kapacitu malých a středních podniků v oblasti výzkumu a inovací podporou vývoje a zavádění nových 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obchodních modelů a přijímáním nových a vznikajících technologií,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E4B2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Zlepšení inovační schopnosti MSP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56783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iii) posílení růstu a konkurenceschopnosti malých a středních podniků;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0F8B6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524FD7BE" w14:textId="77777777" w:rsidTr="004C3902">
        <w:trPr>
          <w:trHeight w:val="120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5C179C9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10DE1D3A" w14:textId="60148D87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oskytovat podporu ověření formou proof of concept, počáteční fázi a rozvoji inovativních firem prostřednictvím finančních a měkkých podpůrných opatření (např. podpůrné služby podnikům, inovativní centra atd.),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413F68A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inovační schopnosti MSP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Podpora inovace prostřednictvím aplikovaného výzkumu a experimentálního vývoje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7CE5D602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iii) posílení růstu a konkurenceschopnosti malých a středních podniků;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18500EAE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45050B3D" w14:textId="77777777" w:rsidTr="004C3902">
        <w:trPr>
          <w:trHeight w:val="1440"/>
        </w:trPr>
        <w:tc>
          <w:tcPr>
            <w:tcW w:w="3271" w:type="dxa"/>
            <w:shd w:val="clear" w:color="auto" w:fill="auto"/>
            <w:vAlign w:val="center"/>
            <w:hideMark/>
          </w:tcPr>
          <w:p w14:paraId="5C14662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F7648" w14:textId="3C40ADB7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internacionalizaci malých a středních podniků, aby mohly využívat nové obchodní příležitosti související s přechodem na digitalizaci, přechodem na uhlíkovou neutralitu, účinné využívání zdrojů a na oběhové hospodářství.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95DA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Podpora inovace prostřednictvím aplikovaného výzkumu a experimentálního vývoje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AC408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iii) posílení růstu a konkurenceschopnosti malých a středních podniků;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F441E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238923D1" w14:textId="77777777" w:rsidTr="004C3902">
        <w:trPr>
          <w:trHeight w:val="240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6D8D02EB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4. Digitalizace a automatizace mohou vést k rostoucímu nesouladu mezi nabízenými a požadovanými dovednostmi. Byly určeny vysoce prioritní investiční potřeby za účelem rozvoje dovedností pro inteligentní specializaci, průmyslovou transformaci a podnikání, zejména s cílem: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55B5D074" w14:textId="207EB15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oskytovat podnikům a výzkumným institucím nástroje pro přizpůsobení a rozvoj dovedností pro inteligentní specializaci, průmyslovou transformaci a podnikání,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B0ADF5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Zvýšení přidané hodnoty výrobků a služeb podniků v produkčním řetězci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2B25CC7E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iv) rozvoje dovedností pro inteligentní specializaci, průmyslovou transformaci a podnikání;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6422BBBD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320E08E4" w14:textId="77777777" w:rsidTr="004C3902">
        <w:trPr>
          <w:trHeight w:val="1680"/>
        </w:trPr>
        <w:tc>
          <w:tcPr>
            <w:tcW w:w="3271" w:type="dxa"/>
            <w:shd w:val="clear" w:color="auto" w:fill="auto"/>
            <w:vAlign w:val="center"/>
            <w:hideMark/>
          </w:tcPr>
          <w:p w14:paraId="5F2FE0D1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08E3D" w14:textId="4E99A1BE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růst malých a středních podniků prostřednictvím specifické odborné přípravy a rekvalifikace pro oblasti inteligentní specializace a řízení inovací, a budování správní kapacity (se zvláštním zaměřením na digitální dovednosti a průmyslovou transformaci),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D8B9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Fungující systém dalšího profesního vzdělávání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Zavedení principů digitální ekonomiky a průmyslu 4.0 ve firmách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1A428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iv) rozvoje dovedností pro inteligentní specializaci, průmyslovou transformaci a podnikání;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36D20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26D6236F" w14:textId="77777777" w:rsidTr="004C3902">
        <w:trPr>
          <w:trHeight w:val="96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5F77E95E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1640B37C" w14:textId="371CE49B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lepšit přístup založený na praxi v odborném vzdělávání a přípravě a v systému vysokoškolského vzdělávání, který podporuje vazby mezi školami a podniky.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B326AF2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vzdělávacího systému s ohledem na moderní kompetence a potřeby trhu práce, mimo jiné s ohledem na digitalizaci průmyslu a společnosti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683DAA04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iv) rozvoje dovedností pro inteligentní specializaci, průmyslovou transformaci a podnikání;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20B04F12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11FD0081" w14:textId="77777777" w:rsidTr="004C3902">
        <w:trPr>
          <w:trHeight w:val="1524"/>
        </w:trPr>
        <w:tc>
          <w:tcPr>
            <w:tcW w:w="3271" w:type="dxa"/>
            <w:shd w:val="clear" w:color="auto" w:fill="auto"/>
            <w:vAlign w:val="center"/>
            <w:hideMark/>
          </w:tcPr>
          <w:p w14:paraId="001A0E2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1. Velmi vysoká energetická náročnost a špatná kvalita ovzduší vyžadují vysoce prioritní investice na podporu nízkouhlíkové a ekologičtější výroby energie, vyšší energetické účinnosti a většího množství obnovitelných zdrojů energie, zejména s cílem: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DA3D2" w14:textId="4B681FF8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oskytovat podporu při budování kapacit na regionální a místní úrovni pro řízení přechodu na čistou energii a přechodu na ekonomiku účinně využívající zdroje,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264DD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Podpora vzniku a zavádění inovativních nízkouhlíkových technologií a efektivní a šetrné využívání obnovitelných zdrojů energie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455A2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ii) podpory energie z obnovitelných zdrojů;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5D5EE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6B4174E8" w14:textId="77777777" w:rsidTr="004C3902">
        <w:trPr>
          <w:trHeight w:val="120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3208FDB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1DF995A5" w14:textId="0531912F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výšit energetickou účinnost a využívání obnovitelných zdrojů energie na místě ve veřejných a obytných budovách a v malých a středních podnicích, včetně jejich prostor, zařízení a procesů,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0AEE97B6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Zvýšení energetické účinnosti a úspory energie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7E3EE081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podpory opatření v oblasti energetické účinnosti;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D37A854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449111E6" w14:textId="77777777" w:rsidTr="003B3DEC">
        <w:trPr>
          <w:trHeight w:val="1913"/>
        </w:trPr>
        <w:tc>
          <w:tcPr>
            <w:tcW w:w="3271" w:type="dxa"/>
            <w:shd w:val="clear" w:color="auto" w:fill="auto"/>
            <w:vAlign w:val="center"/>
            <w:hideMark/>
          </w:tcPr>
          <w:p w14:paraId="492ED2AE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5345B" w14:textId="5EF366E2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nížit emise skleníkových plynů a znečištění ovzduší nahrazením kotlů využívajících fosilní paliva nízkouhlíkovými zařízeními a renovacemi zvyšujícími energetickou účinnost budov,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D6330" w14:textId="77777777" w:rsidR="003B3DEC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kvality ovzduší</w:t>
            </w:r>
          </w:p>
          <w:p w14:paraId="73C6440C" w14:textId="5067DD30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Zvýšení energetické účinnosti a úspory energie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D7B05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podpory opatření v oblasti energetické účinnosti;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52FA2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69675EDE" w14:textId="77777777" w:rsidTr="004C3902">
        <w:trPr>
          <w:trHeight w:val="144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0C68794D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1F024329" w14:textId="49FCE3B0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výšit podíl obnovitelných zdrojů energie ve vytápění a chlazení a zavést a integrovat do sítě malá zařízení na výrobu elektrické energie založená na obnovitelných zdrojích energie, včetně případných zařízení na skladování nebo na přeměnu energie.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4D73A9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Podpora vzniku a zavádění inovativních nízkouhlíkových technologií a efektivní a šetrné využívání obnovitelných zdrojů energie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FF04DC9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ii) podpory energie z obnovitelných zdrojů;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00E4ED11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6F9064D4" w14:textId="77777777" w:rsidTr="004C3902">
        <w:trPr>
          <w:trHeight w:val="1682"/>
        </w:trPr>
        <w:tc>
          <w:tcPr>
            <w:tcW w:w="3271" w:type="dxa"/>
            <w:shd w:val="clear" w:color="auto" w:fill="auto"/>
            <w:vAlign w:val="center"/>
            <w:hideMark/>
          </w:tcPr>
          <w:p w14:paraId="3DAF659B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2. Hlavními riziky katastrof jsou povodně a sucha. Byly určeny vysoce prioritní investiční potřeby za účelem podpory přizpůsobení se změnám klimatu, předcházení rizikům a odolnosti vůči katastrofám a zlepšení udržitelného hospodaření s vodou, zejména s cílem: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9D363" w14:textId="6BAE3845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tanovit preventivní opatření, včetně zlepšení hydromorfologických podmínek v souladu s plány povodí pro hospodaření s vodou a řešeními blízkými přírodě (např. obnova a údržba řek, povodí, rybníků a mokřadů),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F3BE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Ochrana a zlepšení stavu vody a vodního hospodářství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9FCEF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iv) podpory přizpůsobení se změnám klimatu, prevence rizik a odolnosti vůči katastrofám;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94BDE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77CB6303" w14:textId="77777777" w:rsidTr="004C3902">
        <w:trPr>
          <w:trHeight w:val="120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1179097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6B6DA63F" w14:textId="199060F6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I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nvestovat do správy řek a vodních útvarů a opatření ke zlepšení stavu vodních útvarů – nedostatky stále přetrvávají v oblasti dosahování cílů EU v oblasti vodní politiky a čištění městských odpadních vod,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688FB4A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Ochrana a zlepšení stavu vody a vodního hospodářství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6C131900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3B31222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48D1FFD3" w14:textId="77777777" w:rsidTr="004C3902">
        <w:trPr>
          <w:trHeight w:val="1200"/>
        </w:trPr>
        <w:tc>
          <w:tcPr>
            <w:tcW w:w="3271" w:type="dxa"/>
            <w:shd w:val="clear" w:color="auto" w:fill="auto"/>
            <w:vAlign w:val="center"/>
            <w:hideMark/>
          </w:tcPr>
          <w:p w14:paraId="50A260ED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D413D" w14:textId="30C6CE6D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I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nvestovat do opatření k regulaci odtoku srážkové vody při bouřkách v městských oblastech a podporovat opatření k zadržování/zachycování vody a opatření k řešení kontaminace, odtoku vody a kvality vody.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C6C2A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Ochrana a zlepšení stavu vody a vodního hospodářství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7E9181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0C5D4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41134171" w14:textId="77777777" w:rsidTr="004C3902">
        <w:trPr>
          <w:trHeight w:val="2112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3B502921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3. Pokud jde o produktivitu zdrojů, výsledky České republiky nedosahují průměru EU. Skládkování je stále nejčastěji využívaným způsobem nakládání s komunálním odpadem. Byly určeny vysoce prioritní investiční potřeby za účelem zlepšení podpory přechodu na oběhové hospodářství, zejména s cílem: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0D46AAE9" w14:textId="0E3A6176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opatření vedoucí k přechodu na oběhové hospodářství a přechod k větší míře prevence vzniku odpadu, jeho opětovného použití a recyklace.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6B1770E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Oběhové hospodářství, odpady a účinné využívání zdrojů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7D5339F6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vi) podpory přechodu k oběhovému hospodářství;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7CE38FDE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331CF336" w14:textId="77777777" w:rsidTr="004C3902">
        <w:trPr>
          <w:trHeight w:val="1961"/>
        </w:trPr>
        <w:tc>
          <w:tcPr>
            <w:tcW w:w="3271" w:type="dxa"/>
            <w:shd w:val="clear" w:color="auto" w:fill="auto"/>
            <w:vAlign w:val="center"/>
            <w:hideMark/>
          </w:tcPr>
          <w:p w14:paraId="1AC26764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4. Česká republika čelí negativním dopadům pokračujícího vytváření předměstí a environmentálně rizikových lokalit. Byly určeny prioritní investiční potřeby za účelem zlepšení biologické rozmanitosti, zelené infrastruktury v městském prostředí a snížení znečištění, zejména s cílem: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52AEA" w14:textId="73B4806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zelenou infrastrukturu v městském prostředí,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C26B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Zkvalitňování veřejných prostranství a rozvoj zelené infrastruktury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59D1C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vii) posílení biologické rozmanitosti, zelené infrastruktury v městském prostředí a snížení znečištění;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90D3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7B3286" w:rsidRPr="00F72BDF" w14:paraId="169C93A7" w14:textId="77777777" w:rsidTr="004C3902">
        <w:trPr>
          <w:trHeight w:val="72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78AB3E99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5C8D6792" w14:textId="64AF46D7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D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ekontaminovat a rehabilitovat průmyslové lokality a kontaminovanou půdu, včetně starých a nezákonných skládek.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7CB2CC6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Sanace míst s ekologickou zátěží a revitalizace brownfieldů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08816E84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68797579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F72BDF" w:rsidRPr="00646F04" w14:paraId="1035E748" w14:textId="77777777" w:rsidTr="004C3902">
        <w:trPr>
          <w:trHeight w:val="4080"/>
        </w:trPr>
        <w:tc>
          <w:tcPr>
            <w:tcW w:w="3271" w:type="dxa"/>
            <w:shd w:val="clear" w:color="auto" w:fill="auto"/>
            <w:vAlign w:val="center"/>
            <w:hideMark/>
          </w:tcPr>
          <w:p w14:paraId="0FD9285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1. Investice do infrastruktury nedosahují průměru EU, přičemž nízké výsledky se týkají silniční infrastruktury, kde stávající investiční mezery související s pokrytím infrastrukturou, kvalitou a normami (např. podíl energie z obnovitelných zdrojů v dopravě, zavádění elektrických vozidel a dobíjecích stanic pro elektrická vozidla). Byly určeny vysoce prioritní investiční potřeby za účelem vytvoření udržitelné, inteligentní, bezpečné a intermodální transevropské dopravní sítě odolné vůči změně klimatu, a zejména s cílem: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D4DB3" w14:textId="2B3F0519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ybudovat a modernizovat hlavní železniční tratě transevropské dopravní sítě, zejména nedokončené/plánované úseky na čtyřech hlavních tranzitních koridorech, včetně interoperability, evropského systému řízení železničního provozu a modernizace standardů technické specifikace pro interoperabilitu,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A996D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Rozvoj a zkvalitnění dopravní infrastruktury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CDCCB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ii) rozvoje udržitelné, inteligentní, bezpečné a intermodální sítě TEN-T odolné vůči změnám klimatu;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F0455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72108B27" w14:textId="77777777" w:rsidTr="004C3902">
        <w:trPr>
          <w:trHeight w:val="192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7EF663AF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D5B290F" w14:textId="5C1D671E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e spolupráci s ostatními zeměmi vybudovat chybějící části hlavní a komplexní silniční transevropské dopravní sítě a odstranit regionální rozdíly v přístupnosti transevropské dopravní sítě, zejména v jižní a severovýchodní části České republiky (pro vybrané úseky by mohlo být použito partnerství veřejného a soukromého sektoru).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D430149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Rozvoj a zkvalitnění dopravní infrastruktury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E952962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ii) rozvoje udržitelné, inteligentní, bezpečné a intermodální sítě TEN-T odolné vůči změnám klimatu;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B61629A" w14:textId="77777777" w:rsidR="00646F04" w:rsidRPr="00646F04" w:rsidRDefault="00646F04" w:rsidP="00646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21C38966" w14:textId="77777777" w:rsidTr="004C3902">
        <w:trPr>
          <w:trHeight w:val="1920"/>
        </w:trPr>
        <w:tc>
          <w:tcPr>
            <w:tcW w:w="3271" w:type="dxa"/>
            <w:shd w:val="clear" w:color="auto" w:fill="auto"/>
            <w:vAlign w:val="center"/>
            <w:hideMark/>
          </w:tcPr>
          <w:p w14:paraId="7FB755DE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2. Byly určeny vysoce prioritní investiční potřeby za účelem podpory udržitelné multimodální městské mobility a vytvoření udržitelných, intermodálních, vnitrostátních, regionálních a místních forem dopravy, a zejména s cílem: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62BD9" w14:textId="6355C6A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inteligentní, propojenější a čistější systémy dopravy odolné vůči změně klimatu,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CE39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Využívání vozidel s alternativním pohonem ve veřejné dopravě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Rozvoj bezmotorové dopravy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Efektivní využití multimodální nákladní dopravy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42E2A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iii) rozvoje udržitelné, inteligentní a intermodální celostátní, regionální a místní mobility odolné vůči změnám klimatu, včetně lepšího přístupu k síti TEN-T a přeshraniční mobility;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BC2F9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7B3286" w:rsidRPr="00F72BDF" w14:paraId="3ECE5C4B" w14:textId="77777777" w:rsidTr="004C3902">
        <w:trPr>
          <w:trHeight w:val="168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657AD7B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4B229CC" w14:textId="485ADB2C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udržitelné a účinné městské dopravní systémy (jako součást příslušných integrovaných strategií územního rozvoje nebo na základě plánu udržitelné městské mobility) s cílem umožnit přechod na čistější kolektivní služby veřejné dopravy a aktivní 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mobilitu, včetně infrastruktury pro alternativní paliva ve městech,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1FA584B" w14:textId="77777777" w:rsidR="00646F04" w:rsidRPr="00646F04" w:rsidRDefault="00646F04" w:rsidP="00646F04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Využívání vozidel s alternativním pohonem ve veřejné dopravě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6C19FF46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iii) rozvoje udržitelné, inteligentní a intermodální celostátní, regionální a místní mobility odolné vůči změnám klimatu, včetně lepšího přístupu k síti TEN-T a přeshraniční mobility;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3C630BF4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F72BDF" w:rsidRPr="00646F04" w14:paraId="36522A13" w14:textId="77777777" w:rsidTr="004C3902">
        <w:trPr>
          <w:trHeight w:val="1440"/>
        </w:trPr>
        <w:tc>
          <w:tcPr>
            <w:tcW w:w="3271" w:type="dxa"/>
            <w:shd w:val="clear" w:color="auto" w:fill="auto"/>
            <w:vAlign w:val="center"/>
            <w:hideMark/>
          </w:tcPr>
          <w:p w14:paraId="0DB77C1F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160B1" w14:textId="08133E2E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I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nvestovat do regionální a místní mobility řešící negativní externality z dopravy, například podporou multimodality v odvětví dopravy, učiněním celého odvětví šetrnějším k životnímu prostředí, bezpečnějším a nákladově efektivnějším.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BF360" w14:textId="77777777" w:rsidR="003B3DEC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Rozvoj a zlepšení integrace dopravy</w:t>
            </w:r>
          </w:p>
          <w:p w14:paraId="42873F51" w14:textId="4D0D4FD1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Zvýšení využití a dostupnosti alternativních paliv v dopravě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4D82C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iii) rozvoje udržitelné, inteligentní a intermodální celostátní, regionální a místní mobility odolné vůči změnám klimatu, včetně lepšího přístupu k síti TEN-T a přeshraniční mobility;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5F05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7B3286" w:rsidRPr="00F72BDF" w14:paraId="4E583D06" w14:textId="77777777" w:rsidTr="004C3902">
        <w:trPr>
          <w:trHeight w:val="144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0924E70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3. Mezi městskými a venkovskými oblastmi existuje hluboká digitální propast (pokrytí a využívání). Byly určeny investiční potřeby za účelem zlepšení digitální propojenosti, a zejména s cílem: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67BFE65C" w14:textId="2B5D2B75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avést meziuzlové sítě / páteřní sítě širokopásmové infrastruktury a podporovat opatření na straně poptávky podporující kabelová řešení pro vlastníky soukromých domů ve venkovských oblastech.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7F54A1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inovační schopnosti MSP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28271E35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zvýšení digitálního propojení;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7FBE9B49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Potřeby</w:t>
            </w:r>
          </w:p>
        </w:tc>
      </w:tr>
      <w:tr w:rsidR="00F72BDF" w:rsidRPr="00646F04" w14:paraId="06CFCEA9" w14:textId="77777777" w:rsidTr="004C3902">
        <w:trPr>
          <w:trHeight w:val="2395"/>
        </w:trPr>
        <w:tc>
          <w:tcPr>
            <w:tcW w:w="3271" w:type="dxa"/>
            <w:shd w:val="clear" w:color="auto" w:fill="auto"/>
            <w:vAlign w:val="center"/>
            <w:hideMark/>
          </w:tcPr>
          <w:p w14:paraId="2A29F29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1. Některé skupiny obyvatelstva čelí strukturálním obtížím na trhu práce a budoucí průmyslové a demografické změny budou mít silný dopad na pracovní sílu. Proto byly určeny vysoce prioritní investiční potřeby za účelem podpory účasti žen na trhu práce, poskytování individualizovaných služeb zaměstnanosti a posilování 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schopnosti pracovníků přizpůsobovat se, a zejména s cílem: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D25F0" w14:textId="1C8CFC69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pružné uspořádání pracovní doby, zvýšit počet míst v zařízeních péče o děti pro děti mladší 3 let, zlepšit dlouhodobou péči, včetně prostřednictvím rozvoje infrastruktury,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524CD" w14:textId="77777777" w:rsidR="00646F04" w:rsidRPr="00646F04" w:rsidRDefault="00646F04" w:rsidP="00646F04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Podpora rovných příležitostí a slaďování pracovního a osobního života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Klientsky orientované sociální služby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1CAA7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zlepšení efektivity trhů práce a přístupu ke kvalitnímu zaměstnání pomocí rozvoje sociální inovace a infrastruktury;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D83E0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078738C3" w14:textId="77777777" w:rsidTr="004C3902">
        <w:trPr>
          <w:trHeight w:val="144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6D37ED8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159F4BFA" w14:textId="51139516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avést komplexní strategii pro dovednosti, podporovat celoživotní učení a uznávání dovedností, podporovat adaptabilitu pracovníků na budoucí požadavky prostřednictvím rozšiřování kvalifikace/rekvalifikace, včetně státních příslušníků třetích zemí,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1B326EB2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Fungující systém dalšího profesního vzdělávání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Zvýšení účasti znevýhodněných skupin na trhu práce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78CD50F7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zlepšení efektivity trhů práce a přístupu ke kvalitnímu zaměstnání pomocí rozvoje sociální inovace a infrastruktury;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77A81DA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28D16414" w14:textId="77777777" w:rsidTr="004C3902">
        <w:trPr>
          <w:trHeight w:val="1020"/>
        </w:trPr>
        <w:tc>
          <w:tcPr>
            <w:tcW w:w="3271" w:type="dxa"/>
            <w:shd w:val="clear" w:color="auto" w:fill="auto"/>
            <w:vAlign w:val="center"/>
            <w:hideMark/>
          </w:tcPr>
          <w:p w14:paraId="69994C41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F5B64" w14:textId="3F5A0F5E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odernizovat instituce a služby trhu práce, včetně potřebné infrastruktury,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1D5E2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Modernizace institucí na trhu práce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70EAE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zlepšení efektivity trhů práce a přístupu ke kvalitnímu zaměstnání pomocí rozvoje sociální inovace a infrastruktury;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2AD8F2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487ED1B0" w14:textId="77777777" w:rsidTr="004C3902">
        <w:trPr>
          <w:trHeight w:val="168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03F9148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059560E7" w14:textId="2630B191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zdravé pracovní prostředí přizpůsobené starším osobám a nové postupy organizace práce,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EB339EF" w14:textId="77777777" w:rsidR="00646F04" w:rsidRPr="00646F04" w:rsidRDefault="00646F04" w:rsidP="00646F04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Zvýšení účasti znevýhodněných skupin na trhu práce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Podpora rovných příležitostí a slaďování pracovního a osobního života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CC2729F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zlepšení efektivity trhů práce a přístupu ke kvalitnímu zaměstnání pomocí rozvoje sociální inovace a infrastruktury;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5AB40DB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20E97931" w14:textId="77777777" w:rsidTr="004C3902">
        <w:trPr>
          <w:trHeight w:val="1200"/>
        </w:trPr>
        <w:tc>
          <w:tcPr>
            <w:tcW w:w="3271" w:type="dxa"/>
            <w:shd w:val="clear" w:color="auto" w:fill="auto"/>
            <w:vAlign w:val="center"/>
            <w:hideMark/>
          </w:tcPr>
          <w:p w14:paraId="443F2D3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6A6D8" w14:textId="726196AD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podnikatelské inkubátory, infrastrukturu a zařízení pro samostatnou výdělečnou činnost, mikropodniky a podniky / vytváření pracovních míst a sociální inovace, se zaměřením na sociální podniky.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B7CB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inovační schopnosti MSP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C66EC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zlepšení efektivity trhů práce a přístupu ke kvalitnímu zaměstnání pomocí rozvoje sociální inovace a infrastruktury;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E561E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0CDC9467" w14:textId="77777777" w:rsidTr="004C3902">
        <w:trPr>
          <w:trHeight w:val="2254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37DB0EF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2. Dopad socioekonomického zázemí na výsledky ve vzdělávání je vysoký a rozdíly mezi regiony rostou. Proto byly určeny vysoce prioritní investiční potřeby za účelem podpory začlenění a rovného přístupu ke kvalitnímu vzdělání a odborné přípravě a posílení jejich významu pro trh práce, zvláště v zaostávajících regionech, a zejména s cílem: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69D9DC1D" w14:textId="0ADE272A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osílit rovný přístup k vysoce kvalitnímu inkluzivní vzdělávání a odborné přípravě a jejich dokončení, včetně prostřednictvím vhodné infrastruktury a cílené podpory pro účastníky vzdělávání ze socioekonomicky znevýhodněných skupin, jako jsou např. lidé se zdravotním postižením nebo Romové,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65DE423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Zajištění rovného přístupu ke vzdělání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1A9E1CBB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ii) zlepšení přístupu k inkluzivním a kvalitním službám v oblasti vzdělávání, odborné přípravy a celoživotního učení pomocí rozvoje infrastruktury;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3EC0FDF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266A5ED7" w14:textId="77777777" w:rsidTr="004C3902">
        <w:trPr>
          <w:trHeight w:val="1690"/>
        </w:trPr>
        <w:tc>
          <w:tcPr>
            <w:tcW w:w="3271" w:type="dxa"/>
            <w:shd w:val="clear" w:color="auto" w:fill="auto"/>
            <w:vAlign w:val="center"/>
            <w:hideMark/>
          </w:tcPr>
          <w:p w14:paraId="0535DD7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D8128" w14:textId="3FADBC64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Ř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ešit nerovnosti v oblasti vzdělávání mezi školami a regiony a podporovat osvojování klíčových kompetencí, včetně digitálních dovedností, podporovat odpovídající odbornou přípravu učitelů a poskytnout odbornou přípravu pro výuku heterogenních skupin žáků;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0C974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Zajištění rovného přístupu ke vzdělání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D2C99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ii) zlepšení přístupu k inkluzivním a kvalitním službám v oblasti vzdělávání, odborné přípravy a celoživotního učení pomocí rozvoje infrastruktury;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34D209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7B3286" w:rsidRPr="00F72BDF" w14:paraId="04ACCD16" w14:textId="77777777" w:rsidTr="004C3902">
        <w:trPr>
          <w:trHeight w:val="1686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59C52117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7A935807" w14:textId="20213843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kapacity s cílem reagovat na potřeby trhu práce, zejména v oblasti odborného vzdělávání a přípravy, vzdělávání dospělých a vysokoškolského vzdělávání a podporovat excelenci v terciálním vzdělávání.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01A4FB3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Zlepšení vzdělávacího systému s ohledem na moderní kompetence a potřeby trhu práce, mimo jiné s ohledem na digitalizaci průmyslu a společnosti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146D57C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ii) zlepšení přístupu k inkluzivním a kvalitním službám v oblasti vzdělávání, odborné přípravy a celoživotního učení pomocí rozvoje infrastruktury;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0578C1BB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Vysoce prioritní potřeby</w:t>
            </w:r>
          </w:p>
        </w:tc>
      </w:tr>
      <w:tr w:rsidR="00F72BDF" w:rsidRPr="00646F04" w14:paraId="7717B776" w14:textId="77777777" w:rsidTr="004C3902">
        <w:trPr>
          <w:trHeight w:val="2880"/>
        </w:trPr>
        <w:tc>
          <w:tcPr>
            <w:tcW w:w="3271" w:type="dxa"/>
            <w:shd w:val="clear" w:color="auto" w:fill="auto"/>
            <w:vAlign w:val="center"/>
            <w:hideMark/>
          </w:tcPr>
          <w:p w14:paraId="74446BEA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3. Rostou sociální problémy na regionální úrovni. Byly určeny vysoce prioritní investiční potřeby za účelem podpory socioekonomické integrace nejchudších osob a zlepšení přístupu k sociálním službám, službám zdravotní péče a službám dlouhodobé péče s cílem snížení nerovností v oblasti zdraví, včetně prostřednictvím rozvoje infrastruktury, a zejména s cílem: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CEAED" w14:textId="638FEEA9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D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ále podporovat koordinovaný přístup k socioekonomické integraci sociálně vyloučených osob, např. Romů, včetně prostřednictvím potravinové a základní materiální pomoci, přístupu k zaměstnání, zdravotním a sociálním službám, finančnímu poradenství, cílenému vzdělávání/odbornému vzdělávání, a opatření k řešení vyloučení z přístupu k bydlení,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D728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Sociální začleňování</w:t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br/>
              <w:t>Sociální bydlení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F2BDD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iii) posílení sociálně-ekonomické integrace marginalizovaných komunit, migrantů a znevýhodněných skupin pomocí integrovaných opatření, včetně bydlení a sociálních služeb;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2851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7B3286" w:rsidRPr="00F72BDF" w14:paraId="086EC2D8" w14:textId="77777777" w:rsidTr="004C3902">
        <w:trPr>
          <w:trHeight w:val="2112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63E6256C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0F368E4F" w14:textId="2898DF51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deinstitucionalizaci péče zejména pro děti mladší tří let, osoby se zdravotním postižením, starší osoby a osoby s mentálním postižením, podporovat spolupráci mezi zdravotními a sociálními službami, posílit a zlepšit přístup k primární péči, 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zejména pro zranitelné skupiny, integraci péče a prevence.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AFE19A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Klientsky orientované sociální služby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12B1B45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iv) zajištění rovného přístupu ke zdravotní péči pomocí rozvoje infrastruktury, včetně primární péče;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2DC20CB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Prioritní potřeby</w:t>
            </w:r>
          </w:p>
        </w:tc>
      </w:tr>
      <w:tr w:rsidR="00F72BDF" w:rsidRPr="00646F04" w14:paraId="384B454A" w14:textId="77777777" w:rsidTr="004C3902">
        <w:trPr>
          <w:trHeight w:val="3531"/>
        </w:trPr>
        <w:tc>
          <w:tcPr>
            <w:tcW w:w="3271" w:type="dxa"/>
            <w:shd w:val="clear" w:color="auto" w:fill="auto"/>
            <w:vAlign w:val="center"/>
            <w:hideMark/>
          </w:tcPr>
          <w:p w14:paraId="1C357D56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1. V některých regionech došlo ke konvergenci, avšak vnitřní rozdíly stále rostou. Investice politiky soudržnosti musí v plné míře využívat potenciál integrovaných územních nástrojů (integrované územní investice a komunitně vedený místní rozvoj) za účelem řešení problémů v oblasti územní soudržnosti a zajištění místně orientovaného přístupu. Byly určeny investiční potřeby s cílem posílit integrovaný sociální, hospodářský, kulturní a environmentální rozvoj, udržitelnou dopravu a dopravní propojení, zejména s cílem: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60DCE" w14:textId="7648DC7F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nížit nerovnosti mezi regiony a v rámci městských oblastí prostřednictvím rozvoje pilířů hospodářské činnosti a vytvořením nezbytných vazeb s okolními oblastmi v rámci integrovaných územních investic ve vybraných velkých městech a regionálních centrech, včetně vytváření vazeb s okolními oblastmi,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C6F34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Více specifických cílů prostřednictvím specifických územních přístupů (např. integrované nístroje, program Re:start, cílené výzvy aj.)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2EFC9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i) podpory integrovaného sociálního, hospodářského a environmentálního rozvoje, kulturního dědictví a bezpečnosti v městských oblastech;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5E050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Potřeby</w:t>
            </w:r>
          </w:p>
        </w:tc>
      </w:tr>
      <w:tr w:rsidR="007B3286" w:rsidRPr="00F72BDF" w14:paraId="315A3276" w14:textId="77777777" w:rsidTr="004C3902">
        <w:trPr>
          <w:trHeight w:val="1979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3AADF4C3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3E939E41" w14:textId="46ABD0C2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odporovat transformační úsilí se zvláštním zaměřením na regiony procházející procesem hospodářské restrukturalizace, na které se v současné době vztahuje iniciativa týkající se transformace uhelných regionů, kterou na národní 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úrovni představuje strategie orgánů České republiky nazvaná „RE:START“,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02AED0B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Více specifických cílů prostřednictvím specifických územních přístupů (např. integrované nístroje, program Re:start, cílené výzvy aj.)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49D49922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7C039AE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Potřeby</w:t>
            </w:r>
          </w:p>
        </w:tc>
      </w:tr>
      <w:tr w:rsidR="00F72BDF" w:rsidRPr="00646F04" w14:paraId="73F34D2E" w14:textId="77777777" w:rsidTr="004C3902">
        <w:trPr>
          <w:trHeight w:val="720"/>
        </w:trPr>
        <w:tc>
          <w:tcPr>
            <w:tcW w:w="3271" w:type="dxa"/>
            <w:shd w:val="clear" w:color="auto" w:fill="auto"/>
            <w:vAlign w:val="center"/>
            <w:hideMark/>
          </w:tcPr>
          <w:p w14:paraId="6C4EA8AA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96CC2" w14:textId="1C24D2BA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odporovat inovace ve výkonnějších jižních regionech s cílem zabránit pasti středně vysokých příjmů,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E10A4" w14:textId="77777777" w:rsidR="00646F04" w:rsidRPr="00646F04" w:rsidRDefault="00646F04" w:rsidP="00646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125F6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_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A4C05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Potřeby</w:t>
            </w:r>
          </w:p>
        </w:tc>
      </w:tr>
      <w:tr w:rsidR="007B3286" w:rsidRPr="00F72BDF" w14:paraId="539F425D" w14:textId="77777777" w:rsidTr="004C3902">
        <w:trPr>
          <w:trHeight w:val="2400"/>
        </w:trPr>
        <w:tc>
          <w:tcPr>
            <w:tcW w:w="3271" w:type="dxa"/>
            <w:shd w:val="clear" w:color="DCE6F1" w:fill="DCE6F1"/>
            <w:vAlign w:val="center"/>
            <w:hideMark/>
          </w:tcPr>
          <w:p w14:paraId="57E4D718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011C9774" w14:textId="623E7E18" w:rsidR="00646F04" w:rsidRPr="00646F04" w:rsidRDefault="003155B1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46F04" w:rsidRPr="00646F04">
              <w:rPr>
                <w:rFonts w:ascii="Arial" w:eastAsia="Times New Roman" w:hAnsi="Arial" w:cs="Arial"/>
                <w:color w:val="000000"/>
                <w:lang w:eastAsia="cs-CZ"/>
              </w:rPr>
              <w:t>okud jde o venkovské oblasti, podporovat jejich rozvoj a poskytnout místním orgánům, místním zúčastněným stranám a organizacím působícím na místní úrovni podporu v oblasti budování kapacit (oblasti vzdálené od páteřní dopravní infrastruktury a regionálních center nebo venkovské oblasti v okolí velkých měst, investice do vybraných oblastí činností a na základě jejich integrovaných strategií územního rozvoje).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40EAE78D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Prostřednictvím specifických územních přístupů </w:t>
            </w:r>
          </w:p>
        </w:tc>
        <w:tc>
          <w:tcPr>
            <w:tcW w:w="0" w:type="auto"/>
            <w:shd w:val="clear" w:color="DCE6F1" w:fill="DCE6F1"/>
            <w:vAlign w:val="center"/>
            <w:hideMark/>
          </w:tcPr>
          <w:p w14:paraId="0EC1DEB9" w14:textId="77777777" w:rsidR="00646F04" w:rsidRPr="00646F04" w:rsidRDefault="00646F04" w:rsidP="004C3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ii) podpory integrovaného sociálního, hospodářského a environmentálního místního rozvoje, kulturního dědictví a bezpečnosti a v případě venkovských a pobřežních oblastí také prostřednictvím komunitně vedeného místního rozvoje.</w:t>
            </w:r>
          </w:p>
        </w:tc>
        <w:tc>
          <w:tcPr>
            <w:tcW w:w="0" w:type="auto"/>
            <w:shd w:val="clear" w:color="DCE6F1" w:fill="DCE6F1"/>
            <w:noWrap/>
            <w:vAlign w:val="center"/>
            <w:hideMark/>
          </w:tcPr>
          <w:p w14:paraId="3E8A1D9F" w14:textId="77777777" w:rsidR="00646F04" w:rsidRPr="00646F04" w:rsidRDefault="00646F04" w:rsidP="00646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46F04">
              <w:rPr>
                <w:rFonts w:ascii="Arial" w:eastAsia="Times New Roman" w:hAnsi="Arial" w:cs="Arial"/>
                <w:color w:val="000000"/>
                <w:lang w:eastAsia="cs-CZ"/>
              </w:rPr>
              <w:t>Potřeby</w:t>
            </w:r>
          </w:p>
        </w:tc>
      </w:tr>
    </w:tbl>
    <w:p w14:paraId="1FC1CF51" w14:textId="77777777" w:rsidR="00C450AC" w:rsidRDefault="00C450AC" w:rsidP="00646F04">
      <w:pPr>
        <w:jc w:val="both"/>
      </w:pPr>
    </w:p>
    <w:sectPr w:rsidR="00C450AC" w:rsidSect="00646F04">
      <w:head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85589" w14:textId="77777777" w:rsidR="00ED5476" w:rsidRDefault="00ED5476" w:rsidP="007C4CE9">
      <w:pPr>
        <w:spacing w:after="0" w:line="240" w:lineRule="auto"/>
      </w:pPr>
      <w:r>
        <w:separator/>
      </w:r>
    </w:p>
  </w:endnote>
  <w:endnote w:type="continuationSeparator" w:id="0">
    <w:p w14:paraId="57763AF7" w14:textId="77777777" w:rsidR="00ED5476" w:rsidRDefault="00ED5476" w:rsidP="007C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70D35" w14:textId="77777777" w:rsidR="00D32240" w:rsidRDefault="00D322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BED5C" w14:textId="77777777" w:rsidR="00ED5476" w:rsidRDefault="00ED5476" w:rsidP="007C4CE9">
      <w:pPr>
        <w:spacing w:after="0" w:line="240" w:lineRule="auto"/>
      </w:pPr>
      <w:r>
        <w:separator/>
      </w:r>
    </w:p>
  </w:footnote>
  <w:footnote w:type="continuationSeparator" w:id="0">
    <w:p w14:paraId="513DA1E3" w14:textId="77777777" w:rsidR="00ED5476" w:rsidRDefault="00ED5476" w:rsidP="007C4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AD952" w14:textId="77777777" w:rsidR="00C450AC" w:rsidRDefault="00C450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5A82CB12" wp14:editId="66B56AB2">
          <wp:simplePos x="0" y="0"/>
          <wp:positionH relativeFrom="column">
            <wp:posOffset>-563245</wp:posOffset>
          </wp:positionH>
          <wp:positionV relativeFrom="paragraph">
            <wp:posOffset>-43180</wp:posOffset>
          </wp:positionV>
          <wp:extent cx="7009130" cy="9914255"/>
          <wp:effectExtent l="0" t="0" r="1270" b="0"/>
          <wp:wrapNone/>
          <wp:docPr id="3" name="Obrázek 3" descr="G:\titulka12b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titulka12b-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130" cy="991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CCC72" w14:textId="77777777" w:rsidR="00C450AC" w:rsidRPr="00D32240" w:rsidRDefault="00C450AC" w:rsidP="00D322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A37"/>
    <w:multiLevelType w:val="multilevel"/>
    <w:tmpl w:val="6FA8DD4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2060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A944F79"/>
    <w:multiLevelType w:val="hybridMultilevel"/>
    <w:tmpl w:val="513243E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02659A"/>
    <w:multiLevelType w:val="hybridMultilevel"/>
    <w:tmpl w:val="E288F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362F5"/>
    <w:multiLevelType w:val="hybridMultilevel"/>
    <w:tmpl w:val="335EF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B32A3"/>
    <w:multiLevelType w:val="hybridMultilevel"/>
    <w:tmpl w:val="CD5E4D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954FB2"/>
    <w:multiLevelType w:val="hybridMultilevel"/>
    <w:tmpl w:val="671E5C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AE"/>
    <w:rsid w:val="000C7CA1"/>
    <w:rsid w:val="00177586"/>
    <w:rsid w:val="001A6FD7"/>
    <w:rsid w:val="001C4BEC"/>
    <w:rsid w:val="003155B1"/>
    <w:rsid w:val="003B3DEC"/>
    <w:rsid w:val="004C3902"/>
    <w:rsid w:val="00543CC5"/>
    <w:rsid w:val="00577EB1"/>
    <w:rsid w:val="005A7536"/>
    <w:rsid w:val="00646F04"/>
    <w:rsid w:val="006577CA"/>
    <w:rsid w:val="006A0279"/>
    <w:rsid w:val="00712FAE"/>
    <w:rsid w:val="00754FA8"/>
    <w:rsid w:val="007B3286"/>
    <w:rsid w:val="007C4CE9"/>
    <w:rsid w:val="00813840"/>
    <w:rsid w:val="008876FE"/>
    <w:rsid w:val="008B34AB"/>
    <w:rsid w:val="008C1BB5"/>
    <w:rsid w:val="00950770"/>
    <w:rsid w:val="00980FAA"/>
    <w:rsid w:val="00AC6B5A"/>
    <w:rsid w:val="00B96D24"/>
    <w:rsid w:val="00B974E0"/>
    <w:rsid w:val="00C35ADC"/>
    <w:rsid w:val="00C450AC"/>
    <w:rsid w:val="00D32240"/>
    <w:rsid w:val="00D767C3"/>
    <w:rsid w:val="00DF589D"/>
    <w:rsid w:val="00EA47C1"/>
    <w:rsid w:val="00ED5476"/>
    <w:rsid w:val="00F45CD8"/>
    <w:rsid w:val="00F7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A42645"/>
  <w15:docId w15:val="{4CFBC58F-2E1F-4CED-B997-654B0119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4CE9"/>
  </w:style>
  <w:style w:type="paragraph" w:styleId="Zpat">
    <w:name w:val="footer"/>
    <w:basedOn w:val="Normln"/>
    <w:link w:val="Zpat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4CE9"/>
  </w:style>
  <w:style w:type="paragraph" w:styleId="Textbubliny">
    <w:name w:val="Balloon Text"/>
    <w:basedOn w:val="Normln"/>
    <w:link w:val="TextbublinyChar"/>
    <w:uiPriority w:val="99"/>
    <w:semiHidden/>
    <w:unhideWhenUsed/>
    <w:rsid w:val="0098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FA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1BB5"/>
    <w:pPr>
      <w:ind w:left="720"/>
      <w:contextualSpacing/>
    </w:pPr>
  </w:style>
  <w:style w:type="table" w:styleId="Mkatabulky">
    <w:name w:val="Table Grid"/>
    <w:basedOn w:val="Normlntabulka"/>
    <w:uiPriority w:val="39"/>
    <w:rsid w:val="00C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95077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50770"/>
    <w:rPr>
      <w:rFonts w:eastAsiaTheme="minorEastAsia"/>
      <w:lang w:eastAsia="cs-CZ"/>
    </w:rPr>
  </w:style>
  <w:style w:type="table" w:styleId="Tabulkasmkou3zvraznn5">
    <w:name w:val="Grid Table 3 Accent 5"/>
    <w:basedOn w:val="Normlntabulka"/>
    <w:uiPriority w:val="48"/>
    <w:rsid w:val="00646F0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data\sablony\NOK%20Tituln&#237;%20strana%20dokument&#36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5F2C64CE144BA0BF2D846CF1F0C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FF1F9-DA40-4449-AF26-EFBCDE0B9885}"/>
      </w:docPartPr>
      <w:docPartBody>
        <w:p w:rsidR="007019CC" w:rsidRDefault="00474524" w:rsidP="00474524">
          <w:pPr>
            <w:pStyle w:val="A95F2C64CE144BA0BF2D846CF1F0C98A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[Název dokumentu]</w:t>
          </w:r>
        </w:p>
      </w:docPartBody>
    </w:docPart>
    <w:docPart>
      <w:docPartPr>
        <w:name w:val="C5BEAF161C804C2F9DE7C3FFBDE06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A58A4-AB95-42FA-AC8E-9CD5A0AF779E}"/>
      </w:docPartPr>
      <w:docPartBody>
        <w:p w:rsidR="007019CC" w:rsidRDefault="00474524" w:rsidP="00474524">
          <w:pPr>
            <w:pStyle w:val="C5BEAF161C804C2F9DE7C3FFBDE06A45"/>
          </w:pPr>
          <w:r>
            <w:rPr>
              <w:color w:val="2E74B5" w:themeColor="accent1" w:themeShade="BF"/>
              <w:sz w:val="24"/>
              <w:szCs w:val="24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4"/>
    <w:rsid w:val="00474524"/>
    <w:rsid w:val="0070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95F2C64CE144BA0BF2D846CF1F0C98A">
    <w:name w:val="A95F2C64CE144BA0BF2D846CF1F0C98A"/>
    <w:rsid w:val="00474524"/>
  </w:style>
  <w:style w:type="paragraph" w:customStyle="1" w:styleId="C5BEAF161C804C2F9DE7C3FFBDE06A45">
    <w:name w:val="C5BEAF161C804C2F9DE7C3FFBDE06A45"/>
    <w:rsid w:val="00474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5F4FF732F663438DC7BBDE7D2A92A5" ma:contentTypeVersion="4" ma:contentTypeDescription="Vytvoří nový dokument" ma:contentTypeScope="" ma:versionID="a53418b6f6e518d13d38ca70e2ccc597">
  <xsd:schema xmlns:xsd="http://www.w3.org/2001/XMLSchema" xmlns:xs="http://www.w3.org/2001/XMLSchema" xmlns:p="http://schemas.microsoft.com/office/2006/metadata/properties" xmlns:ns2="a5dcb9bc-8d52-4d3e-a595-09c2d5420a48" xmlns:ns3="c21e7edb-b367-4ac7-a92d-02aa336f11bf" targetNamespace="http://schemas.microsoft.com/office/2006/metadata/properties" ma:root="true" ma:fieldsID="4a6f632d16916570da4a7416b5919e9d" ns2:_="" ns3:_="">
    <xsd:import namespace="a5dcb9bc-8d52-4d3e-a595-09c2d5420a48"/>
    <xsd:import namespace="c21e7edb-b367-4ac7-a92d-02aa336f11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cb9bc-8d52-4d3e-a595-09c2d5420a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12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13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e7edb-b367-4ac7-a92d-02aa336f11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dcb9bc-8d52-4d3e-a595-09c2d5420a48">MMR22-929250655-69</_dlc_DocId>
    <_dlc_DocIdUrl xmlns="a5dcb9bc-8d52-4d3e-a595-09c2d5420a48">
      <Url>https://mmrcz.sharepoint.com/sites/22/224/_layouts/15/DocIdRedir.aspx?ID=MMR22-929250655-69</Url>
      <Description>MMR22-929250655-69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7D51E-C851-4D68-B966-8CE7E3BC4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dcb9bc-8d52-4d3e-a595-09c2d5420a48"/>
    <ds:schemaRef ds:uri="c21e7edb-b367-4ac7-a92d-02aa336f1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B7FA0-A49F-49A1-B81E-A21F2B24157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54D2B5-6ADD-4C98-9D39-2AD357CE17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701047-F3EF-45A4-9455-4F38AD13EF09}">
  <ds:schemaRefs>
    <ds:schemaRef ds:uri="http://schemas.microsoft.com/office/2006/documentManagement/types"/>
    <ds:schemaRef ds:uri="a5dcb9bc-8d52-4d3e-a595-09c2d5420a48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21e7edb-b367-4ac7-a92d-02aa336f11bf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881D5561-CDE6-490C-A8BA-14FE370B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NOK Titulní strana dokumentů</Template>
  <TotalTime>70</TotalTime>
  <Pages>15</Pages>
  <Words>3233</Words>
  <Characters>19079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Národní koncepce realizace politiky soudržnosti v ČR po roce 2020 -</vt:lpstr>
    </vt:vector>
  </TitlesOfParts>
  <Company/>
  <LinksUpToDate>false</LinksUpToDate>
  <CharactersWithSpaces>22268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Národní koncepce realizace politiky soudržnosti v ČR po roce 2020 -</dc:title>
  <dc:subject>Příloha č. 4                                   Vztah specifických cílů NKR k procesu evropského semestru</dc:subject>
  <dc:creator>Krouzová  Lenka Kristýna</dc:creator>
  <cp:lastModifiedBy>Valenta Petr</cp:lastModifiedBy>
  <cp:revision>14</cp:revision>
  <dcterms:created xsi:type="dcterms:W3CDTF">2019-05-23T10:03:00Z</dcterms:created>
  <dcterms:modified xsi:type="dcterms:W3CDTF">2019-06-04T14:45:00Z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0x010100745F4FF732F663438DC7BBDE7D2A92A5</vt:lpwstr>
  </property>
  <property fmtid="{D5CDD505-2E9C-101B-9397-08002B2CF9AE}" pid="3" name="_dlc_DocIdItemGuid">
    <vt:lpwstr>20d05d5c-9a5e-430c-8b71-581be3d3bb27</vt:lpwstr>
  </property>
  <property fmtid="{D5CDD505-2E9C-101B-9397-08002B2CF9AE}" pid="4" name="Order">
    <vt:r8>6400</vt:r8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_CopySource">
    <vt:lpwstr>https://mmrcz.sharepoint.com/sites/22/224/Sdilene dokumenty/Příloha NKR č. 4_Vztah specifických cílů NKR k procesu evropského semestru.docx</vt:lpwstr>
  </property>
</Properties>
</file>