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E7406" w14:textId="77777777" w:rsidR="00980FAA" w:rsidRDefault="00980FAA">
      <w:bookmarkStart w:id="0" w:name="_GoBack"/>
      <w:bookmarkEnd w:id="0"/>
    </w:p>
    <w:p w14:paraId="5E25D4E2" w14:textId="77777777" w:rsidR="00980FAA" w:rsidRDefault="00980FAA"/>
    <w:p w14:paraId="6C64BF9C" w14:textId="77777777" w:rsidR="00980FAA" w:rsidRDefault="00980FAA"/>
    <w:p w14:paraId="7017B7E2" w14:textId="77777777" w:rsidR="00980FAA" w:rsidRDefault="00980FAA"/>
    <w:p w14:paraId="58F64ED0" w14:textId="77777777" w:rsidR="00980FAA" w:rsidRDefault="00980FAA"/>
    <w:p w14:paraId="7C3A692F" w14:textId="77777777" w:rsidR="00980FAA" w:rsidRDefault="00980FAA" w:rsidP="00C35ADC">
      <w:pPr>
        <w:jc w:val="right"/>
      </w:pPr>
    </w:p>
    <w:p w14:paraId="67E2384B" w14:textId="77777777" w:rsidR="00980FAA" w:rsidRDefault="00980FAA"/>
    <w:p w14:paraId="6C9677C6" w14:textId="77777777" w:rsidR="00980FAA" w:rsidRDefault="00980FAA"/>
    <w:p w14:paraId="637DE1A9" w14:textId="77777777" w:rsidR="00980FAA" w:rsidRDefault="00980FAA"/>
    <w:p w14:paraId="6F46FE9D" w14:textId="77777777" w:rsidR="00980FAA" w:rsidRDefault="00980FAA"/>
    <w:p w14:paraId="11A2AE4C" w14:textId="77777777" w:rsidR="00980FAA" w:rsidRDefault="00980FAA"/>
    <w:p w14:paraId="29054465" w14:textId="77777777" w:rsidR="00980FAA" w:rsidRDefault="00980FAA"/>
    <w:tbl>
      <w:tblPr>
        <w:tblpPr w:leftFromText="187" w:rightFromText="187" w:vertAnchor="page" w:horzAnchor="margin" w:tblpY="7781"/>
        <w:tblW w:w="3306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6170"/>
      </w:tblGrid>
      <w:tr w:rsidR="00950770" w14:paraId="6E6955D4" w14:textId="77777777" w:rsidTr="00CA17B5">
        <w:trPr>
          <w:trHeight w:val="574"/>
        </w:trPr>
        <w:tc>
          <w:tcPr>
            <w:tcW w:w="6170" w:type="dxa"/>
          </w:tcPr>
          <w:p w14:paraId="4A1DA5AA" w14:textId="77777777" w:rsidR="00950770" w:rsidRDefault="00F355F6" w:rsidP="001E4737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CA17B5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7C8A80DA" w14:textId="77777777" w:rsidTr="00CA17B5">
        <w:trPr>
          <w:trHeight w:val="796"/>
        </w:trPr>
        <w:tc>
          <w:tcPr>
            <w:tcW w:w="61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A0E9582" w14:textId="77777777" w:rsidR="00950770" w:rsidRDefault="00F355F6" w:rsidP="00CA17B5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sz w:val="42"/>
                  <w:szCs w:val="4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CA17B5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Příloha č. 3                                      </w:t>
                </w:r>
                <w:r w:rsidR="00CA17B5" w:rsidRPr="00CA17B5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Vazba specifických cílů NKR k průřezovým tématům</w:t>
                </w:r>
              </w:sdtContent>
            </w:sdt>
          </w:p>
        </w:tc>
      </w:tr>
    </w:tbl>
    <w:p w14:paraId="687E2939" w14:textId="77777777" w:rsidR="00980FAA" w:rsidRDefault="00980FAA"/>
    <w:p w14:paraId="4B005DA0" w14:textId="77777777" w:rsidR="00950770" w:rsidRDefault="00950770"/>
    <w:p w14:paraId="6814AEDF" w14:textId="77777777" w:rsidR="00950770" w:rsidRDefault="00950770"/>
    <w:p w14:paraId="7C85827D" w14:textId="77777777" w:rsidR="00980FAA" w:rsidRDefault="00980FAA"/>
    <w:p w14:paraId="28EC01AD" w14:textId="77777777" w:rsidR="00980FAA" w:rsidRDefault="00980FAA"/>
    <w:p w14:paraId="010924E4" w14:textId="77777777" w:rsidR="00980FAA" w:rsidRDefault="00980FAA"/>
    <w:p w14:paraId="56D8E68A" w14:textId="77777777" w:rsidR="00980FAA" w:rsidRDefault="00980FAA"/>
    <w:p w14:paraId="5A112050" w14:textId="77777777" w:rsidR="00980FAA" w:rsidRDefault="00980FAA"/>
    <w:p w14:paraId="5E117CBF" w14:textId="77777777" w:rsidR="00980FAA" w:rsidRDefault="00980FAA"/>
    <w:p w14:paraId="5FEB8380" w14:textId="77777777" w:rsidR="00980FAA" w:rsidRDefault="00980FAA"/>
    <w:p w14:paraId="6920B6B7" w14:textId="77777777" w:rsidR="00980FAA" w:rsidRDefault="00980FAA"/>
    <w:p w14:paraId="270E75EE" w14:textId="77777777" w:rsidR="00980FAA" w:rsidRDefault="00980FAA"/>
    <w:p w14:paraId="70CEF111" w14:textId="77777777" w:rsidR="00980FAA" w:rsidRDefault="00980FAA"/>
    <w:p w14:paraId="4E030F90" w14:textId="77777777" w:rsidR="00980FAA" w:rsidRDefault="00980FAA"/>
    <w:p w14:paraId="6678E0DA" w14:textId="77777777" w:rsidR="00980FAA" w:rsidRDefault="00980FAA"/>
    <w:p w14:paraId="4656E75B" w14:textId="77777777" w:rsidR="00980FAA" w:rsidRDefault="00980FAA"/>
    <w:p w14:paraId="579B5B23" w14:textId="77777777" w:rsidR="00C35ADC" w:rsidRDefault="00C35ADC">
      <w:pPr>
        <w:sectPr w:rsidR="00C35A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042A79" w14:textId="77777777" w:rsidR="00A3056B" w:rsidRPr="009F6038" w:rsidRDefault="00A3056B" w:rsidP="00EB4688">
      <w:pPr>
        <w:rPr>
          <w:rFonts w:ascii="Arial" w:hAnsi="Arial" w:cs="Arial"/>
          <w:b/>
          <w:sz w:val="32"/>
          <w:szCs w:val="32"/>
        </w:rPr>
      </w:pPr>
      <w:r w:rsidRPr="009F6038">
        <w:rPr>
          <w:rFonts w:ascii="Arial" w:hAnsi="Arial" w:cs="Arial"/>
          <w:b/>
          <w:sz w:val="32"/>
          <w:szCs w:val="32"/>
        </w:rPr>
        <w:lastRenderedPageBreak/>
        <w:t xml:space="preserve">Vazba specifických cílů NKR k průřezovým tématům </w:t>
      </w:r>
    </w:p>
    <w:p w14:paraId="552896D2" w14:textId="77777777" w:rsidR="003008D1" w:rsidRDefault="003008D1" w:rsidP="005D4A4C">
      <w:pPr>
        <w:rPr>
          <w:rFonts w:ascii="Arial" w:hAnsi="Arial" w:cs="Arial"/>
        </w:rPr>
      </w:pPr>
      <w:r w:rsidRPr="009F6038">
        <w:rPr>
          <w:rFonts w:ascii="Arial" w:hAnsi="Arial" w:cs="Arial"/>
        </w:rPr>
        <w:t xml:space="preserve">V rámci vyhodnocení vazby jednotlivých SC NKR ve vztahu k průřezovým tématům Společnost 4.0, Přizpůsobení se změně klimatu, Územní dimenze v rámci příslušné kapitoly NKR byla zpracována přehledná tabulka </w:t>
      </w:r>
      <w:r>
        <w:rPr>
          <w:rFonts w:ascii="Arial" w:hAnsi="Arial" w:cs="Arial"/>
        </w:rPr>
        <w:t>se seznamem SC NKR, které mají identifikovanou vysokou, střední nebo nízkou prioritu ve vztahu k jednotlivým průřezovým tématům.</w:t>
      </w:r>
    </w:p>
    <w:p w14:paraId="112ED719" w14:textId="77777777" w:rsidR="003008D1" w:rsidRPr="009F6038" w:rsidRDefault="003008D1" w:rsidP="003008D1">
      <w:pPr>
        <w:rPr>
          <w:rFonts w:ascii="Arial" w:hAnsi="Arial" w:cs="Arial"/>
        </w:rPr>
      </w:pPr>
      <w:r>
        <w:rPr>
          <w:rFonts w:ascii="Arial" w:hAnsi="Arial" w:cs="Arial"/>
        </w:rPr>
        <w:t>Pokud více různých oblastí úzce souvisí s daným průřezovým tématem (Společnost 4.0, Klima, Územní dimenze) a zároveň mají všechny vysokou prioritu, je nutná koordinace a spolupráce mezi jednotlivými resorty a jejich věcnými sekcemi, případně územními partnery. Je žádoucí vytvořit synergie k posílení výsledného efektu, tam kde je to možné a naopak zamezit nechtěným negativních efektů při působení jedné oblasti na druhou.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2265"/>
        <w:gridCol w:w="6797"/>
      </w:tblGrid>
      <w:tr w:rsidR="00A3056B" w14:paraId="272A0073" w14:textId="77777777" w:rsidTr="00EB4688">
        <w:tc>
          <w:tcPr>
            <w:tcW w:w="9062" w:type="dxa"/>
            <w:gridSpan w:val="2"/>
            <w:shd w:val="clear" w:color="auto" w:fill="BDD6EE" w:themeFill="accent1" w:themeFillTint="66"/>
          </w:tcPr>
          <w:p w14:paraId="4DD60927" w14:textId="77777777" w:rsidR="00A3056B" w:rsidRPr="00F34722" w:rsidRDefault="00A3056B" w:rsidP="00EB468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Vazba SC NKR a průřezových témat</w:t>
            </w:r>
          </w:p>
        </w:tc>
      </w:tr>
      <w:tr w:rsidR="00A3056B" w14:paraId="5062C5D3" w14:textId="77777777" w:rsidTr="00352255">
        <w:tc>
          <w:tcPr>
            <w:tcW w:w="9062" w:type="dxa"/>
            <w:gridSpan w:val="2"/>
            <w:shd w:val="clear" w:color="auto" w:fill="DBDBDB" w:themeFill="accent3" w:themeFillTint="66"/>
          </w:tcPr>
          <w:p w14:paraId="1160091B" w14:textId="77777777" w:rsidR="00A3056B" w:rsidRDefault="00A3056B" w:rsidP="00F34722">
            <w:pPr>
              <w:rPr>
                <w:rFonts w:ascii="Arial" w:hAnsi="Arial" w:cs="Arial"/>
                <w:b/>
              </w:rPr>
            </w:pPr>
          </w:p>
          <w:p w14:paraId="2C4A15AB" w14:textId="77777777" w:rsidR="00A3056B" w:rsidRDefault="00A3056B" w:rsidP="00EB4688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Společnost 4.0</w:t>
            </w:r>
          </w:p>
          <w:p w14:paraId="312E1830" w14:textId="77777777" w:rsidR="00A3056B" w:rsidRPr="00F34722" w:rsidRDefault="00A3056B" w:rsidP="00EB468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3056B" w14:paraId="17DE5AE8" w14:textId="77777777" w:rsidTr="0091096A">
        <w:tc>
          <w:tcPr>
            <w:tcW w:w="9062" w:type="dxa"/>
            <w:gridSpan w:val="2"/>
            <w:shd w:val="clear" w:color="auto" w:fill="ED7D31" w:themeFill="accent2"/>
          </w:tcPr>
          <w:p w14:paraId="784C0811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Vysoká priorita</w:t>
            </w:r>
          </w:p>
        </w:tc>
      </w:tr>
      <w:tr w:rsidR="00A3056B" w14:paraId="1D502E72" w14:textId="77777777" w:rsidTr="00992A60">
        <w:tc>
          <w:tcPr>
            <w:tcW w:w="2265" w:type="dxa"/>
            <w:vMerge w:val="restart"/>
          </w:tcPr>
          <w:p w14:paraId="48522AF5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Podpora podnikání a průmyslu</w:t>
            </w:r>
          </w:p>
        </w:tc>
        <w:tc>
          <w:tcPr>
            <w:tcW w:w="6797" w:type="dxa"/>
          </w:tcPr>
          <w:p w14:paraId="1346C715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Zavedení principů digitální ekonomiky a průmyslu 4.0 ve firmách</w:t>
            </w:r>
          </w:p>
        </w:tc>
      </w:tr>
      <w:tr w:rsidR="00A3056B" w14:paraId="5257441C" w14:textId="77777777" w:rsidTr="009D4AC7">
        <w:tc>
          <w:tcPr>
            <w:tcW w:w="2265" w:type="dxa"/>
            <w:vMerge/>
          </w:tcPr>
          <w:p w14:paraId="28129FA3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6D82E9FB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Zvýšení přidané hodnoty výrobků a služeb podniků v produkčním řetězci</w:t>
            </w:r>
          </w:p>
        </w:tc>
      </w:tr>
      <w:tr w:rsidR="00A3056B" w14:paraId="21BFE821" w14:textId="77777777" w:rsidTr="00112612">
        <w:tc>
          <w:tcPr>
            <w:tcW w:w="2265" w:type="dxa"/>
            <w:vMerge w:val="restart"/>
          </w:tcPr>
          <w:p w14:paraId="78DCBECF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Trh práce a zaměstnanost</w:t>
            </w:r>
          </w:p>
        </w:tc>
        <w:tc>
          <w:tcPr>
            <w:tcW w:w="6797" w:type="dxa"/>
          </w:tcPr>
          <w:p w14:paraId="479106D5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 xml:space="preserve">SC Fungující systém dalšího profesního vzdělávání </w:t>
            </w:r>
            <w:r w:rsidRPr="00F34722">
              <w:rPr>
                <w:rFonts w:ascii="Arial" w:hAnsi="Arial" w:cs="Arial"/>
                <w:bCs/>
              </w:rPr>
              <w:t xml:space="preserve">(zlepšení forem výuky – e </w:t>
            </w:r>
            <w:proofErr w:type="spellStart"/>
            <w:r w:rsidRPr="00F34722">
              <w:rPr>
                <w:rFonts w:ascii="Arial" w:hAnsi="Arial" w:cs="Arial"/>
                <w:bCs/>
              </w:rPr>
              <w:t>Learning</w:t>
            </w:r>
            <w:proofErr w:type="spellEnd"/>
            <w:r w:rsidRPr="00F34722">
              <w:rPr>
                <w:rFonts w:ascii="Arial" w:hAnsi="Arial" w:cs="Arial"/>
                <w:bCs/>
              </w:rPr>
              <w:t>)</w:t>
            </w:r>
          </w:p>
        </w:tc>
      </w:tr>
      <w:tr w:rsidR="00A3056B" w14:paraId="23FA5DB0" w14:textId="77777777" w:rsidTr="00627463">
        <w:tc>
          <w:tcPr>
            <w:tcW w:w="2265" w:type="dxa"/>
            <w:vMerge/>
          </w:tcPr>
          <w:p w14:paraId="5A391028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5A2DA406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Podpora a využití pracovní mobility</w:t>
            </w:r>
            <w:r w:rsidRPr="00F34722">
              <w:rPr>
                <w:rFonts w:ascii="Arial" w:hAnsi="Arial" w:cs="Arial"/>
              </w:rPr>
              <w:t xml:space="preserve"> </w:t>
            </w:r>
            <w:r w:rsidRPr="00F34722">
              <w:rPr>
                <w:rFonts w:ascii="Arial" w:hAnsi="Arial" w:cs="Arial"/>
                <w:bCs/>
              </w:rPr>
              <w:t xml:space="preserve">(vytváření zázemí pro </w:t>
            </w:r>
            <w:proofErr w:type="spellStart"/>
            <w:r w:rsidRPr="00F34722">
              <w:rPr>
                <w:rFonts w:ascii="Arial" w:hAnsi="Arial" w:cs="Arial"/>
                <w:bCs/>
              </w:rPr>
              <w:t>homeworking</w:t>
            </w:r>
            <w:proofErr w:type="spellEnd"/>
            <w:r w:rsidRPr="00F34722">
              <w:rPr>
                <w:rFonts w:ascii="Arial" w:hAnsi="Arial" w:cs="Arial"/>
                <w:bCs/>
              </w:rPr>
              <w:t>)</w:t>
            </w:r>
          </w:p>
        </w:tc>
      </w:tr>
      <w:tr w:rsidR="00A3056B" w14:paraId="414831DB" w14:textId="77777777" w:rsidTr="00863DE8">
        <w:tc>
          <w:tcPr>
            <w:tcW w:w="2265" w:type="dxa"/>
            <w:vMerge w:val="restart"/>
          </w:tcPr>
          <w:p w14:paraId="56E8E4CE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Vzdělávání</w:t>
            </w:r>
          </w:p>
        </w:tc>
        <w:tc>
          <w:tcPr>
            <w:tcW w:w="6797" w:type="dxa"/>
          </w:tcPr>
          <w:p w14:paraId="3F9E91B2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Zlepšení výsledků vzdělávacího systému s ohledem na moderní kompetence a potřeby trhu práce, mimo jiné s ohledem na digitalizaci průmyslu a společnosti</w:t>
            </w:r>
          </w:p>
        </w:tc>
      </w:tr>
      <w:tr w:rsidR="00A3056B" w14:paraId="3B9720A9" w14:textId="77777777" w:rsidTr="00CA4C88">
        <w:tc>
          <w:tcPr>
            <w:tcW w:w="2265" w:type="dxa"/>
            <w:vMerge/>
          </w:tcPr>
          <w:p w14:paraId="09AD7062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5DBD2090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Zvýšení kompetencí a kvality pracovníků ve vzdělávání pracovníků</w:t>
            </w:r>
            <w:r w:rsidRPr="00F34722">
              <w:rPr>
                <w:rFonts w:ascii="Arial" w:hAnsi="Arial" w:cs="Arial"/>
              </w:rPr>
              <w:t xml:space="preserve"> </w:t>
            </w:r>
            <w:r w:rsidRPr="00F34722">
              <w:rPr>
                <w:rFonts w:ascii="Arial" w:hAnsi="Arial" w:cs="Arial"/>
                <w:bCs/>
              </w:rPr>
              <w:t>(moderní metody vzdělávání)</w:t>
            </w:r>
          </w:p>
        </w:tc>
      </w:tr>
      <w:tr w:rsidR="00A3056B" w14:paraId="5CEA9F7D" w14:textId="77777777" w:rsidTr="00086E05">
        <w:tc>
          <w:tcPr>
            <w:tcW w:w="9062" w:type="dxa"/>
            <w:gridSpan w:val="2"/>
            <w:shd w:val="clear" w:color="auto" w:fill="F7CAAC" w:themeFill="accent2" w:themeFillTint="66"/>
          </w:tcPr>
          <w:p w14:paraId="2FCCBFE6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Střední priorita</w:t>
            </w:r>
          </w:p>
        </w:tc>
      </w:tr>
      <w:tr w:rsidR="00A3056B" w14:paraId="56C54100" w14:textId="77777777" w:rsidTr="00F4093C">
        <w:tc>
          <w:tcPr>
            <w:tcW w:w="2265" w:type="dxa"/>
            <w:vMerge w:val="restart"/>
          </w:tcPr>
          <w:p w14:paraId="2FF55C72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  <w:iCs/>
              </w:rPr>
              <w:t>Výzkumný a inovační systém</w:t>
            </w:r>
          </w:p>
        </w:tc>
        <w:tc>
          <w:tcPr>
            <w:tcW w:w="6797" w:type="dxa"/>
          </w:tcPr>
          <w:p w14:paraId="72E859AD" w14:textId="77777777" w:rsidR="00A3056B" w:rsidRPr="00F34722" w:rsidRDefault="00A3056B" w:rsidP="00EB4688">
            <w:pPr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i/>
              </w:rPr>
              <w:t>SC Rozvoj zázemí pro kvalitní a relevantní výzkum</w:t>
            </w:r>
          </w:p>
        </w:tc>
      </w:tr>
      <w:tr w:rsidR="00A3056B" w14:paraId="7072B4E7" w14:textId="77777777" w:rsidTr="00F4093C">
        <w:tc>
          <w:tcPr>
            <w:tcW w:w="2265" w:type="dxa"/>
            <w:vMerge/>
          </w:tcPr>
          <w:p w14:paraId="685B8047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797" w:type="dxa"/>
          </w:tcPr>
          <w:p w14:paraId="1955177C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Podpora inovace prostřednictvím aplikovaného výzkumu a experimentálního vývoje</w:t>
            </w:r>
          </w:p>
        </w:tc>
      </w:tr>
      <w:tr w:rsidR="00A3056B" w14:paraId="24CB8C14" w14:textId="77777777" w:rsidTr="00F4093C">
        <w:tc>
          <w:tcPr>
            <w:tcW w:w="2265" w:type="dxa"/>
          </w:tcPr>
          <w:p w14:paraId="7B92FF58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  <w:iCs/>
              </w:rPr>
            </w:pPr>
            <w:r w:rsidRPr="00F34722">
              <w:rPr>
                <w:rFonts w:ascii="Arial" w:hAnsi="Arial" w:cs="Arial"/>
                <w:b/>
                <w:iCs/>
              </w:rPr>
              <w:t>Doprava</w:t>
            </w:r>
          </w:p>
        </w:tc>
        <w:tc>
          <w:tcPr>
            <w:tcW w:w="6797" w:type="dxa"/>
          </w:tcPr>
          <w:p w14:paraId="515AD5DE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 xml:space="preserve">SC Zavedení moderních technologií pro organizaci dopravy a snížení dopravní zátěže </w:t>
            </w:r>
            <w:r w:rsidRPr="00F34722">
              <w:rPr>
                <w:rFonts w:ascii="Arial" w:hAnsi="Arial" w:cs="Arial"/>
              </w:rPr>
              <w:t>(</w:t>
            </w:r>
            <w:r w:rsidRPr="00F34722">
              <w:rPr>
                <w:rFonts w:ascii="Arial" w:hAnsi="Arial" w:cs="Arial"/>
                <w:bCs/>
              </w:rPr>
              <w:t>optimalizace provozu, bezpečnost)</w:t>
            </w:r>
          </w:p>
        </w:tc>
      </w:tr>
      <w:tr w:rsidR="00A3056B" w14:paraId="23DC031C" w14:textId="77777777" w:rsidTr="00F4093C">
        <w:tc>
          <w:tcPr>
            <w:tcW w:w="2265" w:type="dxa"/>
            <w:vMerge w:val="restart"/>
          </w:tcPr>
          <w:p w14:paraId="2FC99A5B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  <w:iCs/>
              </w:rPr>
            </w:pPr>
            <w:r w:rsidRPr="00F34722">
              <w:rPr>
                <w:rFonts w:ascii="Arial" w:hAnsi="Arial" w:cs="Arial"/>
                <w:b/>
                <w:iCs/>
              </w:rPr>
              <w:t>Veřejná správa</w:t>
            </w:r>
            <w:r>
              <w:rPr>
                <w:rFonts w:ascii="Arial" w:hAnsi="Arial" w:cs="Arial"/>
                <w:b/>
                <w:iCs/>
              </w:rPr>
              <w:t xml:space="preserve"> a bezpečnost</w:t>
            </w:r>
          </w:p>
        </w:tc>
        <w:tc>
          <w:tcPr>
            <w:tcW w:w="6797" w:type="dxa"/>
          </w:tcPr>
          <w:p w14:paraId="64336CA6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Účinné zabezpečení informačních a komunikačních systémů veřejné správy včetně složek IZS a adekvátní reakce na rostoucí kybernetické hrozby</w:t>
            </w:r>
          </w:p>
        </w:tc>
      </w:tr>
      <w:tr w:rsidR="00A3056B" w14:paraId="38D72567" w14:textId="77777777" w:rsidTr="00F4093C">
        <w:tc>
          <w:tcPr>
            <w:tcW w:w="2265" w:type="dxa"/>
            <w:vMerge/>
          </w:tcPr>
          <w:p w14:paraId="4A7004BD" w14:textId="77777777" w:rsidR="00A3056B" w:rsidRPr="00F34722" w:rsidRDefault="00A3056B" w:rsidP="00EB4688">
            <w:pPr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797" w:type="dxa"/>
          </w:tcPr>
          <w:p w14:paraId="4672B002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Elektronizace výkonu veřejné správy a zavedení související infrastruktury</w:t>
            </w:r>
          </w:p>
        </w:tc>
      </w:tr>
      <w:tr w:rsidR="00A3056B" w14:paraId="6E8AFC94" w14:textId="77777777" w:rsidTr="00F4093C">
        <w:tc>
          <w:tcPr>
            <w:tcW w:w="2265" w:type="dxa"/>
            <w:vMerge/>
          </w:tcPr>
          <w:p w14:paraId="30C2B0BE" w14:textId="77777777" w:rsidR="00A3056B" w:rsidRPr="00F34722" w:rsidRDefault="00A3056B" w:rsidP="00EB4688">
            <w:pPr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797" w:type="dxa"/>
          </w:tcPr>
          <w:p w14:paraId="38033813" w14:textId="77777777" w:rsidR="00A3056B" w:rsidRPr="00F34722" w:rsidRDefault="00A3056B" w:rsidP="00EB4688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Digitalizace územního plánování (elektronizace a digitalizace agend stavebního práva)</w:t>
            </w:r>
          </w:p>
        </w:tc>
      </w:tr>
      <w:tr w:rsidR="00A3056B" w14:paraId="6171EEF7" w14:textId="77777777" w:rsidTr="001E4486">
        <w:tc>
          <w:tcPr>
            <w:tcW w:w="9062" w:type="dxa"/>
            <w:gridSpan w:val="2"/>
            <w:shd w:val="clear" w:color="auto" w:fill="E2EFD9" w:themeFill="accent6" w:themeFillTint="33"/>
          </w:tcPr>
          <w:p w14:paraId="6508A523" w14:textId="77777777" w:rsidR="00A3056B" w:rsidRPr="00F34722" w:rsidRDefault="00A3056B" w:rsidP="00F34722">
            <w:pPr>
              <w:rPr>
                <w:rFonts w:ascii="Arial" w:hAnsi="Arial" w:cs="Arial"/>
                <w:b/>
              </w:rPr>
            </w:pPr>
          </w:p>
          <w:p w14:paraId="17B414CC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Přizpůsobení se změně klimatu</w:t>
            </w:r>
          </w:p>
          <w:p w14:paraId="728E8ADB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3056B" w14:paraId="15294EDA" w14:textId="77777777" w:rsidTr="00F34722">
        <w:tc>
          <w:tcPr>
            <w:tcW w:w="9062" w:type="dxa"/>
            <w:gridSpan w:val="2"/>
            <w:shd w:val="clear" w:color="auto" w:fill="ED7D31" w:themeFill="accent2"/>
          </w:tcPr>
          <w:p w14:paraId="6AE959DC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Vysoká priorita</w:t>
            </w:r>
          </w:p>
        </w:tc>
      </w:tr>
      <w:tr w:rsidR="00A3056B" w14:paraId="3E04C5D2" w14:textId="77777777" w:rsidTr="00F4093C">
        <w:tc>
          <w:tcPr>
            <w:tcW w:w="2265" w:type="dxa"/>
            <w:vMerge w:val="restart"/>
          </w:tcPr>
          <w:p w14:paraId="6CC2B378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Ochrana životního prostředí a oběhové hospodářství</w:t>
            </w:r>
          </w:p>
        </w:tc>
        <w:tc>
          <w:tcPr>
            <w:tcW w:w="6797" w:type="dxa"/>
          </w:tcPr>
          <w:p w14:paraId="046BFE3B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péče o přírodu a krajinu</w:t>
            </w:r>
          </w:p>
        </w:tc>
      </w:tr>
      <w:tr w:rsidR="00A3056B" w14:paraId="0367FA25" w14:textId="77777777" w:rsidTr="00F4093C">
        <w:tc>
          <w:tcPr>
            <w:tcW w:w="2265" w:type="dxa"/>
            <w:vMerge/>
          </w:tcPr>
          <w:p w14:paraId="5825DF75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3FFA60FF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zlepšení stavu vody a vodního hospodářství</w:t>
            </w:r>
          </w:p>
        </w:tc>
      </w:tr>
      <w:tr w:rsidR="00A3056B" w14:paraId="3116A824" w14:textId="77777777" w:rsidTr="00F4093C">
        <w:tc>
          <w:tcPr>
            <w:tcW w:w="2265" w:type="dxa"/>
            <w:vMerge/>
          </w:tcPr>
          <w:p w14:paraId="46F4194F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D7BCA90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 xml:space="preserve">SC Sanace míst s ekologickou zátěží a revitalizace </w:t>
            </w:r>
            <w:proofErr w:type="spellStart"/>
            <w:r w:rsidRPr="00F34722">
              <w:rPr>
                <w:rFonts w:ascii="Arial" w:hAnsi="Arial" w:cs="Arial"/>
                <w:i/>
              </w:rPr>
              <w:t>brownfieldů</w:t>
            </w:r>
            <w:proofErr w:type="spellEnd"/>
          </w:p>
        </w:tc>
      </w:tr>
      <w:tr w:rsidR="00A3056B" w14:paraId="21337816" w14:textId="77777777" w:rsidTr="00F4093C">
        <w:tc>
          <w:tcPr>
            <w:tcW w:w="2265" w:type="dxa"/>
            <w:vMerge/>
          </w:tcPr>
          <w:p w14:paraId="4D3D3EE6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41A2E4E2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Vytvoření zázemí pro vzdělávání pro udržitelný rozvoj</w:t>
            </w:r>
          </w:p>
        </w:tc>
      </w:tr>
      <w:tr w:rsidR="00A3056B" w14:paraId="2AD894BF" w14:textId="77777777" w:rsidTr="00F4093C">
        <w:tc>
          <w:tcPr>
            <w:tcW w:w="2265" w:type="dxa"/>
            <w:vMerge w:val="restart"/>
          </w:tcPr>
          <w:p w14:paraId="4E92B07E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Výzkumný a inovační systém</w:t>
            </w:r>
          </w:p>
          <w:p w14:paraId="6C89BD11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B273992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Rozvoj zázemí pro kvalitní a relevantní výzkum</w:t>
            </w:r>
          </w:p>
        </w:tc>
      </w:tr>
      <w:tr w:rsidR="00A3056B" w14:paraId="4B32C0A5" w14:textId="77777777" w:rsidTr="00F4093C">
        <w:tc>
          <w:tcPr>
            <w:tcW w:w="2265" w:type="dxa"/>
            <w:vMerge/>
          </w:tcPr>
          <w:p w14:paraId="51CF1CDB" w14:textId="77777777" w:rsidR="00A3056B" w:rsidRPr="000374EA" w:rsidRDefault="00A3056B" w:rsidP="00F34722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1192E39D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Podpora inovace prostřednictvím aplikovaného výzkumu a experimentálního vývoje</w:t>
            </w:r>
          </w:p>
        </w:tc>
      </w:tr>
      <w:tr w:rsidR="00A3056B" w14:paraId="76095431" w14:textId="77777777" w:rsidTr="00F4093C">
        <w:tc>
          <w:tcPr>
            <w:tcW w:w="2265" w:type="dxa"/>
            <w:vMerge/>
          </w:tcPr>
          <w:p w14:paraId="75156623" w14:textId="77777777" w:rsidR="00A3056B" w:rsidRPr="000374EA" w:rsidRDefault="00A3056B" w:rsidP="00F34722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50FC31A4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 xml:space="preserve">SC Zkvalitnění strategického řízení </w:t>
            </w:r>
            <w:proofErr w:type="spellStart"/>
            <w:r w:rsidRPr="00F34722">
              <w:rPr>
                <w:rFonts w:ascii="Arial" w:hAnsi="Arial" w:cs="Arial"/>
                <w:i/>
              </w:rPr>
              <w:t>VaVaI</w:t>
            </w:r>
            <w:proofErr w:type="spellEnd"/>
          </w:p>
        </w:tc>
      </w:tr>
      <w:tr w:rsidR="00A3056B" w14:paraId="72C17D2E" w14:textId="77777777" w:rsidTr="00F4093C">
        <w:tc>
          <w:tcPr>
            <w:tcW w:w="2265" w:type="dxa"/>
          </w:tcPr>
          <w:p w14:paraId="5EEFC00E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Veřejná správa</w:t>
            </w:r>
            <w:r>
              <w:rPr>
                <w:rFonts w:ascii="Arial" w:hAnsi="Arial" w:cs="Arial"/>
                <w:b/>
              </w:rPr>
              <w:t xml:space="preserve"> a bezpečnost</w:t>
            </w:r>
          </w:p>
        </w:tc>
        <w:tc>
          <w:tcPr>
            <w:tcW w:w="6797" w:type="dxa"/>
          </w:tcPr>
          <w:p w14:paraId="2EA7B46D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obyvatelstva</w:t>
            </w:r>
          </w:p>
        </w:tc>
      </w:tr>
      <w:tr w:rsidR="00A3056B" w14:paraId="40EE7070" w14:textId="77777777" w:rsidTr="00F4093C">
        <w:tc>
          <w:tcPr>
            <w:tcW w:w="2265" w:type="dxa"/>
          </w:tcPr>
          <w:p w14:paraId="03EC47C6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Cestovní ruch</w:t>
            </w:r>
          </w:p>
        </w:tc>
        <w:tc>
          <w:tcPr>
            <w:tcW w:w="6797" w:type="dxa"/>
          </w:tcPr>
          <w:p w14:paraId="1A8A265D" w14:textId="77777777" w:rsidR="00A3056B" w:rsidRPr="00F34722" w:rsidRDefault="00A3056B" w:rsidP="00F34722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Udržitelný cestovní ruch</w:t>
            </w:r>
          </w:p>
        </w:tc>
      </w:tr>
      <w:tr w:rsidR="00A3056B" w14:paraId="3D4357AE" w14:textId="77777777" w:rsidTr="00F4093C">
        <w:tc>
          <w:tcPr>
            <w:tcW w:w="2265" w:type="dxa"/>
          </w:tcPr>
          <w:p w14:paraId="165C4A70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lastRenderedPageBreak/>
              <w:t>Veřejná prostranství</w:t>
            </w:r>
          </w:p>
        </w:tc>
        <w:tc>
          <w:tcPr>
            <w:tcW w:w="6797" w:type="dxa"/>
          </w:tcPr>
          <w:p w14:paraId="6DA064AE" w14:textId="77777777" w:rsidR="00A3056B" w:rsidRPr="00F34722" w:rsidRDefault="00A3056B" w:rsidP="00F34722">
            <w:pPr>
              <w:rPr>
                <w:rFonts w:ascii="Arial" w:hAnsi="Arial" w:cs="Arial"/>
                <w:b/>
                <w:i/>
              </w:rPr>
            </w:pPr>
            <w:r w:rsidRPr="00F34722">
              <w:rPr>
                <w:rFonts w:ascii="Arial" w:hAnsi="Arial" w:cs="Arial"/>
                <w:i/>
              </w:rPr>
              <w:t>SC Zlepšování kvality veřejných prostranství a rozvoj zelené infrastruktury</w:t>
            </w:r>
          </w:p>
        </w:tc>
      </w:tr>
      <w:tr w:rsidR="00A3056B" w14:paraId="1F53AFFC" w14:textId="77777777" w:rsidTr="00F4093C">
        <w:tc>
          <w:tcPr>
            <w:tcW w:w="2265" w:type="dxa"/>
          </w:tcPr>
          <w:p w14:paraId="5B877A69" w14:textId="77777777" w:rsidR="00A3056B" w:rsidRPr="00F34722" w:rsidRDefault="00A3056B" w:rsidP="00F347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77003EE" w14:textId="77777777" w:rsidR="00A3056B" w:rsidRPr="00770FD5" w:rsidRDefault="00A3056B" w:rsidP="00F34722">
            <w:pPr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Přizpůsobení se změně klimatu samozřejmě souvisí i s oblastmi, které mají i přímý příspěvek na změny klimatu jako takové:</w:t>
            </w:r>
          </w:p>
        </w:tc>
      </w:tr>
      <w:tr w:rsidR="00A3056B" w14:paraId="5D274DF5" w14:textId="77777777" w:rsidTr="00F4093C">
        <w:tc>
          <w:tcPr>
            <w:tcW w:w="2265" w:type="dxa"/>
            <w:vMerge w:val="restart"/>
          </w:tcPr>
          <w:p w14:paraId="68930706" w14:textId="77777777" w:rsidR="00A3056B" w:rsidRPr="00770FD5" w:rsidRDefault="00A3056B" w:rsidP="00770FD5">
            <w:pPr>
              <w:jc w:val="center"/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Posun k nízkouhlíkovému hospodářství</w:t>
            </w:r>
          </w:p>
        </w:tc>
        <w:tc>
          <w:tcPr>
            <w:tcW w:w="6797" w:type="dxa"/>
          </w:tcPr>
          <w:p w14:paraId="6B815F06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Podpora vzniku a zavádění inovativních nízkouhlíkových technologií a efektivní a šetrné využívání obnovitelných zdrojů energie</w:t>
            </w:r>
          </w:p>
        </w:tc>
      </w:tr>
      <w:tr w:rsidR="00A3056B" w14:paraId="1D389A32" w14:textId="77777777" w:rsidTr="00F4093C">
        <w:tc>
          <w:tcPr>
            <w:tcW w:w="2265" w:type="dxa"/>
            <w:vMerge/>
          </w:tcPr>
          <w:p w14:paraId="47E695AE" w14:textId="77777777" w:rsidR="00A3056B" w:rsidRPr="00E55AFA" w:rsidRDefault="00A3056B" w:rsidP="00770FD5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740920B4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Zvýšení energetické účinnosti a úspory energie</w:t>
            </w:r>
          </w:p>
        </w:tc>
      </w:tr>
      <w:tr w:rsidR="00A3056B" w14:paraId="6137E714" w14:textId="77777777" w:rsidTr="00F4093C">
        <w:tc>
          <w:tcPr>
            <w:tcW w:w="2265" w:type="dxa"/>
            <w:vMerge/>
          </w:tcPr>
          <w:p w14:paraId="1F802CEF" w14:textId="77777777" w:rsidR="00A3056B" w:rsidRPr="00E55AFA" w:rsidRDefault="00A3056B" w:rsidP="00770FD5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13488C37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Zavedení moderních a vysoce účinných způsobů výroby, distribuce a akumulace tepelné energie</w:t>
            </w:r>
          </w:p>
        </w:tc>
      </w:tr>
      <w:tr w:rsidR="00A3056B" w14:paraId="1029CC3C" w14:textId="77777777" w:rsidTr="00F4093C">
        <w:tc>
          <w:tcPr>
            <w:tcW w:w="2265" w:type="dxa"/>
            <w:vMerge/>
          </w:tcPr>
          <w:p w14:paraId="38A8E6F2" w14:textId="77777777" w:rsidR="00A3056B" w:rsidRPr="00E55AFA" w:rsidRDefault="00A3056B" w:rsidP="00770FD5">
            <w:pPr>
              <w:jc w:val="center"/>
              <w:rPr>
                <w:b/>
              </w:rPr>
            </w:pPr>
          </w:p>
        </w:tc>
        <w:tc>
          <w:tcPr>
            <w:tcW w:w="6797" w:type="dxa"/>
          </w:tcPr>
          <w:p w14:paraId="42B0B558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Modernizace a zefektivnění výroby, přenosu, přepravy, distribuce a akumulace energie</w:t>
            </w:r>
          </w:p>
        </w:tc>
      </w:tr>
      <w:tr w:rsidR="00A3056B" w14:paraId="68B6DD7E" w14:textId="77777777" w:rsidTr="00F4093C">
        <w:tc>
          <w:tcPr>
            <w:tcW w:w="2265" w:type="dxa"/>
            <w:vMerge w:val="restart"/>
          </w:tcPr>
          <w:p w14:paraId="2E8CD66A" w14:textId="77777777" w:rsidR="00A3056B" w:rsidRPr="00770FD5" w:rsidRDefault="00A3056B" w:rsidP="00770FD5">
            <w:pPr>
              <w:jc w:val="center"/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Doprava</w:t>
            </w:r>
          </w:p>
        </w:tc>
        <w:tc>
          <w:tcPr>
            <w:tcW w:w="6797" w:type="dxa"/>
          </w:tcPr>
          <w:p w14:paraId="6C0A7852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Rozvoj bezmotorové dopravy</w:t>
            </w:r>
          </w:p>
        </w:tc>
      </w:tr>
      <w:tr w:rsidR="00A3056B" w14:paraId="170BB34A" w14:textId="77777777" w:rsidTr="00F4093C">
        <w:tc>
          <w:tcPr>
            <w:tcW w:w="2265" w:type="dxa"/>
            <w:vMerge/>
          </w:tcPr>
          <w:p w14:paraId="4A5C26C8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4C4891BC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Efektivní využití multimodální nákladní dopravy</w:t>
            </w:r>
          </w:p>
        </w:tc>
      </w:tr>
      <w:tr w:rsidR="00A3056B" w14:paraId="3DCCB3B1" w14:textId="77777777" w:rsidTr="00F4093C">
        <w:tc>
          <w:tcPr>
            <w:tcW w:w="2265" w:type="dxa"/>
            <w:vMerge/>
          </w:tcPr>
          <w:p w14:paraId="36E9D721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43EEDE23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Využívání vozidel s alternativním pohonem ve veřejné dopravě</w:t>
            </w:r>
          </w:p>
        </w:tc>
      </w:tr>
      <w:tr w:rsidR="00A3056B" w14:paraId="58DC76F9" w14:textId="77777777" w:rsidTr="00F4093C">
        <w:tc>
          <w:tcPr>
            <w:tcW w:w="2265" w:type="dxa"/>
            <w:vMerge/>
          </w:tcPr>
          <w:p w14:paraId="71165202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00550639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Zvýšení využití a dostupnosti alternativních paliv v dopravě</w:t>
            </w:r>
          </w:p>
        </w:tc>
      </w:tr>
      <w:tr w:rsidR="00A3056B" w14:paraId="02D214E4" w14:textId="77777777" w:rsidTr="00F4093C">
        <w:tc>
          <w:tcPr>
            <w:tcW w:w="2265" w:type="dxa"/>
            <w:vMerge/>
          </w:tcPr>
          <w:p w14:paraId="1CCD0621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0070CF6C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Rozvoj a zlepšení integrace dopravy</w:t>
            </w:r>
          </w:p>
        </w:tc>
      </w:tr>
      <w:tr w:rsidR="00A3056B" w14:paraId="4FB18B1B" w14:textId="77777777" w:rsidTr="00F4093C">
        <w:tc>
          <w:tcPr>
            <w:tcW w:w="2265" w:type="dxa"/>
            <w:vMerge/>
          </w:tcPr>
          <w:p w14:paraId="50781A36" w14:textId="77777777" w:rsidR="00A3056B" w:rsidRDefault="00A3056B" w:rsidP="00770FD5">
            <w:pPr>
              <w:rPr>
                <w:b/>
              </w:rPr>
            </w:pPr>
          </w:p>
        </w:tc>
        <w:tc>
          <w:tcPr>
            <w:tcW w:w="6797" w:type="dxa"/>
          </w:tcPr>
          <w:p w14:paraId="2A92757A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  <w:r w:rsidRPr="00770FD5">
              <w:rPr>
                <w:rFonts w:ascii="Arial" w:hAnsi="Arial" w:cs="Arial"/>
                <w:i/>
              </w:rPr>
              <w:t>SC Rozvoj a zkvalitnění dopravní infrastruktury</w:t>
            </w:r>
          </w:p>
        </w:tc>
      </w:tr>
      <w:tr w:rsidR="00A3056B" w14:paraId="2AF1F4B9" w14:textId="77777777" w:rsidTr="00F4093C">
        <w:tc>
          <w:tcPr>
            <w:tcW w:w="2265" w:type="dxa"/>
          </w:tcPr>
          <w:p w14:paraId="69327714" w14:textId="77777777" w:rsidR="00A3056B" w:rsidRPr="00770FD5" w:rsidRDefault="00A3056B" w:rsidP="00770FD5">
            <w:pPr>
              <w:jc w:val="center"/>
              <w:rPr>
                <w:rFonts w:ascii="Arial" w:hAnsi="Arial" w:cs="Arial"/>
                <w:b/>
              </w:rPr>
            </w:pPr>
            <w:r w:rsidRPr="00770FD5">
              <w:rPr>
                <w:rFonts w:ascii="Arial" w:hAnsi="Arial" w:cs="Arial"/>
                <w:b/>
              </w:rPr>
              <w:t>Podpora podnikání a průmyslu</w:t>
            </w:r>
          </w:p>
        </w:tc>
        <w:tc>
          <w:tcPr>
            <w:tcW w:w="6797" w:type="dxa"/>
          </w:tcPr>
          <w:p w14:paraId="500F2629" w14:textId="77777777" w:rsidR="00A3056B" w:rsidRPr="00770FD5" w:rsidRDefault="00A3056B" w:rsidP="00770FD5">
            <w:pPr>
              <w:rPr>
                <w:rFonts w:ascii="Arial" w:hAnsi="Arial" w:cs="Arial"/>
                <w:b/>
                <w:i/>
              </w:rPr>
            </w:pPr>
            <w:r w:rsidRPr="00770FD5">
              <w:rPr>
                <w:rFonts w:ascii="Arial" w:hAnsi="Arial" w:cs="Arial"/>
                <w:i/>
              </w:rPr>
              <w:t>SC Zlepšení inovační schopnosti MSP</w:t>
            </w:r>
          </w:p>
          <w:p w14:paraId="7037E24F" w14:textId="77777777" w:rsidR="00A3056B" w:rsidRPr="00770FD5" w:rsidRDefault="00A3056B" w:rsidP="00F34722">
            <w:pPr>
              <w:rPr>
                <w:rFonts w:ascii="Arial" w:hAnsi="Arial" w:cs="Arial"/>
                <w:i/>
              </w:rPr>
            </w:pPr>
          </w:p>
        </w:tc>
      </w:tr>
      <w:tr w:rsidR="00A3056B" w14:paraId="18CA7484" w14:textId="77777777" w:rsidTr="003C5967">
        <w:tc>
          <w:tcPr>
            <w:tcW w:w="9062" w:type="dxa"/>
            <w:gridSpan w:val="2"/>
            <w:shd w:val="clear" w:color="auto" w:fill="FFD966" w:themeFill="accent4" w:themeFillTint="99"/>
          </w:tcPr>
          <w:p w14:paraId="1F463925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  <w:p w14:paraId="640B1569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Územní dimenze</w:t>
            </w:r>
          </w:p>
          <w:p w14:paraId="1841363D" w14:textId="77777777" w:rsidR="00A3056B" w:rsidRPr="00770FD5" w:rsidRDefault="00A3056B" w:rsidP="003C5967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A3056B" w14:paraId="43210C7F" w14:textId="77777777" w:rsidTr="003C5967">
        <w:tc>
          <w:tcPr>
            <w:tcW w:w="9062" w:type="dxa"/>
            <w:gridSpan w:val="2"/>
            <w:shd w:val="clear" w:color="auto" w:fill="ED7D31" w:themeFill="accent2"/>
          </w:tcPr>
          <w:p w14:paraId="29E4A1D4" w14:textId="77777777" w:rsidR="00A3056B" w:rsidRPr="00F34722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Vysoká priorita</w:t>
            </w:r>
          </w:p>
        </w:tc>
      </w:tr>
      <w:tr w:rsidR="00A3056B" w14:paraId="18FAA550" w14:textId="77777777" w:rsidTr="00F4093C">
        <w:tc>
          <w:tcPr>
            <w:tcW w:w="2265" w:type="dxa"/>
          </w:tcPr>
          <w:p w14:paraId="65E92CBE" w14:textId="77777777" w:rsidR="00A3056B" w:rsidRPr="00F34722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Veřejná prostranství</w:t>
            </w:r>
          </w:p>
        </w:tc>
        <w:tc>
          <w:tcPr>
            <w:tcW w:w="6797" w:type="dxa"/>
          </w:tcPr>
          <w:p w14:paraId="3D664F3D" w14:textId="77777777" w:rsidR="00A3056B" w:rsidRPr="003C5967" w:rsidRDefault="00A3056B" w:rsidP="003C5967">
            <w:pPr>
              <w:rPr>
                <w:rFonts w:ascii="Arial" w:hAnsi="Arial" w:cs="Arial"/>
                <w:b/>
                <w:i/>
              </w:rPr>
            </w:pPr>
            <w:r w:rsidRPr="003C5967">
              <w:rPr>
                <w:rFonts w:ascii="Arial" w:hAnsi="Arial" w:cs="Arial"/>
                <w:i/>
              </w:rPr>
              <w:t>SC Zlepšování kvality veřejných prostranství a rozvoj zelené infrastruktury</w:t>
            </w:r>
          </w:p>
        </w:tc>
      </w:tr>
      <w:tr w:rsidR="00A3056B" w14:paraId="0DD9D0F9" w14:textId="77777777" w:rsidTr="00F4093C">
        <w:tc>
          <w:tcPr>
            <w:tcW w:w="2265" w:type="dxa"/>
          </w:tcPr>
          <w:p w14:paraId="62A4B2D8" w14:textId="77777777" w:rsidR="00A3056B" w:rsidRPr="00F34722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Kulturní dědictví</w:t>
            </w:r>
          </w:p>
        </w:tc>
        <w:tc>
          <w:tcPr>
            <w:tcW w:w="6797" w:type="dxa"/>
          </w:tcPr>
          <w:p w14:paraId="636DFEEE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  <w:r w:rsidRPr="003C5967">
              <w:rPr>
                <w:rFonts w:ascii="Arial" w:hAnsi="Arial" w:cs="Arial"/>
                <w:i/>
              </w:rPr>
              <w:t>SC Ochrana, rozvoj a podpora kulturního dědictví</w:t>
            </w:r>
          </w:p>
        </w:tc>
      </w:tr>
      <w:tr w:rsidR="00A3056B" w14:paraId="4079394D" w14:textId="77777777" w:rsidTr="00F4093C">
        <w:tc>
          <w:tcPr>
            <w:tcW w:w="2265" w:type="dxa"/>
          </w:tcPr>
          <w:p w14:paraId="78329222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Cestovní ruch</w:t>
            </w:r>
          </w:p>
        </w:tc>
        <w:tc>
          <w:tcPr>
            <w:tcW w:w="6797" w:type="dxa"/>
          </w:tcPr>
          <w:p w14:paraId="471D0C9A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  <w:r w:rsidRPr="003C5967">
              <w:rPr>
                <w:rFonts w:ascii="Arial" w:hAnsi="Arial" w:cs="Arial"/>
                <w:i/>
              </w:rPr>
              <w:t>SC Udržitelný cestovní ruch</w:t>
            </w:r>
          </w:p>
        </w:tc>
      </w:tr>
      <w:tr w:rsidR="00A3056B" w14:paraId="4146C7EB" w14:textId="77777777" w:rsidTr="00F4093C">
        <w:tc>
          <w:tcPr>
            <w:tcW w:w="2265" w:type="dxa"/>
          </w:tcPr>
          <w:p w14:paraId="05981226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Doprava</w:t>
            </w:r>
          </w:p>
        </w:tc>
        <w:tc>
          <w:tcPr>
            <w:tcW w:w="6797" w:type="dxa"/>
          </w:tcPr>
          <w:p w14:paraId="35FCE0BF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  <w:r w:rsidRPr="003C5967">
              <w:rPr>
                <w:rFonts w:ascii="Arial" w:hAnsi="Arial" w:cs="Arial"/>
                <w:i/>
              </w:rPr>
              <w:t xml:space="preserve">SC Rozvoj bezmotorové dopravy </w:t>
            </w:r>
          </w:p>
        </w:tc>
      </w:tr>
      <w:tr w:rsidR="00A3056B" w14:paraId="179160AC" w14:textId="77777777" w:rsidTr="00DB3758">
        <w:tc>
          <w:tcPr>
            <w:tcW w:w="9062" w:type="dxa"/>
            <w:gridSpan w:val="2"/>
            <w:shd w:val="clear" w:color="auto" w:fill="ED7D31" w:themeFill="accent2"/>
          </w:tcPr>
          <w:p w14:paraId="5370559E" w14:textId="77777777" w:rsidR="00A3056B" w:rsidRPr="003C5967" w:rsidRDefault="00A3056B" w:rsidP="003C5967">
            <w:pPr>
              <w:rPr>
                <w:rFonts w:ascii="Arial" w:hAnsi="Arial" w:cs="Arial"/>
                <w:i/>
              </w:rPr>
            </w:pPr>
          </w:p>
        </w:tc>
      </w:tr>
      <w:tr w:rsidR="00A3056B" w14:paraId="5E9F4850" w14:textId="77777777" w:rsidTr="00F4093C">
        <w:tc>
          <w:tcPr>
            <w:tcW w:w="2265" w:type="dxa"/>
          </w:tcPr>
          <w:p w14:paraId="3F366AE5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Doprava</w:t>
            </w:r>
          </w:p>
        </w:tc>
        <w:tc>
          <w:tcPr>
            <w:tcW w:w="6797" w:type="dxa"/>
          </w:tcPr>
          <w:p w14:paraId="25AFA6D0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Rozvoj a zlepšení integrace dopravy</w:t>
            </w:r>
          </w:p>
        </w:tc>
      </w:tr>
      <w:tr w:rsidR="00A3056B" w14:paraId="5238F69A" w14:textId="77777777" w:rsidTr="00F4093C">
        <w:tc>
          <w:tcPr>
            <w:tcW w:w="2265" w:type="dxa"/>
          </w:tcPr>
          <w:p w14:paraId="1FA5FB3B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3DA3DBED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Rozvoj a zkvalitnění dopravní infrastruktury</w:t>
            </w:r>
          </w:p>
        </w:tc>
      </w:tr>
      <w:tr w:rsidR="00A3056B" w14:paraId="1DA9C699" w14:textId="77777777" w:rsidTr="00F4093C">
        <w:tc>
          <w:tcPr>
            <w:tcW w:w="2265" w:type="dxa"/>
          </w:tcPr>
          <w:p w14:paraId="6E59542C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3FF2134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Využívání vozidel s alternativním pohonem ve veřejné dopravě</w:t>
            </w:r>
          </w:p>
        </w:tc>
      </w:tr>
      <w:tr w:rsidR="00A3056B" w14:paraId="46E909E7" w14:textId="77777777" w:rsidTr="00F4093C">
        <w:tc>
          <w:tcPr>
            <w:tcW w:w="2265" w:type="dxa"/>
          </w:tcPr>
          <w:p w14:paraId="1534950E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D46F9C7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Zvýšení využití a dostupnosti alternativních paliv v dopravě</w:t>
            </w:r>
          </w:p>
        </w:tc>
      </w:tr>
      <w:tr w:rsidR="00A3056B" w14:paraId="433A527B" w14:textId="77777777" w:rsidTr="00F4093C">
        <w:tc>
          <w:tcPr>
            <w:tcW w:w="2265" w:type="dxa"/>
          </w:tcPr>
          <w:p w14:paraId="752DCF1D" w14:textId="77777777" w:rsidR="00A3056B" w:rsidRDefault="00A3056B" w:rsidP="003C59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96F7076" w14:textId="77777777" w:rsidR="00A3056B" w:rsidRPr="00086E05" w:rsidRDefault="00A3056B" w:rsidP="003C5967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Efektivní využití multimodální nákladní dopravy</w:t>
            </w:r>
          </w:p>
        </w:tc>
      </w:tr>
      <w:tr w:rsidR="00A3056B" w14:paraId="2114DE40" w14:textId="77777777" w:rsidTr="00086E05">
        <w:tc>
          <w:tcPr>
            <w:tcW w:w="9062" w:type="dxa"/>
            <w:gridSpan w:val="2"/>
            <w:shd w:val="clear" w:color="auto" w:fill="F7CAAC" w:themeFill="accent2" w:themeFillTint="66"/>
          </w:tcPr>
          <w:p w14:paraId="2F7B1D04" w14:textId="77777777" w:rsidR="00A3056B" w:rsidRPr="00086E05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086E05">
              <w:rPr>
                <w:rFonts w:ascii="Arial" w:hAnsi="Arial" w:cs="Arial"/>
                <w:b/>
              </w:rPr>
              <w:t>Střední priorita</w:t>
            </w:r>
          </w:p>
        </w:tc>
      </w:tr>
      <w:tr w:rsidR="00A3056B" w14:paraId="2BF81FC2" w14:textId="77777777" w:rsidTr="00F4093C">
        <w:tc>
          <w:tcPr>
            <w:tcW w:w="2265" w:type="dxa"/>
            <w:vMerge w:val="restart"/>
          </w:tcPr>
          <w:p w14:paraId="389EEEC7" w14:textId="77777777" w:rsidR="00A3056B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F34722">
              <w:rPr>
                <w:rFonts w:ascii="Arial" w:hAnsi="Arial" w:cs="Arial"/>
                <w:b/>
              </w:rPr>
              <w:t>Ochrana životního prostředí a oběhové hospodářství</w:t>
            </w:r>
          </w:p>
        </w:tc>
        <w:tc>
          <w:tcPr>
            <w:tcW w:w="6797" w:type="dxa"/>
          </w:tcPr>
          <w:p w14:paraId="443B249B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péče o přírodu a krajinu</w:t>
            </w:r>
          </w:p>
        </w:tc>
      </w:tr>
      <w:tr w:rsidR="00A3056B" w14:paraId="7F529DA1" w14:textId="77777777" w:rsidTr="00F4093C">
        <w:tc>
          <w:tcPr>
            <w:tcW w:w="2265" w:type="dxa"/>
            <w:vMerge/>
          </w:tcPr>
          <w:p w14:paraId="68E719F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04DBCCF6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</w:rPr>
              <w:t xml:space="preserve">SC </w:t>
            </w:r>
            <w:r w:rsidRPr="00086E05">
              <w:rPr>
                <w:rFonts w:ascii="Arial" w:hAnsi="Arial" w:cs="Arial"/>
                <w:i/>
              </w:rPr>
              <w:t>Zlepšení kvality ovzduší</w:t>
            </w:r>
          </w:p>
        </w:tc>
      </w:tr>
      <w:tr w:rsidR="00A3056B" w14:paraId="625AA287" w14:textId="77777777" w:rsidTr="00F4093C">
        <w:tc>
          <w:tcPr>
            <w:tcW w:w="2265" w:type="dxa"/>
            <w:vMerge/>
          </w:tcPr>
          <w:p w14:paraId="1F76266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2ABC2BE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Ochrana a zlepšení stavu vody a vodního hospodářství</w:t>
            </w:r>
          </w:p>
        </w:tc>
      </w:tr>
      <w:tr w:rsidR="00A3056B" w14:paraId="20B9E15B" w14:textId="77777777" w:rsidTr="00F4093C">
        <w:tc>
          <w:tcPr>
            <w:tcW w:w="2265" w:type="dxa"/>
            <w:vMerge/>
          </w:tcPr>
          <w:p w14:paraId="4A19F507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60D9DB2B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 xml:space="preserve">SC Sanace míst s ekologickou zátěží a revitalizace </w:t>
            </w:r>
            <w:proofErr w:type="spellStart"/>
            <w:r w:rsidRPr="00F34722">
              <w:rPr>
                <w:rFonts w:ascii="Arial" w:hAnsi="Arial" w:cs="Arial"/>
                <w:i/>
              </w:rPr>
              <w:t>brownfieldů</w:t>
            </w:r>
            <w:proofErr w:type="spellEnd"/>
          </w:p>
        </w:tc>
      </w:tr>
      <w:tr w:rsidR="00A3056B" w14:paraId="7329828E" w14:textId="77777777" w:rsidTr="00F4093C">
        <w:tc>
          <w:tcPr>
            <w:tcW w:w="2265" w:type="dxa"/>
            <w:vMerge/>
          </w:tcPr>
          <w:p w14:paraId="160726A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2B623F77" w14:textId="77777777" w:rsidR="00A3056B" w:rsidRPr="00F34722" w:rsidRDefault="00A3056B" w:rsidP="00086E05">
            <w:pPr>
              <w:rPr>
                <w:rFonts w:ascii="Arial" w:hAnsi="Arial" w:cs="Arial"/>
                <w:i/>
              </w:rPr>
            </w:pPr>
            <w:r w:rsidRPr="00F34722">
              <w:rPr>
                <w:rFonts w:ascii="Arial" w:hAnsi="Arial" w:cs="Arial"/>
                <w:i/>
              </w:rPr>
              <w:t>SC Vytvoření zázemí pro vzdělávání pro udržitelný rozvoj</w:t>
            </w:r>
          </w:p>
        </w:tc>
      </w:tr>
      <w:tr w:rsidR="00A3056B" w14:paraId="223F2BDA" w14:textId="77777777" w:rsidTr="00F4093C">
        <w:tc>
          <w:tcPr>
            <w:tcW w:w="2265" w:type="dxa"/>
            <w:vMerge/>
          </w:tcPr>
          <w:p w14:paraId="1A8288FC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1CCDE7B7" w14:textId="77777777" w:rsidR="00A3056B" w:rsidRPr="00086E05" w:rsidRDefault="00A3056B" w:rsidP="00086E05">
            <w:pPr>
              <w:rPr>
                <w:rFonts w:ascii="Arial" w:hAnsi="Arial" w:cs="Arial"/>
              </w:rPr>
            </w:pPr>
            <w:r w:rsidRPr="00086E05">
              <w:rPr>
                <w:rFonts w:ascii="Arial" w:hAnsi="Arial" w:cs="Arial"/>
                <w:i/>
              </w:rPr>
              <w:t>SC Oběhové hospodářství, odpady a účinné využívání zdrojů</w:t>
            </w:r>
          </w:p>
        </w:tc>
      </w:tr>
      <w:tr w:rsidR="00A3056B" w14:paraId="6DC46366" w14:textId="77777777" w:rsidTr="00F4093C">
        <w:tc>
          <w:tcPr>
            <w:tcW w:w="2265" w:type="dxa"/>
            <w:vMerge w:val="restart"/>
          </w:tcPr>
          <w:p w14:paraId="6C8211E6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Posun k nízkouhlíkovému hospodářství</w:t>
            </w:r>
          </w:p>
        </w:tc>
        <w:tc>
          <w:tcPr>
            <w:tcW w:w="6797" w:type="dxa"/>
          </w:tcPr>
          <w:p w14:paraId="54F59E3D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  <w:i/>
              </w:rPr>
              <w:t>SC Podpora vzniku a zavádění inovativních nízkouhlíkových technologií a efektivní a šetrné využívání obnovitelných zdrojů energie</w:t>
            </w:r>
          </w:p>
        </w:tc>
      </w:tr>
      <w:tr w:rsidR="00A3056B" w14:paraId="3AC66DB8" w14:textId="77777777" w:rsidTr="00F4093C">
        <w:tc>
          <w:tcPr>
            <w:tcW w:w="2265" w:type="dxa"/>
            <w:vMerge/>
          </w:tcPr>
          <w:p w14:paraId="222626B5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2CA7C1E6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</w:rPr>
              <w:t xml:space="preserve">SC </w:t>
            </w:r>
            <w:r w:rsidRPr="00086E05">
              <w:rPr>
                <w:rFonts w:ascii="Arial" w:hAnsi="Arial" w:cs="Arial"/>
                <w:i/>
              </w:rPr>
              <w:t>Zavedení moderních a vysoce účinných způsobů výroby, distribuce a akumulace tepelné energie</w:t>
            </w:r>
          </w:p>
        </w:tc>
      </w:tr>
      <w:tr w:rsidR="00A3056B" w14:paraId="1DDC79C0" w14:textId="77777777" w:rsidTr="00F4093C">
        <w:tc>
          <w:tcPr>
            <w:tcW w:w="2265" w:type="dxa"/>
            <w:vMerge/>
          </w:tcPr>
          <w:p w14:paraId="696C0B86" w14:textId="77777777" w:rsidR="00A3056B" w:rsidRPr="00F34722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1031228" w14:textId="77777777" w:rsidR="00A3056B" w:rsidRPr="00086E05" w:rsidRDefault="00A3056B" w:rsidP="00086E05">
            <w:pPr>
              <w:rPr>
                <w:rFonts w:ascii="Arial" w:hAnsi="Arial" w:cs="Arial"/>
                <w:i/>
              </w:rPr>
            </w:pPr>
            <w:r w:rsidRPr="00086E05">
              <w:rPr>
                <w:rFonts w:ascii="Arial" w:hAnsi="Arial" w:cs="Arial"/>
              </w:rPr>
              <w:t xml:space="preserve">SC </w:t>
            </w:r>
            <w:r w:rsidRPr="00086E05">
              <w:rPr>
                <w:rFonts w:ascii="Arial" w:hAnsi="Arial" w:cs="Arial"/>
                <w:i/>
              </w:rPr>
              <w:t>Modernizace a zefektivnění výroby, přenosu, přepravy, distribuce a akumulace energie</w:t>
            </w:r>
          </w:p>
        </w:tc>
      </w:tr>
      <w:tr w:rsidR="00A3056B" w14:paraId="2232DA39" w14:textId="77777777" w:rsidTr="00086E05">
        <w:tc>
          <w:tcPr>
            <w:tcW w:w="9062" w:type="dxa"/>
            <w:gridSpan w:val="2"/>
            <w:shd w:val="clear" w:color="auto" w:fill="FBE4D5" w:themeFill="accent2" w:themeFillTint="33"/>
          </w:tcPr>
          <w:p w14:paraId="2E377FE9" w14:textId="77777777" w:rsidR="00A3056B" w:rsidRPr="00086E05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086E05">
              <w:rPr>
                <w:rFonts w:ascii="Arial" w:hAnsi="Arial" w:cs="Arial"/>
                <w:b/>
              </w:rPr>
              <w:t>Nízká priorita</w:t>
            </w:r>
          </w:p>
        </w:tc>
      </w:tr>
      <w:tr w:rsidR="00A3056B" w14:paraId="19752D23" w14:textId="77777777" w:rsidTr="00F4093C">
        <w:tc>
          <w:tcPr>
            <w:tcW w:w="2265" w:type="dxa"/>
          </w:tcPr>
          <w:p w14:paraId="13EA889D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Výzkumný a inovační systém</w:t>
            </w:r>
          </w:p>
        </w:tc>
        <w:tc>
          <w:tcPr>
            <w:tcW w:w="6797" w:type="dxa"/>
          </w:tcPr>
          <w:p w14:paraId="2787A296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 xml:space="preserve">Zkvalitnění strategického řízení </w:t>
            </w:r>
            <w:proofErr w:type="spellStart"/>
            <w:r w:rsidRPr="00DC632A">
              <w:rPr>
                <w:rFonts w:ascii="Arial" w:hAnsi="Arial" w:cs="Arial"/>
                <w:i/>
              </w:rPr>
              <w:t>VaVaI</w:t>
            </w:r>
            <w:proofErr w:type="spellEnd"/>
          </w:p>
        </w:tc>
      </w:tr>
      <w:tr w:rsidR="00A3056B" w14:paraId="58F38804" w14:textId="77777777" w:rsidTr="00F4093C">
        <w:tc>
          <w:tcPr>
            <w:tcW w:w="2265" w:type="dxa"/>
            <w:vMerge w:val="restart"/>
          </w:tcPr>
          <w:p w14:paraId="3F51469F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Podpora podnikání a průmyslu</w:t>
            </w:r>
          </w:p>
        </w:tc>
        <w:tc>
          <w:tcPr>
            <w:tcW w:w="6797" w:type="dxa"/>
          </w:tcPr>
          <w:p w14:paraId="2C0F105D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  <w:i/>
              </w:rPr>
              <w:t>SC Zlepšení inovační schopnosti MSP</w:t>
            </w:r>
          </w:p>
        </w:tc>
      </w:tr>
      <w:tr w:rsidR="00A3056B" w14:paraId="7AC69C12" w14:textId="77777777" w:rsidTr="00F4093C">
        <w:tc>
          <w:tcPr>
            <w:tcW w:w="2265" w:type="dxa"/>
            <w:vMerge/>
          </w:tcPr>
          <w:p w14:paraId="11B5DF31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09401732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  <w:i/>
              </w:rPr>
              <w:t>SC Zvýšení přidané hodnoty výrobků a služeb podniků v produkčním řetězci</w:t>
            </w:r>
          </w:p>
        </w:tc>
      </w:tr>
      <w:tr w:rsidR="00A3056B" w14:paraId="1C82A493" w14:textId="77777777" w:rsidTr="00F4093C">
        <w:tc>
          <w:tcPr>
            <w:tcW w:w="2265" w:type="dxa"/>
            <w:vMerge/>
          </w:tcPr>
          <w:p w14:paraId="305E669C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3093431E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  <w:i/>
              </w:rPr>
              <w:t>SC Zavedení principů digitální ekonomiky a průmyslu 4.0 ve firmách</w:t>
            </w:r>
          </w:p>
        </w:tc>
      </w:tr>
      <w:tr w:rsidR="00A3056B" w14:paraId="4762A414" w14:textId="77777777" w:rsidTr="00F4093C">
        <w:tc>
          <w:tcPr>
            <w:tcW w:w="2265" w:type="dxa"/>
          </w:tcPr>
          <w:p w14:paraId="5AF06A9A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Veřejná správa</w:t>
            </w:r>
            <w:r>
              <w:rPr>
                <w:rFonts w:ascii="Arial" w:hAnsi="Arial" w:cs="Arial"/>
                <w:b/>
              </w:rPr>
              <w:t xml:space="preserve"> a bezpečnost</w:t>
            </w:r>
          </w:p>
        </w:tc>
        <w:tc>
          <w:tcPr>
            <w:tcW w:w="6797" w:type="dxa"/>
          </w:tcPr>
          <w:p w14:paraId="54366F8F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>Zefektivnění veřejné správy pro poskytování kvalitních služeb</w:t>
            </w:r>
          </w:p>
        </w:tc>
      </w:tr>
      <w:tr w:rsidR="00A3056B" w14:paraId="697CEAB0" w14:textId="77777777" w:rsidTr="00F4093C">
        <w:tc>
          <w:tcPr>
            <w:tcW w:w="2265" w:type="dxa"/>
            <w:vMerge w:val="restart"/>
          </w:tcPr>
          <w:p w14:paraId="2E3D7905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Trh práce a zaměstnanost</w:t>
            </w:r>
          </w:p>
        </w:tc>
        <w:tc>
          <w:tcPr>
            <w:tcW w:w="6797" w:type="dxa"/>
          </w:tcPr>
          <w:p w14:paraId="075881EC" w14:textId="77777777" w:rsidR="00A3056B" w:rsidRPr="00DC632A" w:rsidRDefault="00A3056B" w:rsidP="00086E05">
            <w:pPr>
              <w:rPr>
                <w:rFonts w:ascii="Arial" w:hAnsi="Arial" w:cs="Arial"/>
                <w:i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>Zvýšení účasti znevýhodněných skupin na trhu práce</w:t>
            </w:r>
          </w:p>
        </w:tc>
      </w:tr>
      <w:tr w:rsidR="00A3056B" w14:paraId="43375946" w14:textId="77777777" w:rsidTr="00F4093C">
        <w:tc>
          <w:tcPr>
            <w:tcW w:w="2265" w:type="dxa"/>
            <w:vMerge/>
          </w:tcPr>
          <w:p w14:paraId="7844455D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6E260269" w14:textId="77777777" w:rsidR="00A3056B" w:rsidRPr="00DC632A" w:rsidRDefault="00A3056B" w:rsidP="00086E05">
            <w:pPr>
              <w:rPr>
                <w:rFonts w:ascii="Arial" w:hAnsi="Arial" w:cs="Arial"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>Fungující systém dalšího profesního vzdělávání</w:t>
            </w:r>
          </w:p>
        </w:tc>
      </w:tr>
      <w:tr w:rsidR="00A3056B" w14:paraId="20AFEE8F" w14:textId="77777777" w:rsidTr="00F4093C">
        <w:tc>
          <w:tcPr>
            <w:tcW w:w="2265" w:type="dxa"/>
            <w:vMerge/>
          </w:tcPr>
          <w:p w14:paraId="3D68B842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7571900B" w14:textId="77777777" w:rsidR="00A3056B" w:rsidRPr="00DC632A" w:rsidRDefault="00A3056B" w:rsidP="00086E05">
            <w:pPr>
              <w:rPr>
                <w:rFonts w:ascii="Arial" w:hAnsi="Arial" w:cs="Arial"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 xml:space="preserve">Zlepšení vzdělávacího systému s ohledem na moderní kompetence a potřeby trhu práce, mimo jiné s ohledem na digitalizaci průmyslu a </w:t>
            </w:r>
            <w:r w:rsidRPr="00DC632A">
              <w:rPr>
                <w:rFonts w:ascii="Arial" w:hAnsi="Arial" w:cs="Arial"/>
                <w:i/>
              </w:rPr>
              <w:lastRenderedPageBreak/>
              <w:t>společnosti</w:t>
            </w:r>
          </w:p>
        </w:tc>
      </w:tr>
      <w:tr w:rsidR="00A3056B" w14:paraId="5FDC57CE" w14:textId="77777777" w:rsidTr="00F4093C">
        <w:tc>
          <w:tcPr>
            <w:tcW w:w="2265" w:type="dxa"/>
            <w:vMerge w:val="restart"/>
          </w:tcPr>
          <w:p w14:paraId="185FA178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lastRenderedPageBreak/>
              <w:t>Sociální začleňování</w:t>
            </w:r>
            <w:r>
              <w:rPr>
                <w:rFonts w:ascii="Arial" w:hAnsi="Arial" w:cs="Arial"/>
                <w:b/>
              </w:rPr>
              <w:t>, boj s chudobou a péče o zdraví</w:t>
            </w:r>
          </w:p>
        </w:tc>
        <w:tc>
          <w:tcPr>
            <w:tcW w:w="6797" w:type="dxa"/>
          </w:tcPr>
          <w:p w14:paraId="27C230F1" w14:textId="77777777" w:rsidR="00A3056B" w:rsidRPr="00DC632A" w:rsidRDefault="00A3056B" w:rsidP="00086E05">
            <w:pPr>
              <w:rPr>
                <w:rFonts w:ascii="Arial" w:hAnsi="Arial" w:cs="Arial"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>Sociální bydlení</w:t>
            </w:r>
          </w:p>
        </w:tc>
      </w:tr>
      <w:tr w:rsidR="00A3056B" w14:paraId="1FAC3661" w14:textId="77777777" w:rsidTr="00F4093C">
        <w:tc>
          <w:tcPr>
            <w:tcW w:w="2265" w:type="dxa"/>
            <w:vMerge/>
          </w:tcPr>
          <w:p w14:paraId="232153E7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509C8521" w14:textId="77777777" w:rsidR="00A3056B" w:rsidRPr="00DC632A" w:rsidRDefault="00A3056B" w:rsidP="00086E05">
            <w:pPr>
              <w:rPr>
                <w:rFonts w:ascii="Arial" w:hAnsi="Arial" w:cs="Arial"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>Klientsky orientované sociální služby</w:t>
            </w:r>
          </w:p>
        </w:tc>
      </w:tr>
      <w:tr w:rsidR="00A3056B" w14:paraId="027240E3" w14:textId="77777777" w:rsidTr="00F4093C">
        <w:tc>
          <w:tcPr>
            <w:tcW w:w="2265" w:type="dxa"/>
            <w:vMerge/>
          </w:tcPr>
          <w:p w14:paraId="2CAEF697" w14:textId="77777777" w:rsidR="00A3056B" w:rsidRPr="00DC632A" w:rsidRDefault="00A3056B" w:rsidP="00086E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7" w:type="dxa"/>
          </w:tcPr>
          <w:p w14:paraId="4F36C00B" w14:textId="77777777" w:rsidR="00A3056B" w:rsidRPr="00DC632A" w:rsidRDefault="00A3056B" w:rsidP="00086E05">
            <w:pPr>
              <w:rPr>
                <w:rFonts w:ascii="Arial" w:hAnsi="Arial" w:cs="Arial"/>
              </w:rPr>
            </w:pPr>
            <w:r w:rsidRPr="00DC632A">
              <w:rPr>
                <w:rFonts w:ascii="Arial" w:hAnsi="Arial" w:cs="Arial"/>
              </w:rPr>
              <w:t xml:space="preserve">SC </w:t>
            </w:r>
            <w:r w:rsidRPr="00DC632A">
              <w:rPr>
                <w:rFonts w:ascii="Arial" w:hAnsi="Arial" w:cs="Arial"/>
                <w:i/>
              </w:rPr>
              <w:t>Kvalitní a dostupná zdravotní péče</w:t>
            </w:r>
          </w:p>
        </w:tc>
      </w:tr>
      <w:tr w:rsidR="00A3056B" w14:paraId="77D6249E" w14:textId="77777777" w:rsidTr="00DD50EC">
        <w:tc>
          <w:tcPr>
            <w:tcW w:w="9062" w:type="dxa"/>
            <w:gridSpan w:val="2"/>
          </w:tcPr>
          <w:p w14:paraId="7430049A" w14:textId="77777777" w:rsidR="00A3056B" w:rsidRDefault="00A3056B" w:rsidP="00DC632A">
            <w:pPr>
              <w:jc w:val="center"/>
              <w:rPr>
                <w:rFonts w:ascii="Arial" w:hAnsi="Arial" w:cs="Arial"/>
                <w:b/>
              </w:rPr>
            </w:pPr>
            <w:r w:rsidRPr="00DC632A">
              <w:rPr>
                <w:rFonts w:ascii="Arial" w:hAnsi="Arial" w:cs="Arial"/>
                <w:b/>
              </w:rPr>
              <w:t>Ostatní SC nemají identifikovanou vazbu k územní dimenzi a je vhodné jejich jednotné řešení na národní úrovni.</w:t>
            </w:r>
          </w:p>
          <w:p w14:paraId="712D745E" w14:textId="77777777" w:rsidR="00A3056B" w:rsidRPr="00DC632A" w:rsidRDefault="00A3056B" w:rsidP="00DC632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D47C5F2" w14:textId="77777777" w:rsidR="00A3056B" w:rsidRDefault="00A3056B" w:rsidP="00EB4688">
      <w:pPr>
        <w:rPr>
          <w:b/>
        </w:rPr>
      </w:pPr>
    </w:p>
    <w:p w14:paraId="7581BB30" w14:textId="77777777" w:rsidR="00A3056B" w:rsidRDefault="00A3056B"/>
    <w:p w14:paraId="0CF71E65" w14:textId="77777777" w:rsidR="00A3056B" w:rsidRDefault="00A3056B" w:rsidP="00A3056B">
      <w:pPr>
        <w:jc w:val="both"/>
      </w:pPr>
    </w:p>
    <w:sectPr w:rsidR="00A3056B" w:rsidSect="00A3056B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A9D02" w14:textId="77777777" w:rsidR="00ED5476" w:rsidRDefault="00ED5476" w:rsidP="007C4CE9">
      <w:pPr>
        <w:spacing w:after="0" w:line="240" w:lineRule="auto"/>
      </w:pPr>
      <w:r>
        <w:separator/>
      </w:r>
    </w:p>
  </w:endnote>
  <w:endnote w:type="continuationSeparator" w:id="0">
    <w:p w14:paraId="3BA63689" w14:textId="77777777" w:rsidR="00ED5476" w:rsidRDefault="00ED5476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FAEA" w14:textId="77777777" w:rsidR="00D32240" w:rsidRDefault="00D32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3AD2" w14:textId="77777777" w:rsidR="00D32240" w:rsidRDefault="00D32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BA3E6" w14:textId="77777777" w:rsidR="00D32240" w:rsidRDefault="00D3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2029C" w14:textId="77777777" w:rsidR="00ED5476" w:rsidRDefault="00ED5476" w:rsidP="007C4CE9">
      <w:pPr>
        <w:spacing w:after="0" w:line="240" w:lineRule="auto"/>
      </w:pPr>
      <w:r>
        <w:separator/>
      </w:r>
    </w:p>
  </w:footnote>
  <w:footnote w:type="continuationSeparator" w:id="0">
    <w:p w14:paraId="272B03B9" w14:textId="77777777" w:rsidR="00ED5476" w:rsidRDefault="00ED5476" w:rsidP="007C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3D88E" w14:textId="77777777" w:rsidR="00D32240" w:rsidRDefault="00D322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5FE7C" w14:textId="77777777" w:rsidR="00C450AC" w:rsidRDefault="00C450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5A82CB12" wp14:editId="66B56AB2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6" name="Obrázek 6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44D75" w14:textId="77777777" w:rsidR="00D32240" w:rsidRDefault="00D322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4B8CB" w14:textId="77777777" w:rsidR="00C450AC" w:rsidRPr="00D32240" w:rsidRDefault="00C450AC" w:rsidP="00D322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C7CA1"/>
    <w:rsid w:val="00177586"/>
    <w:rsid w:val="001A6FD7"/>
    <w:rsid w:val="003008D1"/>
    <w:rsid w:val="00543CC5"/>
    <w:rsid w:val="00577EB1"/>
    <w:rsid w:val="005A7536"/>
    <w:rsid w:val="006A0279"/>
    <w:rsid w:val="00712FAE"/>
    <w:rsid w:val="00754FA8"/>
    <w:rsid w:val="007C4CE9"/>
    <w:rsid w:val="00813840"/>
    <w:rsid w:val="008876FE"/>
    <w:rsid w:val="008B34AB"/>
    <w:rsid w:val="008C1BB5"/>
    <w:rsid w:val="00950770"/>
    <w:rsid w:val="00980FAA"/>
    <w:rsid w:val="00A3056B"/>
    <w:rsid w:val="00AC6B5A"/>
    <w:rsid w:val="00B974E0"/>
    <w:rsid w:val="00C35ADC"/>
    <w:rsid w:val="00C450AC"/>
    <w:rsid w:val="00CA17B5"/>
    <w:rsid w:val="00D32240"/>
    <w:rsid w:val="00D767C3"/>
    <w:rsid w:val="00DF589D"/>
    <w:rsid w:val="00EA47C1"/>
    <w:rsid w:val="00ED5476"/>
    <w:rsid w:val="00F355F6"/>
    <w:rsid w:val="00F4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22D490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854D7C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854D7C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474524"/>
    <w:rsid w:val="0085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MMR22-929250655-68</_dlc_DocId>
    <_dlc_DocIdUrl xmlns="a5dcb9bc-8d52-4d3e-a595-09c2d5420a48">
      <Url>https://mmrcz.sharepoint.com/sites/22/224/_layouts/15/DocIdRedir.aspx?ID=MMR22-929250655-68</Url>
      <Description>MMR22-929250655-68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A9737-EA54-437C-95EF-04E69D4264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BDA31-3BAE-4B17-938E-B3732B824C6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5dcb9bc-8d52-4d3e-a595-09c2d5420a48"/>
    <ds:schemaRef ds:uri="http://schemas.openxmlformats.org/package/2006/metadata/core-properties"/>
    <ds:schemaRef ds:uri="c21e7edb-b367-4ac7-a92d-02aa336f11b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F373B4-6EC9-49EC-B6DE-D3B464FB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426496-2806-477D-9139-D2BCF01425F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72D28F-A0BB-46B3-A187-C0A0123C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14</TotalTime>
  <Pages>4</Pages>
  <Words>903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3                                      Vazba specifických cílů NKR k průřezovým tématům</dc:subject>
  <dc:creator>Krouzová  Lenka Kristýna</dc:creator>
  <cp:lastModifiedBy>Valenta Petr</cp:lastModifiedBy>
  <cp:revision>12</cp:revision>
  <dcterms:created xsi:type="dcterms:W3CDTF">2019-05-23T10:03:00Z</dcterms:created>
  <dcterms:modified xsi:type="dcterms:W3CDTF">2019-06-04T14:45:00Z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0a08f739-8c41-4dce-8197-e14b03d3f524</vt:lpwstr>
  </property>
  <property fmtid="{D5CDD505-2E9C-101B-9397-08002B2CF9AE}" pid="4" name="Order">
    <vt:r8>6300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dokumenty/Příloha NKR č. 3_Vazba specifických cílů NKR k průřezovým tématům.docx</vt:lpwstr>
  </property>
</Properties>
</file>