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89AA" w14:textId="56B7231D" w:rsidR="00106651" w:rsidRDefault="00106651" w:rsidP="00106651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4CDA08C" w14:textId="67384A69" w:rsidR="00B21D8C" w:rsidRPr="00C6423E" w:rsidRDefault="001B0C55" w:rsidP="00B21D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E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6F95033B" w14:textId="77777777" w:rsidR="00B21D8C" w:rsidRPr="00C6423E" w:rsidRDefault="00B21D8C" w:rsidP="00B21D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E">
        <w:rPr>
          <w:rFonts w:ascii="Times New Roman" w:hAnsi="Times New Roman" w:cs="Times New Roman"/>
          <w:b/>
          <w:sz w:val="24"/>
          <w:szCs w:val="24"/>
        </w:rPr>
        <w:t>VYHLÁŠKA</w:t>
      </w:r>
    </w:p>
    <w:p w14:paraId="42A9EF9C" w14:textId="48756E06" w:rsidR="00B21D8C" w:rsidRPr="00AF1789" w:rsidRDefault="00C04A54" w:rsidP="00C04A5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</w:t>
      </w:r>
      <w:r w:rsidR="00C6423E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870A11">
        <w:rPr>
          <w:rFonts w:ascii="Times New Roman" w:hAnsi="Times New Roman" w:cs="Times New Roman"/>
          <w:sz w:val="24"/>
          <w:szCs w:val="24"/>
        </w:rPr>
        <w:t xml:space="preserve"> 202</w:t>
      </w:r>
      <w:r w:rsidR="00ED6E60">
        <w:rPr>
          <w:rFonts w:ascii="Times New Roman" w:hAnsi="Times New Roman" w:cs="Times New Roman"/>
          <w:sz w:val="24"/>
          <w:szCs w:val="24"/>
        </w:rPr>
        <w:t>2</w:t>
      </w:r>
      <w:r w:rsidRPr="00870A11">
        <w:rPr>
          <w:rFonts w:ascii="Times New Roman" w:hAnsi="Times New Roman" w:cs="Times New Roman"/>
          <w:sz w:val="24"/>
          <w:szCs w:val="24"/>
        </w:rPr>
        <w:t>,</w:t>
      </w:r>
    </w:p>
    <w:p w14:paraId="0C5A1335" w14:textId="14F9A630" w:rsidR="00B21D8C" w:rsidRPr="00C6423E" w:rsidRDefault="00C91F82" w:rsidP="00B21D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E">
        <w:rPr>
          <w:rFonts w:ascii="Times New Roman" w:hAnsi="Times New Roman" w:cs="Times New Roman"/>
          <w:b/>
          <w:sz w:val="24"/>
          <w:szCs w:val="24"/>
        </w:rPr>
        <w:t>o</w:t>
      </w:r>
      <w:r w:rsidR="00B21D8C" w:rsidRPr="00C6423E">
        <w:rPr>
          <w:rFonts w:ascii="Times New Roman" w:hAnsi="Times New Roman" w:cs="Times New Roman"/>
          <w:b/>
          <w:sz w:val="24"/>
          <w:szCs w:val="24"/>
        </w:rPr>
        <w:t xml:space="preserve"> stanov</w:t>
      </w:r>
      <w:r w:rsidRPr="00C6423E">
        <w:rPr>
          <w:rFonts w:ascii="Times New Roman" w:hAnsi="Times New Roman" w:cs="Times New Roman"/>
          <w:b/>
          <w:sz w:val="24"/>
          <w:szCs w:val="24"/>
        </w:rPr>
        <w:t>en</w:t>
      </w:r>
      <w:r w:rsidR="00B21D8C" w:rsidRPr="00C6423E">
        <w:rPr>
          <w:rFonts w:ascii="Times New Roman" w:hAnsi="Times New Roman" w:cs="Times New Roman"/>
          <w:b/>
          <w:sz w:val="24"/>
          <w:szCs w:val="24"/>
        </w:rPr>
        <w:t xml:space="preserve">í charakteristik přiměřených požadavků na </w:t>
      </w:r>
      <w:r w:rsidR="00B43A75" w:rsidRPr="00C6423E">
        <w:rPr>
          <w:rFonts w:ascii="Times New Roman" w:hAnsi="Times New Roman" w:cs="Times New Roman"/>
          <w:b/>
          <w:sz w:val="24"/>
          <w:szCs w:val="24"/>
        </w:rPr>
        <w:t xml:space="preserve">poskytování služby </w:t>
      </w:r>
      <w:r w:rsidR="005F033A" w:rsidRPr="00C6423E">
        <w:rPr>
          <w:rFonts w:ascii="Times New Roman" w:hAnsi="Times New Roman" w:cs="Times New Roman"/>
          <w:b/>
          <w:sz w:val="24"/>
          <w:szCs w:val="24"/>
        </w:rPr>
        <w:t>přístup</w:t>
      </w:r>
      <w:r w:rsidR="00B43A75" w:rsidRPr="00C6423E">
        <w:rPr>
          <w:rFonts w:ascii="Times New Roman" w:hAnsi="Times New Roman" w:cs="Times New Roman"/>
          <w:b/>
          <w:sz w:val="24"/>
          <w:szCs w:val="24"/>
        </w:rPr>
        <w:t>u</w:t>
      </w:r>
      <w:r w:rsidR="005F033A" w:rsidRPr="00C6423E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5F033A" w:rsidRPr="00C6423E">
        <w:rPr>
          <w:rFonts w:ascii="Times New Roman" w:hAnsi="Times New Roman" w:cs="Times New Roman"/>
          <w:b/>
          <w:sz w:val="24"/>
          <w:szCs w:val="24"/>
        </w:rPr>
        <w:t xml:space="preserve">internetu </w:t>
      </w:r>
      <w:r w:rsidR="00B21D8C" w:rsidRPr="00C6423E">
        <w:rPr>
          <w:rFonts w:ascii="Times New Roman" w:hAnsi="Times New Roman" w:cs="Times New Roman"/>
          <w:b/>
          <w:sz w:val="24"/>
          <w:szCs w:val="24"/>
        </w:rPr>
        <w:t>a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B21D8C" w:rsidRPr="00C6423E">
        <w:rPr>
          <w:rFonts w:ascii="Times New Roman" w:hAnsi="Times New Roman" w:cs="Times New Roman"/>
          <w:b/>
          <w:sz w:val="24"/>
          <w:szCs w:val="24"/>
        </w:rPr>
        <w:t>přístup</w:t>
      </w:r>
      <w:r w:rsidR="00B43A75" w:rsidRPr="00C6423E">
        <w:rPr>
          <w:rFonts w:ascii="Times New Roman" w:hAnsi="Times New Roman" w:cs="Times New Roman"/>
          <w:b/>
          <w:sz w:val="24"/>
          <w:szCs w:val="24"/>
        </w:rPr>
        <w:t>u</w:t>
      </w:r>
      <w:r w:rsidR="00B21D8C" w:rsidRPr="00C64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3A" w:rsidRPr="00C6423E">
        <w:rPr>
          <w:rFonts w:ascii="Times New Roman" w:hAnsi="Times New Roman" w:cs="Times New Roman"/>
          <w:b/>
          <w:sz w:val="24"/>
          <w:szCs w:val="24"/>
        </w:rPr>
        <w:t>k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5F033A" w:rsidRPr="00C6423E">
        <w:rPr>
          <w:rFonts w:ascii="Times New Roman" w:hAnsi="Times New Roman" w:cs="Times New Roman"/>
          <w:b/>
          <w:sz w:val="24"/>
          <w:szCs w:val="24"/>
        </w:rPr>
        <w:t xml:space="preserve">hlasové komunikační službě </w:t>
      </w:r>
      <w:r w:rsidRPr="00C6423E">
        <w:rPr>
          <w:rFonts w:ascii="Times New Roman" w:hAnsi="Times New Roman" w:cs="Times New Roman"/>
          <w:b/>
          <w:sz w:val="24"/>
          <w:szCs w:val="24"/>
        </w:rPr>
        <w:t>v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Pr="00C6423E">
        <w:rPr>
          <w:rFonts w:ascii="Times New Roman" w:hAnsi="Times New Roman" w:cs="Times New Roman"/>
          <w:b/>
          <w:sz w:val="24"/>
          <w:szCs w:val="24"/>
        </w:rPr>
        <w:t>pevném místě</w:t>
      </w:r>
      <w:r w:rsidR="005B4DEE" w:rsidRPr="00C6423E">
        <w:rPr>
          <w:rFonts w:ascii="Times New Roman" w:hAnsi="Times New Roman" w:cs="Times New Roman"/>
          <w:b/>
          <w:sz w:val="24"/>
          <w:szCs w:val="24"/>
        </w:rPr>
        <w:t>,</w:t>
      </w:r>
      <w:r w:rsidR="00597A85" w:rsidRPr="00C6423E">
        <w:rPr>
          <w:rFonts w:ascii="Times New Roman" w:hAnsi="Times New Roman" w:cs="Times New Roman"/>
          <w:b/>
          <w:sz w:val="24"/>
          <w:szCs w:val="24"/>
        </w:rPr>
        <w:t xml:space="preserve"> včetně připojení potřebného k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597A85" w:rsidRPr="00C6423E">
        <w:rPr>
          <w:rFonts w:ascii="Times New Roman" w:hAnsi="Times New Roman" w:cs="Times New Roman"/>
          <w:b/>
          <w:sz w:val="24"/>
          <w:szCs w:val="24"/>
        </w:rPr>
        <w:t>využívání služby</w:t>
      </w:r>
      <w:r w:rsidR="005B4DEE" w:rsidRPr="00C6423E">
        <w:rPr>
          <w:rFonts w:ascii="Times New Roman" w:hAnsi="Times New Roman" w:cs="Times New Roman"/>
          <w:b/>
          <w:sz w:val="24"/>
          <w:szCs w:val="24"/>
        </w:rPr>
        <w:t>,</w:t>
      </w:r>
      <w:r w:rsidRPr="00C64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C55" w:rsidRPr="00C6423E">
        <w:rPr>
          <w:rFonts w:ascii="Times New Roman" w:hAnsi="Times New Roman" w:cs="Times New Roman"/>
          <w:b/>
          <w:sz w:val="24"/>
          <w:szCs w:val="24"/>
        </w:rPr>
        <w:t>a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1B0C55" w:rsidRPr="00C6423E">
        <w:rPr>
          <w:rFonts w:ascii="Times New Roman" w:hAnsi="Times New Roman" w:cs="Times New Roman"/>
          <w:b/>
          <w:sz w:val="24"/>
          <w:szCs w:val="24"/>
        </w:rPr>
        <w:t>parametr</w:t>
      </w:r>
      <w:r w:rsidRPr="00C6423E">
        <w:rPr>
          <w:rFonts w:ascii="Times New Roman" w:hAnsi="Times New Roman" w:cs="Times New Roman"/>
          <w:b/>
          <w:sz w:val="24"/>
          <w:szCs w:val="24"/>
        </w:rPr>
        <w:t>ů jejich</w:t>
      </w:r>
      <w:r w:rsidR="001B0C55" w:rsidRPr="00C6423E">
        <w:rPr>
          <w:rFonts w:ascii="Times New Roman" w:hAnsi="Times New Roman" w:cs="Times New Roman"/>
          <w:b/>
          <w:sz w:val="24"/>
          <w:szCs w:val="24"/>
        </w:rPr>
        <w:t xml:space="preserve"> kvality </w:t>
      </w:r>
      <w:r w:rsidR="00972F2D" w:rsidRPr="00C6423E">
        <w:rPr>
          <w:rFonts w:ascii="Times New Roman" w:hAnsi="Times New Roman" w:cs="Times New Roman"/>
          <w:b/>
          <w:sz w:val="24"/>
          <w:szCs w:val="24"/>
        </w:rPr>
        <w:t>v</w:t>
      </w:r>
      <w:r w:rsidR="00FE6378" w:rsidRPr="00C6423E">
        <w:rPr>
          <w:rFonts w:ascii="Times New Roman" w:hAnsi="Times New Roman" w:cs="Times New Roman"/>
          <w:b/>
          <w:sz w:val="24"/>
          <w:szCs w:val="24"/>
        </w:rPr>
        <w:t> </w:t>
      </w:r>
      <w:r w:rsidR="00972F2D" w:rsidRPr="00C6423E">
        <w:rPr>
          <w:rFonts w:ascii="Times New Roman" w:hAnsi="Times New Roman" w:cs="Times New Roman"/>
          <w:b/>
          <w:sz w:val="24"/>
          <w:szCs w:val="24"/>
        </w:rPr>
        <w:t xml:space="preserve">rámci </w:t>
      </w:r>
      <w:r w:rsidR="001B0C55" w:rsidRPr="00C6423E">
        <w:rPr>
          <w:rFonts w:ascii="Times New Roman" w:hAnsi="Times New Roman" w:cs="Times New Roman"/>
          <w:b/>
          <w:sz w:val="24"/>
          <w:szCs w:val="24"/>
        </w:rPr>
        <w:t>univerzální služby</w:t>
      </w:r>
    </w:p>
    <w:p w14:paraId="769FA26E" w14:textId="77777777" w:rsidR="00B21D8C" w:rsidRPr="00AF1789" w:rsidRDefault="00B21D8C" w:rsidP="00B21D8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274F6B" w14:textId="4C2CEE09" w:rsidR="00B21D8C" w:rsidRDefault="001B0C55" w:rsidP="00603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789">
        <w:rPr>
          <w:rFonts w:ascii="Times New Roman" w:hAnsi="Times New Roman" w:cs="Times New Roman"/>
          <w:sz w:val="24"/>
          <w:szCs w:val="24"/>
        </w:rPr>
        <w:t>Ministerstvo průmyslu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obchodu stanoví podle § 150 odst. 2 zákona č. 127/2005 Sb.,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elektronických komunikacích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o změně některých souvisejících zákonů (zákon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elektronických komunikacích), ve znění zákona č. 110/2007 Sb., zákona č. 153/2010 Sb., zákona č. 468/2011 Sb., zákona č. 214/2013 Sb., zákona č. 258/2014 Sb.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CF5A1B">
        <w:rPr>
          <w:rFonts w:ascii="Times New Roman" w:hAnsi="Times New Roman" w:cs="Times New Roman"/>
          <w:sz w:val="24"/>
          <w:szCs w:val="24"/>
        </w:rPr>
        <w:t>374</w:t>
      </w:r>
      <w:r w:rsidRPr="00AF1789">
        <w:rPr>
          <w:rFonts w:ascii="Times New Roman" w:hAnsi="Times New Roman" w:cs="Times New Roman"/>
          <w:sz w:val="24"/>
          <w:szCs w:val="24"/>
        </w:rPr>
        <w:t>/2021 Sb.,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provedení § 40 odst. 7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§</w:t>
      </w:r>
      <w:r w:rsidR="00CE7915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47 odst. 3 zákona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AF1789">
        <w:rPr>
          <w:rFonts w:ascii="Times New Roman" w:hAnsi="Times New Roman" w:cs="Times New Roman"/>
          <w:sz w:val="24"/>
          <w:szCs w:val="24"/>
        </w:rPr>
        <w:t>elektronických komunikacích:</w:t>
      </w:r>
    </w:p>
    <w:p w14:paraId="301EA6A5" w14:textId="77777777" w:rsidR="003F0761" w:rsidRPr="00AF1789" w:rsidRDefault="003F0761" w:rsidP="00603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2EBDB90" w14:textId="77777777" w:rsidR="00B21D8C" w:rsidRPr="0095608A" w:rsidRDefault="00B21D8C" w:rsidP="00B21D8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8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D52F210" w14:textId="6B57D15D" w:rsidR="00B21D8C" w:rsidRPr="00AF1789" w:rsidRDefault="00B21D8C" w:rsidP="00B21D8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Charakteristika přiměřeného požadavku na </w:t>
      </w:r>
      <w:bookmarkStart w:id="0" w:name="_Hlk84241311"/>
      <w:r w:rsidR="00045888" w:rsidRPr="00045888">
        <w:rPr>
          <w:rFonts w:ascii="Times New Roman" w:hAnsi="Times New Roman" w:cs="Times New Roman"/>
          <w:b/>
          <w:bCs/>
          <w:sz w:val="24"/>
          <w:szCs w:val="24"/>
        </w:rPr>
        <w:t xml:space="preserve">poskytování služby 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přístup</w:t>
      </w:r>
      <w:r w:rsidR="0004588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E63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internetu v</w:t>
      </w:r>
      <w:r w:rsidR="00FE63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pevném místě</w:t>
      </w:r>
      <w:bookmarkEnd w:id="0"/>
      <w:r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94618909"/>
      <w:r w:rsidR="001B0C55" w:rsidRPr="00AF1789">
        <w:rPr>
          <w:rFonts w:ascii="Times New Roman" w:hAnsi="Times New Roman" w:cs="Times New Roman"/>
          <w:b/>
          <w:bCs/>
          <w:sz w:val="24"/>
          <w:szCs w:val="24"/>
        </w:rPr>
        <w:t>včetně připojení potřebného pro využívání služby</w:t>
      </w:r>
      <w:bookmarkEnd w:id="1"/>
    </w:p>
    <w:p w14:paraId="021D25FC" w14:textId="5A0EF317" w:rsidR="00B21D8C" w:rsidRPr="00AF1789" w:rsidRDefault="00B21D8C" w:rsidP="001C4D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789">
        <w:rPr>
          <w:rFonts w:ascii="Times New Roman" w:hAnsi="Times New Roman" w:cs="Times New Roman"/>
          <w:sz w:val="24"/>
          <w:szCs w:val="24"/>
        </w:rPr>
        <w:tab/>
      </w:r>
      <w:r w:rsidR="005F033A" w:rsidRPr="00AF1789">
        <w:rPr>
          <w:rFonts w:ascii="Times New Roman" w:hAnsi="Times New Roman" w:cs="Times New Roman"/>
          <w:sz w:val="24"/>
          <w:szCs w:val="24"/>
        </w:rPr>
        <w:t xml:space="preserve">(1) Přiměřeným požadavkem na </w:t>
      </w:r>
      <w:r w:rsidR="00ED7E80">
        <w:rPr>
          <w:rFonts w:ascii="Times New Roman" w:hAnsi="Times New Roman" w:cs="Times New Roman"/>
          <w:sz w:val="24"/>
          <w:szCs w:val="24"/>
        </w:rPr>
        <w:t>poskytování služby podle § 40 odst. 1 zákona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ED7E80">
        <w:rPr>
          <w:rFonts w:ascii="Times New Roman" w:hAnsi="Times New Roman" w:cs="Times New Roman"/>
          <w:sz w:val="24"/>
          <w:szCs w:val="24"/>
        </w:rPr>
        <w:t xml:space="preserve">elektronických komunikacích </w:t>
      </w:r>
      <w:r w:rsidR="005F033A" w:rsidRPr="00AF1789">
        <w:rPr>
          <w:rFonts w:ascii="Times New Roman" w:hAnsi="Times New Roman" w:cs="Times New Roman"/>
          <w:sz w:val="24"/>
          <w:szCs w:val="24"/>
        </w:rPr>
        <w:t>je požadavek na</w:t>
      </w:r>
      <w:r w:rsidR="006E5C70">
        <w:rPr>
          <w:rFonts w:ascii="Times New Roman" w:hAnsi="Times New Roman" w:cs="Times New Roman"/>
          <w:sz w:val="24"/>
          <w:szCs w:val="24"/>
        </w:rPr>
        <w:t xml:space="preserve"> jedno</w:t>
      </w:r>
      <w:r w:rsidR="005F033A" w:rsidRPr="00AF1789">
        <w:rPr>
          <w:rFonts w:ascii="Times New Roman" w:hAnsi="Times New Roman" w:cs="Times New Roman"/>
          <w:sz w:val="24"/>
          <w:szCs w:val="24"/>
        </w:rPr>
        <w:t xml:space="preserve"> </w:t>
      </w:r>
      <w:r w:rsidR="00ED7E80">
        <w:rPr>
          <w:rFonts w:ascii="Times New Roman" w:hAnsi="Times New Roman" w:cs="Times New Roman"/>
          <w:sz w:val="24"/>
          <w:szCs w:val="24"/>
        </w:rPr>
        <w:t>připojení</w:t>
      </w:r>
      <w:r w:rsidR="00ED7E8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8656DB">
        <w:rPr>
          <w:rFonts w:ascii="Times New Roman" w:hAnsi="Times New Roman" w:cs="Times New Roman"/>
          <w:sz w:val="24"/>
          <w:szCs w:val="24"/>
        </w:rPr>
        <w:t xml:space="preserve"> </w:t>
      </w:r>
      <w:r w:rsidR="005F033A" w:rsidRPr="00AF1789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5F033A" w:rsidRPr="00AF1789">
        <w:rPr>
          <w:rFonts w:ascii="Times New Roman" w:hAnsi="Times New Roman" w:cs="Times New Roman"/>
          <w:sz w:val="24"/>
          <w:szCs w:val="24"/>
        </w:rPr>
        <w:t xml:space="preserve">místě 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>bydliště</w:t>
      </w:r>
      <w:r w:rsidR="00691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33A" w:rsidRPr="00AF1789">
        <w:rPr>
          <w:rFonts w:ascii="Times New Roman" w:hAnsi="Times New Roman" w:cs="Times New Roman"/>
          <w:sz w:val="24"/>
          <w:szCs w:val="24"/>
        </w:rPr>
        <w:t>spotřebitele</w:t>
      </w:r>
      <w:r w:rsidR="006D57A0" w:rsidRPr="00C91F82">
        <w:rPr>
          <w:rFonts w:ascii="Times New Roman" w:hAnsi="Times New Roman" w:cs="Times New Roman"/>
          <w:sz w:val="24"/>
          <w:szCs w:val="24"/>
        </w:rPr>
        <w:t xml:space="preserve">, </w:t>
      </w:r>
      <w:r w:rsidR="00623D66" w:rsidRPr="00C91F82">
        <w:rPr>
          <w:rFonts w:ascii="Times New Roman" w:hAnsi="Times New Roman" w:cs="Times New Roman"/>
          <w:sz w:val="24"/>
          <w:szCs w:val="24"/>
        </w:rPr>
        <w:t>kter</w:t>
      </w:r>
      <w:r w:rsidR="00D03AF8" w:rsidRPr="00C91F82">
        <w:rPr>
          <w:rFonts w:ascii="Times New Roman" w:hAnsi="Times New Roman" w:cs="Times New Roman"/>
          <w:sz w:val="24"/>
          <w:szCs w:val="24"/>
        </w:rPr>
        <w:t>é</w:t>
      </w:r>
      <w:r w:rsidR="00623D66" w:rsidRPr="00C91F82">
        <w:rPr>
          <w:rFonts w:ascii="Times New Roman" w:hAnsi="Times New Roman" w:cs="Times New Roman"/>
          <w:sz w:val="24"/>
          <w:szCs w:val="24"/>
        </w:rPr>
        <w:t xml:space="preserve"> se nachází</w:t>
      </w:r>
      <w:r w:rsidR="006D57A0" w:rsidRPr="00C91F82">
        <w:rPr>
          <w:rFonts w:ascii="Times New Roman" w:hAnsi="Times New Roman" w:cs="Times New Roman"/>
          <w:sz w:val="24"/>
          <w:szCs w:val="24"/>
        </w:rPr>
        <w:t xml:space="preserve">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6D57A0" w:rsidRPr="00C91F82">
        <w:rPr>
          <w:rFonts w:ascii="Times New Roman" w:hAnsi="Times New Roman" w:cs="Times New Roman"/>
          <w:sz w:val="24"/>
          <w:szCs w:val="24"/>
        </w:rPr>
        <w:t>objektu,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D03AF8" w:rsidRPr="00C91F82">
        <w:rPr>
          <w:rFonts w:ascii="Times New Roman" w:hAnsi="Times New Roman" w:cs="Times New Roman"/>
          <w:sz w:val="24"/>
          <w:szCs w:val="24"/>
        </w:rPr>
        <w:t>němž</w:t>
      </w:r>
      <w:r w:rsidR="006D57A0" w:rsidRPr="00C91F82">
        <w:rPr>
          <w:rFonts w:ascii="Times New Roman" w:hAnsi="Times New Roman" w:cs="Times New Roman"/>
          <w:sz w:val="24"/>
          <w:szCs w:val="24"/>
        </w:rPr>
        <w:t xml:space="preserve"> existuje podle registru územní identifikace, adres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6D57A0" w:rsidRPr="00C91F82">
        <w:rPr>
          <w:rFonts w:ascii="Times New Roman" w:hAnsi="Times New Roman" w:cs="Times New Roman"/>
          <w:sz w:val="24"/>
          <w:szCs w:val="24"/>
        </w:rPr>
        <w:t xml:space="preserve">nemovitostí alespoň jeden </w:t>
      </w:r>
      <w:r w:rsidR="006D57A0" w:rsidRPr="0016677C">
        <w:rPr>
          <w:rFonts w:ascii="Times New Roman" w:hAnsi="Times New Roman" w:cs="Times New Roman"/>
          <w:sz w:val="24"/>
          <w:szCs w:val="24"/>
        </w:rPr>
        <w:t>byt.</w:t>
      </w:r>
    </w:p>
    <w:p w14:paraId="3346E3AE" w14:textId="376FAEE6" w:rsidR="0032226E" w:rsidRDefault="00B21D8C" w:rsidP="005F03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789">
        <w:rPr>
          <w:rFonts w:ascii="Times New Roman" w:hAnsi="Times New Roman" w:cs="Times New Roman"/>
          <w:sz w:val="24"/>
          <w:szCs w:val="24"/>
        </w:rPr>
        <w:tab/>
        <w:t xml:space="preserve">(2) Přiměřeným požadavkem podle odstavce 1 není </w:t>
      </w:r>
    </w:p>
    <w:p w14:paraId="4199475B" w14:textId="5C6F4097" w:rsidR="00B21D8C" w:rsidRPr="00AF1789" w:rsidRDefault="0032226E" w:rsidP="005F03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požadavek </w:t>
      </w:r>
      <w:r w:rsidR="005F033A" w:rsidRPr="00AF1789">
        <w:rPr>
          <w:rFonts w:ascii="Times New Roman" w:hAnsi="Times New Roman" w:cs="Times New Roman"/>
          <w:sz w:val="24"/>
          <w:szCs w:val="24"/>
        </w:rPr>
        <w:t>spotřebitele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, </w:t>
      </w:r>
      <w:r w:rsidR="00555684" w:rsidRPr="00AF1789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555684" w:rsidRPr="00AF1789">
        <w:rPr>
          <w:rFonts w:ascii="Times New Roman" w:hAnsi="Times New Roman" w:cs="Times New Roman"/>
          <w:sz w:val="24"/>
          <w:szCs w:val="24"/>
        </w:rPr>
        <w:t xml:space="preserve">jehož místě </w:t>
      </w:r>
      <w:r w:rsidR="00AB6D24">
        <w:rPr>
          <w:rFonts w:ascii="Times New Roman" w:hAnsi="Times New Roman" w:cs="Times New Roman"/>
          <w:sz w:val="24"/>
          <w:szCs w:val="24"/>
        </w:rPr>
        <w:t>bydliště</w:t>
      </w:r>
      <w:r w:rsidR="00555684" w:rsidRPr="00AF1789">
        <w:rPr>
          <w:rFonts w:ascii="Times New Roman" w:hAnsi="Times New Roman" w:cs="Times New Roman"/>
          <w:sz w:val="24"/>
          <w:szCs w:val="24"/>
        </w:rPr>
        <w:t xml:space="preserve"> </w:t>
      </w:r>
      <w:r w:rsidR="0016677C">
        <w:rPr>
          <w:rFonts w:ascii="Times New Roman" w:hAnsi="Times New Roman" w:cs="Times New Roman"/>
          <w:sz w:val="24"/>
          <w:szCs w:val="24"/>
        </w:rPr>
        <w:t xml:space="preserve">je 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již </w:t>
      </w:r>
      <w:r w:rsidR="0084359B">
        <w:rPr>
          <w:rFonts w:ascii="Times New Roman" w:hAnsi="Times New Roman" w:cs="Times New Roman"/>
          <w:sz w:val="24"/>
          <w:szCs w:val="24"/>
        </w:rPr>
        <w:t>připojení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 xml:space="preserve"> umož</w:t>
      </w:r>
      <w:r w:rsidR="0016677C">
        <w:rPr>
          <w:rFonts w:ascii="Times New Roman" w:hAnsi="Times New Roman" w:cs="Times New Roman"/>
          <w:bCs/>
          <w:sz w:val="24"/>
          <w:szCs w:val="24"/>
        </w:rPr>
        <w:t>ňující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 xml:space="preserve"> využívání </w:t>
      </w:r>
      <w:r w:rsidR="00BB083C">
        <w:rPr>
          <w:rFonts w:ascii="Times New Roman" w:hAnsi="Times New Roman" w:cs="Times New Roman"/>
          <w:bCs/>
          <w:sz w:val="24"/>
          <w:szCs w:val="24"/>
        </w:rPr>
        <w:t xml:space="preserve">služby 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>přístupu k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>internetu</w:t>
      </w:r>
      <w:r w:rsidR="008E1378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8E1378">
        <w:rPr>
          <w:rFonts w:ascii="Times New Roman" w:hAnsi="Times New Roman" w:cs="Times New Roman"/>
          <w:bCs/>
          <w:sz w:val="24"/>
          <w:szCs w:val="24"/>
        </w:rPr>
        <w:t>pevném místě</w:t>
      </w:r>
      <w:r w:rsidR="002379E9">
        <w:rPr>
          <w:rFonts w:ascii="Times New Roman" w:hAnsi="Times New Roman" w:cs="Times New Roman"/>
          <w:bCs/>
          <w:sz w:val="24"/>
          <w:szCs w:val="24"/>
        </w:rPr>
        <w:t>,</w:t>
      </w:r>
      <w:r w:rsidR="00691262" w:rsidRPr="00C9268A">
        <w:rPr>
          <w:rFonts w:ascii="Times New Roman" w:hAnsi="Times New Roman" w:cs="Times New Roman"/>
          <w:bCs/>
          <w:sz w:val="24"/>
          <w:szCs w:val="24"/>
        </w:rPr>
        <w:t xml:space="preserve"> splňující mezní hodnoty parametrů kvality univerzální služby</w:t>
      </w:r>
      <w:r w:rsidR="002379E9">
        <w:rPr>
          <w:rFonts w:ascii="Times New Roman" w:hAnsi="Times New Roman" w:cs="Times New Roman"/>
          <w:bCs/>
          <w:sz w:val="24"/>
          <w:szCs w:val="24"/>
        </w:rPr>
        <w:t xml:space="preserve"> podle § 5,</w:t>
      </w:r>
      <w:r w:rsidR="00691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D8C" w:rsidRPr="00AF1789">
        <w:rPr>
          <w:rFonts w:ascii="Times New Roman" w:hAnsi="Times New Roman" w:cs="Times New Roman"/>
          <w:sz w:val="24"/>
          <w:szCs w:val="24"/>
        </w:rPr>
        <w:t>zřízen</w:t>
      </w:r>
      <w:r w:rsidR="0084359B">
        <w:rPr>
          <w:rFonts w:ascii="Times New Roman" w:hAnsi="Times New Roman" w:cs="Times New Roman"/>
          <w:sz w:val="24"/>
          <w:szCs w:val="24"/>
        </w:rPr>
        <w:t>o</w:t>
      </w:r>
      <w:r w:rsidR="00623D66">
        <w:rPr>
          <w:rFonts w:ascii="Times New Roman" w:hAnsi="Times New Roman" w:cs="Times New Roman"/>
          <w:sz w:val="24"/>
          <w:szCs w:val="24"/>
        </w:rPr>
        <w:t>,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340EE" w14:textId="2C3DC05E" w:rsidR="00623D66" w:rsidRDefault="00623D66" w:rsidP="00623D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požadavek</w:t>
      </w:r>
      <w:r w:rsidR="00264152">
        <w:rPr>
          <w:rFonts w:ascii="Times New Roman" w:hAnsi="Times New Roman" w:cs="Times New Roman"/>
          <w:sz w:val="24"/>
          <w:szCs w:val="24"/>
        </w:rPr>
        <w:t xml:space="preserve"> na</w:t>
      </w:r>
      <w:r w:rsidRPr="00C70DD4">
        <w:t xml:space="preserve"> </w:t>
      </w:r>
      <w:r w:rsidR="00ED1A78">
        <w:rPr>
          <w:rFonts w:ascii="Times New Roman" w:hAnsi="Times New Roman" w:cs="Times New Roman"/>
          <w:sz w:val="24"/>
          <w:szCs w:val="24"/>
        </w:rPr>
        <w:t>připojení</w:t>
      </w:r>
      <w:r w:rsidRPr="00C70DD4">
        <w:t xml:space="preserve"> </w:t>
      </w:r>
      <w:r w:rsidRPr="00C70DD4">
        <w:rPr>
          <w:rFonts w:ascii="Times New Roman" w:hAnsi="Times New Roman" w:cs="Times New Roman"/>
          <w:sz w:val="24"/>
          <w:szCs w:val="24"/>
        </w:rPr>
        <w:t>za předpokladu, že je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70DD4">
        <w:rPr>
          <w:rFonts w:ascii="Times New Roman" w:hAnsi="Times New Roman" w:cs="Times New Roman"/>
          <w:sz w:val="24"/>
          <w:szCs w:val="24"/>
        </w:rPr>
        <w:t xml:space="preserve">daném místě dostupný signál alespoň jedné veřejné mobilní komunikační sítě umožňující využívání služeb </w:t>
      </w:r>
      <w:r w:rsidR="00FE60D3">
        <w:rPr>
          <w:rFonts w:ascii="Times New Roman" w:hAnsi="Times New Roman" w:cs="Times New Roman"/>
          <w:sz w:val="24"/>
          <w:szCs w:val="24"/>
        </w:rPr>
        <w:t xml:space="preserve">podle </w:t>
      </w:r>
      <w:r w:rsidRPr="00A074FC">
        <w:rPr>
          <w:rFonts w:ascii="Times New Roman" w:hAnsi="Times New Roman" w:cs="Times New Roman"/>
          <w:sz w:val="24"/>
          <w:szCs w:val="24"/>
        </w:rPr>
        <w:t>§ 40 odst. 2 zákona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elektronických komunikacích</w:t>
      </w:r>
      <w:r w:rsidRPr="00C70DD4">
        <w:rPr>
          <w:rFonts w:ascii="Times New Roman" w:hAnsi="Times New Roman" w:cs="Times New Roman"/>
          <w:sz w:val="24"/>
          <w:szCs w:val="24"/>
        </w:rPr>
        <w:t xml:space="preserve"> </w:t>
      </w:r>
      <w:r w:rsidR="00045888" w:rsidRPr="00045888">
        <w:rPr>
          <w:rFonts w:ascii="Times New Roman" w:hAnsi="Times New Roman" w:cs="Times New Roman"/>
          <w:sz w:val="24"/>
          <w:szCs w:val="24"/>
        </w:rPr>
        <w:t>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splňující mezní hodnoty parametrů kvality univerzální služby podle § 5</w:t>
      </w:r>
      <w:r>
        <w:rPr>
          <w:rFonts w:ascii="Times New Roman" w:hAnsi="Times New Roman" w:cs="Times New Roman"/>
          <w:sz w:val="24"/>
          <w:szCs w:val="24"/>
        </w:rPr>
        <w:t>, nebo</w:t>
      </w:r>
    </w:p>
    <w:p w14:paraId="04EEC042" w14:textId="4766DA41" w:rsidR="00B21D8C" w:rsidRDefault="00623D66" w:rsidP="0014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226E">
        <w:rPr>
          <w:rFonts w:ascii="Times New Roman" w:hAnsi="Times New Roman" w:cs="Times New Roman"/>
          <w:sz w:val="24"/>
          <w:szCs w:val="24"/>
        </w:rPr>
        <w:t>)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 požadavek na </w:t>
      </w:r>
      <w:r w:rsidR="00ED1A78">
        <w:rPr>
          <w:rFonts w:ascii="Times New Roman" w:hAnsi="Times New Roman" w:cs="Times New Roman"/>
          <w:sz w:val="24"/>
          <w:szCs w:val="24"/>
        </w:rPr>
        <w:t>připojení</w:t>
      </w:r>
      <w:r w:rsidR="008E1378">
        <w:rPr>
          <w:rFonts w:ascii="Times New Roman" w:hAnsi="Times New Roman" w:cs="Times New Roman"/>
          <w:sz w:val="24"/>
          <w:szCs w:val="24"/>
        </w:rPr>
        <w:t xml:space="preserve"> </w:t>
      </w:r>
      <w:r w:rsidR="00B21D8C" w:rsidRPr="00AF1789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FE60D3">
        <w:rPr>
          <w:rFonts w:ascii="Times New Roman" w:hAnsi="Times New Roman" w:cs="Times New Roman"/>
          <w:sz w:val="24"/>
          <w:szCs w:val="24"/>
        </w:rPr>
        <w:t>místě</w:t>
      </w:r>
      <w:r w:rsidR="00045888" w:rsidRPr="00045888">
        <w:rPr>
          <w:rFonts w:ascii="Times New Roman" w:hAnsi="Times New Roman" w:cs="Times New Roman"/>
          <w:sz w:val="24"/>
          <w:szCs w:val="24"/>
        </w:rPr>
        <w:t>, které je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katastru nemovitostí označené jako ostatní plochy, zemědělské pozemky, lesní pozemky nebo vodní plochy,</w:t>
      </w:r>
      <w:r w:rsidR="00147D3E" w:rsidRPr="00147D3E">
        <w:rPr>
          <w:rFonts w:ascii="Times New Roman" w:hAnsi="Times New Roman" w:cs="Times New Roman"/>
          <w:sz w:val="24"/>
          <w:szCs w:val="24"/>
        </w:rPr>
        <w:t xml:space="preserve"> </w:t>
      </w:r>
      <w:r w:rsidR="00045888" w:rsidRPr="00045888">
        <w:rPr>
          <w:rFonts w:ascii="Times New Roman" w:hAnsi="Times New Roman" w:cs="Times New Roman"/>
          <w:sz w:val="24"/>
          <w:szCs w:val="24"/>
        </w:rPr>
        <w:t>nebo kde by připojení vyžadovalo náklady značně převyšující obvyklou výši. Náklady značně převyšující obvyklou výši se rozumí náklady poskytovatele univerzální služby na zřízení připojení převyšující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více než 50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% jeho průměrné jednotkové náklady na zřízení připojení.</w:t>
      </w:r>
      <w:r w:rsidR="00B21D8C" w:rsidRPr="00AF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14E28" w14:textId="223D530C" w:rsidR="00B21D8C" w:rsidRPr="0095608A" w:rsidRDefault="00B21D8C" w:rsidP="0010665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8A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3A701EA3" w14:textId="0B95E6F8" w:rsidR="00B21D8C" w:rsidRPr="00AF1789" w:rsidRDefault="00B21D8C" w:rsidP="003F076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Charakteristika přiměřeného požadavku na </w:t>
      </w:r>
      <w:r w:rsidR="00045888">
        <w:rPr>
          <w:rFonts w:ascii="Times New Roman" w:hAnsi="Times New Roman" w:cs="Times New Roman"/>
          <w:b/>
          <w:bCs/>
          <w:sz w:val="24"/>
          <w:szCs w:val="24"/>
        </w:rPr>
        <w:t xml:space="preserve">poskytování služby 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přístup</w:t>
      </w:r>
      <w:r w:rsidR="0004588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684" w:rsidRPr="00AF178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E63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5684" w:rsidRPr="00AF1789">
        <w:rPr>
          <w:rFonts w:ascii="Times New Roman" w:hAnsi="Times New Roman" w:cs="Times New Roman"/>
          <w:b/>
          <w:bCs/>
          <w:sz w:val="24"/>
          <w:szCs w:val="24"/>
        </w:rPr>
        <w:t xml:space="preserve">hlasové komunikační službě 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E63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1789">
        <w:rPr>
          <w:rFonts w:ascii="Times New Roman" w:hAnsi="Times New Roman" w:cs="Times New Roman"/>
          <w:b/>
          <w:bCs/>
          <w:sz w:val="24"/>
          <w:szCs w:val="24"/>
        </w:rPr>
        <w:t>pevném místě</w:t>
      </w:r>
      <w:r w:rsidR="00C50343" w:rsidRPr="00C50343">
        <w:t xml:space="preserve"> </w:t>
      </w:r>
      <w:bookmarkStart w:id="2" w:name="_Hlk94619229"/>
      <w:r w:rsidR="00C50343" w:rsidRPr="00C50343">
        <w:rPr>
          <w:rFonts w:ascii="Times New Roman" w:hAnsi="Times New Roman" w:cs="Times New Roman"/>
          <w:b/>
          <w:bCs/>
          <w:sz w:val="24"/>
          <w:szCs w:val="24"/>
        </w:rPr>
        <w:t>včetně připojení potřebného pro využívání služby</w:t>
      </w:r>
      <w:bookmarkEnd w:id="2"/>
    </w:p>
    <w:p w14:paraId="7A541F57" w14:textId="7FA71290" w:rsidR="00C50343" w:rsidRDefault="00B21D8C" w:rsidP="005556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789">
        <w:rPr>
          <w:rFonts w:ascii="Times New Roman" w:hAnsi="Times New Roman" w:cs="Times New Roman"/>
          <w:sz w:val="24"/>
          <w:szCs w:val="24"/>
        </w:rPr>
        <w:tab/>
      </w:r>
      <w:r w:rsidR="00C50343" w:rsidRPr="00AF1789">
        <w:rPr>
          <w:rFonts w:ascii="Times New Roman" w:hAnsi="Times New Roman" w:cs="Times New Roman"/>
          <w:sz w:val="24"/>
          <w:szCs w:val="24"/>
        </w:rPr>
        <w:t xml:space="preserve">(1) Přiměřeným požadavkem na </w:t>
      </w:r>
      <w:r w:rsidR="008D703F">
        <w:rPr>
          <w:rFonts w:ascii="Times New Roman" w:hAnsi="Times New Roman" w:cs="Times New Roman"/>
          <w:sz w:val="24"/>
          <w:szCs w:val="24"/>
        </w:rPr>
        <w:t>poskytování služby podle § 40 odst. 3 zákona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8D703F">
        <w:rPr>
          <w:rFonts w:ascii="Times New Roman" w:hAnsi="Times New Roman" w:cs="Times New Roman"/>
          <w:sz w:val="24"/>
          <w:szCs w:val="24"/>
        </w:rPr>
        <w:t xml:space="preserve">elektronických komunikacích </w:t>
      </w:r>
      <w:r w:rsidR="00C50343" w:rsidRPr="00AF1789">
        <w:rPr>
          <w:rFonts w:ascii="Times New Roman" w:hAnsi="Times New Roman" w:cs="Times New Roman"/>
          <w:sz w:val="24"/>
          <w:szCs w:val="24"/>
        </w:rPr>
        <w:t xml:space="preserve">je požadavek na </w:t>
      </w:r>
      <w:r w:rsidR="00455964">
        <w:rPr>
          <w:rFonts w:ascii="Times New Roman" w:hAnsi="Times New Roman" w:cs="Times New Roman"/>
          <w:sz w:val="24"/>
          <w:szCs w:val="24"/>
        </w:rPr>
        <w:t xml:space="preserve">jedno </w:t>
      </w:r>
      <w:bookmarkStart w:id="3" w:name="_GoBack"/>
      <w:bookmarkEnd w:id="3"/>
      <w:r w:rsidR="008D703F">
        <w:rPr>
          <w:rFonts w:ascii="Times New Roman" w:hAnsi="Times New Roman" w:cs="Times New Roman"/>
          <w:sz w:val="24"/>
          <w:szCs w:val="24"/>
        </w:rPr>
        <w:t xml:space="preserve">připojení </w:t>
      </w:r>
      <w:r w:rsidR="00C50343" w:rsidRPr="00AF1789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C50343" w:rsidRPr="00AF1789">
        <w:rPr>
          <w:rFonts w:ascii="Times New Roman" w:hAnsi="Times New Roman" w:cs="Times New Roman"/>
          <w:sz w:val="24"/>
          <w:szCs w:val="24"/>
        </w:rPr>
        <w:t>místě bydliště spotřebitele</w:t>
      </w:r>
      <w:r w:rsidR="002D062A" w:rsidRPr="00C91F82">
        <w:rPr>
          <w:rFonts w:ascii="Times New Roman" w:hAnsi="Times New Roman" w:cs="Times New Roman"/>
          <w:sz w:val="24"/>
          <w:szCs w:val="24"/>
        </w:rPr>
        <w:t>, kter</w:t>
      </w:r>
      <w:r w:rsidR="00D03AF8" w:rsidRPr="00C91F82">
        <w:rPr>
          <w:rFonts w:ascii="Times New Roman" w:hAnsi="Times New Roman" w:cs="Times New Roman"/>
          <w:sz w:val="24"/>
          <w:szCs w:val="24"/>
        </w:rPr>
        <w:t>é</w:t>
      </w:r>
      <w:r w:rsidR="002D062A" w:rsidRPr="00C91F82">
        <w:rPr>
          <w:rFonts w:ascii="Times New Roman" w:hAnsi="Times New Roman" w:cs="Times New Roman"/>
          <w:sz w:val="24"/>
          <w:szCs w:val="24"/>
        </w:rPr>
        <w:t xml:space="preserve"> se nachází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2D062A" w:rsidRPr="00C91F82">
        <w:rPr>
          <w:rFonts w:ascii="Times New Roman" w:hAnsi="Times New Roman" w:cs="Times New Roman"/>
          <w:sz w:val="24"/>
          <w:szCs w:val="24"/>
        </w:rPr>
        <w:t>objektu,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D03AF8" w:rsidRPr="00C91F82">
        <w:rPr>
          <w:rFonts w:ascii="Times New Roman" w:hAnsi="Times New Roman" w:cs="Times New Roman"/>
          <w:sz w:val="24"/>
          <w:szCs w:val="24"/>
        </w:rPr>
        <w:t>němž</w:t>
      </w:r>
      <w:r w:rsidR="002D062A" w:rsidRPr="00C91F82">
        <w:rPr>
          <w:rFonts w:ascii="Times New Roman" w:hAnsi="Times New Roman" w:cs="Times New Roman"/>
          <w:sz w:val="24"/>
          <w:szCs w:val="24"/>
        </w:rPr>
        <w:t xml:space="preserve"> existuje podle registru územní identifikace, adres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2D062A" w:rsidRPr="00C91F82">
        <w:rPr>
          <w:rFonts w:ascii="Times New Roman" w:hAnsi="Times New Roman" w:cs="Times New Roman"/>
          <w:sz w:val="24"/>
          <w:szCs w:val="24"/>
        </w:rPr>
        <w:t>nemovitostí alespoň jeden byt.</w:t>
      </w:r>
    </w:p>
    <w:p w14:paraId="08433B6E" w14:textId="6F4AB30E" w:rsidR="002D062A" w:rsidRDefault="00CD5BBC" w:rsidP="00CD5BB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BBC">
        <w:rPr>
          <w:rFonts w:ascii="Times New Roman" w:hAnsi="Times New Roman" w:cs="Times New Roman"/>
          <w:sz w:val="24"/>
          <w:szCs w:val="24"/>
        </w:rPr>
        <w:t>(2) Přiměřeným požadavkem podle odstavce 1 není</w:t>
      </w:r>
    </w:p>
    <w:p w14:paraId="164B90F4" w14:textId="47228B08" w:rsidR="002D062A" w:rsidRDefault="002D062A" w:rsidP="00CD5BB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D5BBC" w:rsidRPr="00CD5BBC">
        <w:rPr>
          <w:rFonts w:ascii="Times New Roman" w:hAnsi="Times New Roman" w:cs="Times New Roman"/>
          <w:sz w:val="24"/>
          <w:szCs w:val="24"/>
        </w:rPr>
        <w:t>požadavek spotřebitele,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CD5BBC" w:rsidRPr="00CD5BBC">
        <w:rPr>
          <w:rFonts w:ascii="Times New Roman" w:hAnsi="Times New Roman" w:cs="Times New Roman"/>
          <w:sz w:val="24"/>
          <w:szCs w:val="24"/>
        </w:rPr>
        <w:t>jehož místě bydliště již byl</w:t>
      </w:r>
      <w:r w:rsidR="009A3FFC">
        <w:rPr>
          <w:rFonts w:ascii="Times New Roman" w:hAnsi="Times New Roman" w:cs="Times New Roman"/>
          <w:sz w:val="24"/>
          <w:szCs w:val="24"/>
        </w:rPr>
        <w:t>o připojení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1F82">
        <w:rPr>
          <w:rFonts w:ascii="Times New Roman" w:hAnsi="Times New Roman" w:cs="Times New Roman"/>
          <w:bCs/>
          <w:sz w:val="24"/>
          <w:szCs w:val="24"/>
        </w:rPr>
        <w:t xml:space="preserve">jehož 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>prostřednictvím je umožněno využívání přístupu k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 xml:space="preserve">hlasové </w:t>
      </w:r>
      <w:r w:rsidR="007D3F3F">
        <w:rPr>
          <w:rFonts w:ascii="Times New Roman" w:hAnsi="Times New Roman" w:cs="Times New Roman"/>
          <w:bCs/>
          <w:sz w:val="24"/>
          <w:szCs w:val="24"/>
        </w:rPr>
        <w:t xml:space="preserve">komunikační 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>službě</w:t>
      </w:r>
      <w:r w:rsidR="008E1378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8E1378">
        <w:rPr>
          <w:rFonts w:ascii="Times New Roman" w:hAnsi="Times New Roman" w:cs="Times New Roman"/>
          <w:bCs/>
          <w:sz w:val="24"/>
          <w:szCs w:val="24"/>
        </w:rPr>
        <w:t>pevném místě</w:t>
      </w:r>
      <w:r w:rsidR="002379E9">
        <w:rPr>
          <w:rFonts w:ascii="Times New Roman" w:hAnsi="Times New Roman" w:cs="Times New Roman"/>
          <w:bCs/>
          <w:sz w:val="24"/>
          <w:szCs w:val="24"/>
        </w:rPr>
        <w:t>,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95400109"/>
      <w:r w:rsidR="00DB3AFA" w:rsidRPr="00C9268A">
        <w:rPr>
          <w:rFonts w:ascii="Times New Roman" w:hAnsi="Times New Roman" w:cs="Times New Roman"/>
          <w:bCs/>
          <w:sz w:val="24"/>
          <w:szCs w:val="24"/>
        </w:rPr>
        <w:t>splňující mezní hodnoty parametrů kvality univerzální služby</w:t>
      </w:r>
      <w:bookmarkEnd w:id="4"/>
      <w:r w:rsidR="002379E9">
        <w:rPr>
          <w:rFonts w:ascii="Times New Roman" w:hAnsi="Times New Roman" w:cs="Times New Roman"/>
          <w:bCs/>
          <w:sz w:val="24"/>
          <w:szCs w:val="24"/>
        </w:rPr>
        <w:t xml:space="preserve"> podle § 5</w:t>
      </w:r>
      <w:r w:rsidR="00DB3AFA" w:rsidRPr="00C9268A">
        <w:rPr>
          <w:rFonts w:ascii="Times New Roman" w:hAnsi="Times New Roman" w:cs="Times New Roman"/>
          <w:bCs/>
          <w:sz w:val="24"/>
          <w:szCs w:val="24"/>
        </w:rPr>
        <w:t>,</w:t>
      </w:r>
      <w:r w:rsidR="00CD5BBC" w:rsidRPr="00CD5BBC">
        <w:rPr>
          <w:rFonts w:ascii="Times New Roman" w:hAnsi="Times New Roman" w:cs="Times New Roman"/>
          <w:sz w:val="24"/>
          <w:szCs w:val="24"/>
        </w:rPr>
        <w:t xml:space="preserve"> zřízen</w:t>
      </w:r>
      <w:r w:rsidR="009A3FFC">
        <w:rPr>
          <w:rFonts w:ascii="Times New Roman" w:hAnsi="Times New Roman" w:cs="Times New Roman"/>
          <w:sz w:val="24"/>
          <w:szCs w:val="24"/>
        </w:rPr>
        <w:t>o</w:t>
      </w:r>
      <w:r w:rsidRPr="002D062A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3A2E7F" w14:textId="4D2541FC" w:rsidR="00516FC7" w:rsidRDefault="00147D3E" w:rsidP="00CD5BB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16FC7">
        <w:rPr>
          <w:rFonts w:ascii="Times New Roman" w:hAnsi="Times New Roman" w:cs="Times New Roman"/>
          <w:sz w:val="24"/>
          <w:szCs w:val="24"/>
        </w:rPr>
        <w:t xml:space="preserve">) </w:t>
      </w:r>
      <w:r w:rsidR="00516FC7" w:rsidRPr="00516FC7">
        <w:rPr>
          <w:rFonts w:ascii="Times New Roman" w:hAnsi="Times New Roman" w:cs="Times New Roman"/>
          <w:sz w:val="24"/>
          <w:szCs w:val="24"/>
        </w:rPr>
        <w:t xml:space="preserve">požadavek na </w:t>
      </w:r>
      <w:r w:rsidR="009A3FFC">
        <w:rPr>
          <w:rFonts w:ascii="Times New Roman" w:hAnsi="Times New Roman" w:cs="Times New Roman"/>
          <w:sz w:val="24"/>
          <w:szCs w:val="24"/>
        </w:rPr>
        <w:t>připojení</w:t>
      </w:r>
      <w:r w:rsidR="00516FC7" w:rsidRPr="00516FC7">
        <w:rPr>
          <w:rFonts w:ascii="Times New Roman" w:hAnsi="Times New Roman" w:cs="Times New Roman"/>
          <w:sz w:val="24"/>
          <w:szCs w:val="24"/>
        </w:rPr>
        <w:t xml:space="preserve"> za předpokladu, že je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516FC7" w:rsidRPr="00516FC7">
        <w:rPr>
          <w:rFonts w:ascii="Times New Roman" w:hAnsi="Times New Roman" w:cs="Times New Roman"/>
          <w:sz w:val="24"/>
          <w:szCs w:val="24"/>
        </w:rPr>
        <w:t>daném místě dostupný signál alespoň jedné veřejné mobilní komunikační sítě umožňující</w:t>
      </w:r>
      <w:r w:rsidR="00516FC7">
        <w:rPr>
          <w:rFonts w:ascii="Times New Roman" w:hAnsi="Times New Roman" w:cs="Times New Roman"/>
          <w:sz w:val="24"/>
          <w:szCs w:val="24"/>
        </w:rPr>
        <w:t xml:space="preserve"> </w:t>
      </w:r>
      <w:r w:rsidR="00516FC7" w:rsidRPr="00516FC7">
        <w:rPr>
          <w:rFonts w:ascii="Times New Roman" w:hAnsi="Times New Roman" w:cs="Times New Roman"/>
          <w:sz w:val="24"/>
          <w:szCs w:val="24"/>
        </w:rPr>
        <w:t>využívání přístupu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516FC7" w:rsidRPr="00516FC7">
        <w:rPr>
          <w:rFonts w:ascii="Times New Roman" w:hAnsi="Times New Roman" w:cs="Times New Roman"/>
          <w:sz w:val="24"/>
          <w:szCs w:val="24"/>
        </w:rPr>
        <w:t>hlasové komunikační službě</w:t>
      </w:r>
      <w:r w:rsidR="00045888" w:rsidRPr="00045888">
        <w:rPr>
          <w:rFonts w:ascii="Times New Roman" w:hAnsi="Times New Roman" w:cs="Times New Roman"/>
          <w:sz w:val="24"/>
          <w:szCs w:val="24"/>
        </w:rPr>
        <w:t xml:space="preserve">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splňující mezní hodnoty parametrů kvality univerzální služby podle § 5</w:t>
      </w:r>
      <w:r w:rsidR="00516FC7">
        <w:rPr>
          <w:rFonts w:ascii="Times New Roman" w:hAnsi="Times New Roman" w:cs="Times New Roman"/>
          <w:sz w:val="24"/>
          <w:szCs w:val="24"/>
        </w:rPr>
        <w:t>, nebo</w:t>
      </w:r>
    </w:p>
    <w:p w14:paraId="5E166F5D" w14:textId="59C1955B" w:rsidR="002D062A" w:rsidRDefault="00147D3E" w:rsidP="00516FC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16FC7">
        <w:rPr>
          <w:rFonts w:ascii="Times New Roman" w:hAnsi="Times New Roman" w:cs="Times New Roman"/>
          <w:sz w:val="24"/>
          <w:szCs w:val="24"/>
        </w:rPr>
        <w:t xml:space="preserve">) </w:t>
      </w:r>
      <w:r w:rsidR="00045888" w:rsidRPr="00045888">
        <w:rPr>
          <w:rFonts w:ascii="Times New Roman" w:hAnsi="Times New Roman" w:cs="Times New Roman"/>
          <w:sz w:val="24"/>
          <w:szCs w:val="24"/>
        </w:rPr>
        <w:t>požadavek na připojení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místě, které je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045888" w:rsidRPr="00045888">
        <w:rPr>
          <w:rFonts w:ascii="Times New Roman" w:hAnsi="Times New Roman" w:cs="Times New Roman"/>
          <w:sz w:val="24"/>
          <w:szCs w:val="24"/>
        </w:rPr>
        <w:t>katastru nemovitostí označené jako ostatní plochy, zemědělské pozemky, lesní pozemky nebo vodní plochy, nebo kde by připojení vyžadovalo náklady značně převyšující obvyklou výši.</w:t>
      </w:r>
      <w:r w:rsidR="0086680D" w:rsidRPr="0086680D">
        <w:rPr>
          <w:rFonts w:ascii="Times New Roman" w:hAnsi="Times New Roman" w:cs="Times New Roman"/>
          <w:sz w:val="24"/>
          <w:szCs w:val="24"/>
        </w:rPr>
        <w:t xml:space="preserve"> Náklady značně převyšující obvyklou výši se rozumí náklady poskytovatele univerzální služby na zřízení připojení převyšující o více než 50 % jeho průměrné jednotkové náklady na zřízení připojení.</w:t>
      </w:r>
    </w:p>
    <w:p w14:paraId="3037416D" w14:textId="77777777" w:rsidR="0030662A" w:rsidRPr="00AF1789" w:rsidRDefault="0030662A" w:rsidP="004F1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4F1C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Parametry kvality univerzální služby</w:t>
      </w:r>
    </w:p>
    <w:p w14:paraId="52D5B595" w14:textId="77777777" w:rsidR="0030662A" w:rsidRPr="00AF1789" w:rsidRDefault="0030662A" w:rsidP="004F1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BA3FDCD" w14:textId="77777777" w:rsidR="004F1C08" w:rsidRPr="0095608A" w:rsidRDefault="004F1C08" w:rsidP="004F1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560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§ 3 </w:t>
      </w:r>
    </w:p>
    <w:p w14:paraId="0D4C982A" w14:textId="77777777" w:rsidR="004F1C08" w:rsidRPr="004F1C08" w:rsidRDefault="004F1C08" w:rsidP="004F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4E762BF1" w14:textId="6762FF69" w:rsidR="004F1C08" w:rsidRPr="004F1C08" w:rsidRDefault="004F1C08" w:rsidP="001F19B2">
      <w:p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4F1C08">
        <w:rPr>
          <w:rFonts w:ascii="Arial" w:eastAsia="Yu Mincho" w:hAnsi="Arial" w:cs="Arial"/>
          <w:color w:val="auto"/>
          <w:sz w:val="16"/>
          <w:szCs w:val="16"/>
          <w:lang w:eastAsia="cs-CZ"/>
        </w:rPr>
        <w:tab/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(1) Parametr</w:t>
      </w:r>
      <w:r w:rsidR="00C91F8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em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kvality </w:t>
      </w:r>
      <w:r w:rsidR="001C3A0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služby </w:t>
      </w:r>
      <w:r w:rsidR="006E4E25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přístup</w:t>
      </w:r>
      <w:r w:rsidR="00C91F8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u</w:t>
      </w:r>
      <w:r w:rsidR="006E4E25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6E4E25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7579A0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přístupu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6E4E25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hlasové komunikační </w:t>
      </w:r>
      <w:r w:rsidR="006E4E25" w:rsidRPr="001F19B2">
        <w:rPr>
          <w:rFonts w:ascii="Times New Roman" w:hAnsi="Times New Roman" w:cs="Times New Roman"/>
          <w:sz w:val="24"/>
          <w:szCs w:val="24"/>
        </w:rPr>
        <w:t>službě</w:t>
      </w:r>
      <w:r w:rsidR="00D77D9C">
        <w:rPr>
          <w:rFonts w:ascii="Times New Roman" w:hAnsi="Times New Roman" w:cs="Times New Roman"/>
          <w:sz w:val="24"/>
          <w:szCs w:val="24"/>
        </w:rPr>
        <w:t xml:space="preserve">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D77D9C">
        <w:rPr>
          <w:rFonts w:ascii="Times New Roman" w:hAnsi="Times New Roman" w:cs="Times New Roman"/>
          <w:sz w:val="24"/>
          <w:szCs w:val="24"/>
        </w:rPr>
        <w:t>pevném místě</w:t>
      </w:r>
      <w:r w:rsidR="006E4E25"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0D28AB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</w:t>
      </w:r>
      <w:r w:rsidR="000D28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e</w:t>
      </w:r>
      <w:r w:rsidR="000D28AB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14:paraId="2680AE98" w14:textId="7D526447" w:rsidR="004F1C08" w:rsidRPr="001F19B2" w:rsidRDefault="004F1C08" w:rsidP="001F1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a) doba, za</w:t>
      </w:r>
      <w:r w:rsidRPr="001F19B2">
        <w:rPr>
          <w:rFonts w:ascii="Times New Roman" w:hAnsi="Times New Roman" w:cs="Times New Roman"/>
          <w:sz w:val="24"/>
          <w:szCs w:val="24"/>
        </w:rPr>
        <w:t xml:space="preserve"> kterou je</w:t>
      </w:r>
      <w:r w:rsidR="007D1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879">
        <w:rPr>
          <w:rFonts w:ascii="Times New Roman" w:hAnsi="Times New Roman" w:cs="Times New Roman"/>
          <w:bCs/>
          <w:sz w:val="24"/>
          <w:szCs w:val="24"/>
        </w:rPr>
        <w:t xml:space="preserve">zprovozněna </w:t>
      </w:r>
      <w:r w:rsidR="00FE5057">
        <w:rPr>
          <w:rFonts w:ascii="Times New Roman" w:hAnsi="Times New Roman" w:cs="Times New Roman"/>
          <w:bCs/>
          <w:sz w:val="24"/>
          <w:szCs w:val="24"/>
        </w:rPr>
        <w:t>služb</w:t>
      </w:r>
      <w:r w:rsidR="00C84735">
        <w:rPr>
          <w:rFonts w:ascii="Times New Roman" w:hAnsi="Times New Roman" w:cs="Times New Roman"/>
          <w:bCs/>
          <w:sz w:val="24"/>
          <w:szCs w:val="24"/>
        </w:rPr>
        <w:t>a</w:t>
      </w:r>
      <w:r w:rsidR="00FE5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84D" w:rsidRPr="0066184D">
        <w:rPr>
          <w:rFonts w:ascii="Times New Roman" w:hAnsi="Times New Roman" w:cs="Times New Roman"/>
          <w:bCs/>
          <w:sz w:val="24"/>
          <w:szCs w:val="24"/>
        </w:rPr>
        <w:t>přístup</w:t>
      </w:r>
      <w:r w:rsidR="00C84735">
        <w:rPr>
          <w:rFonts w:ascii="Times New Roman" w:hAnsi="Times New Roman" w:cs="Times New Roman"/>
          <w:bCs/>
          <w:sz w:val="24"/>
          <w:szCs w:val="24"/>
        </w:rPr>
        <w:t>u</w:t>
      </w:r>
      <w:r w:rsidR="0066184D" w:rsidRPr="0066184D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66184D" w:rsidRPr="0066184D">
        <w:rPr>
          <w:rFonts w:ascii="Times New Roman" w:hAnsi="Times New Roman" w:cs="Times New Roman"/>
          <w:bCs/>
          <w:sz w:val="24"/>
          <w:szCs w:val="24"/>
        </w:rPr>
        <w:t>internetu nebo hlasov</w:t>
      </w:r>
      <w:r w:rsidR="00C84735">
        <w:rPr>
          <w:rFonts w:ascii="Times New Roman" w:hAnsi="Times New Roman" w:cs="Times New Roman"/>
          <w:bCs/>
          <w:sz w:val="24"/>
          <w:szCs w:val="24"/>
        </w:rPr>
        <w:t>á</w:t>
      </w:r>
      <w:r w:rsidR="0066184D" w:rsidRPr="0066184D">
        <w:rPr>
          <w:rFonts w:ascii="Times New Roman" w:hAnsi="Times New Roman" w:cs="Times New Roman"/>
          <w:bCs/>
          <w:sz w:val="24"/>
          <w:szCs w:val="24"/>
        </w:rPr>
        <w:t xml:space="preserve"> komunikační služb</w:t>
      </w:r>
      <w:r w:rsidR="00C84735">
        <w:rPr>
          <w:rFonts w:ascii="Times New Roman" w:hAnsi="Times New Roman" w:cs="Times New Roman"/>
          <w:bCs/>
          <w:sz w:val="24"/>
          <w:szCs w:val="24"/>
        </w:rPr>
        <w:t>a</w:t>
      </w:r>
      <w:r w:rsidR="0066184D" w:rsidRPr="0066184D">
        <w:rPr>
          <w:rFonts w:ascii="Times New Roman" w:hAnsi="Times New Roman" w:cs="Times New Roman"/>
          <w:sz w:val="24"/>
          <w:szCs w:val="24"/>
        </w:rPr>
        <w:t xml:space="preserve"> </w:t>
      </w:r>
      <w:r w:rsidR="0046280A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46280A">
        <w:rPr>
          <w:rFonts w:ascii="Times New Roman" w:hAnsi="Times New Roman" w:cs="Times New Roman"/>
          <w:sz w:val="24"/>
          <w:szCs w:val="24"/>
        </w:rPr>
        <w:t>pevném místě</w:t>
      </w:r>
      <w:r w:rsidRPr="001F19B2">
        <w:rPr>
          <w:rFonts w:ascii="Times New Roman" w:hAnsi="Times New Roman" w:cs="Times New Roman"/>
          <w:sz w:val="24"/>
          <w:szCs w:val="24"/>
        </w:rPr>
        <w:t>,</w:t>
      </w:r>
    </w:p>
    <w:p w14:paraId="31B6C23B" w14:textId="77777777" w:rsidR="004F1C08" w:rsidRPr="001F19B2" w:rsidRDefault="004F1C08" w:rsidP="001F1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9B2">
        <w:rPr>
          <w:rFonts w:ascii="Times New Roman" w:hAnsi="Times New Roman" w:cs="Times New Roman"/>
          <w:sz w:val="24"/>
          <w:szCs w:val="24"/>
        </w:rPr>
        <w:t xml:space="preserve">b) </w:t>
      </w:r>
      <w:r w:rsidR="006E4E25" w:rsidRPr="001F19B2">
        <w:rPr>
          <w:rFonts w:ascii="Times New Roman" w:hAnsi="Times New Roman" w:cs="Times New Roman"/>
          <w:sz w:val="24"/>
          <w:szCs w:val="24"/>
        </w:rPr>
        <w:t>četnost poruc</w:t>
      </w:r>
      <w:r w:rsidR="0055396D" w:rsidRPr="001F19B2">
        <w:rPr>
          <w:rFonts w:ascii="Times New Roman" w:hAnsi="Times New Roman" w:cs="Times New Roman"/>
          <w:sz w:val="24"/>
          <w:szCs w:val="24"/>
        </w:rPr>
        <w:t>h</w:t>
      </w:r>
      <w:r w:rsidR="006819AB" w:rsidRPr="007F29C6">
        <w:rPr>
          <w:rFonts w:ascii="Times New Roman" w:hAnsi="Times New Roman" w:cs="Times New Roman"/>
          <w:bCs/>
          <w:sz w:val="24"/>
          <w:szCs w:val="24"/>
        </w:rPr>
        <w:t>,</w:t>
      </w:r>
      <w:r w:rsidR="00CE7915" w:rsidRPr="007F29C6">
        <w:rPr>
          <w:rFonts w:ascii="Times New Roman" w:hAnsi="Times New Roman" w:cs="Times New Roman"/>
          <w:sz w:val="24"/>
          <w:szCs w:val="24"/>
        </w:rPr>
        <w:t> </w:t>
      </w:r>
    </w:p>
    <w:p w14:paraId="006B1046" w14:textId="77777777" w:rsidR="000346D3" w:rsidRDefault="004F1C08" w:rsidP="00436C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9B2">
        <w:rPr>
          <w:rFonts w:ascii="Times New Roman" w:hAnsi="Times New Roman" w:cs="Times New Roman"/>
          <w:sz w:val="24"/>
          <w:szCs w:val="24"/>
        </w:rPr>
        <w:t xml:space="preserve">c) </w:t>
      </w:r>
      <w:r w:rsidR="006E4E25" w:rsidRPr="001F19B2">
        <w:rPr>
          <w:rFonts w:ascii="Times New Roman" w:hAnsi="Times New Roman" w:cs="Times New Roman"/>
          <w:sz w:val="24"/>
          <w:szCs w:val="24"/>
        </w:rPr>
        <w:t>doba, za kterou je porucha odstraněna</w:t>
      </w:r>
      <w:r w:rsidR="000346D3">
        <w:rPr>
          <w:rFonts w:ascii="Times New Roman" w:hAnsi="Times New Roman" w:cs="Times New Roman"/>
          <w:sz w:val="24"/>
          <w:szCs w:val="24"/>
        </w:rPr>
        <w:t>,</w:t>
      </w:r>
    </w:p>
    <w:p w14:paraId="4B461013" w14:textId="738F89A4" w:rsidR="000A3BBF" w:rsidRPr="000A3BBF" w:rsidRDefault="000346D3" w:rsidP="00436C17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četnost reklamací na vyúčtování ceny</w:t>
      </w:r>
      <w:r w:rsidR="0055396D" w:rsidRPr="006D57A0">
        <w:rPr>
          <w:rFonts w:ascii="Times New Roman" w:hAnsi="Times New Roman" w:cs="Times New Roman"/>
          <w:sz w:val="24"/>
          <w:szCs w:val="24"/>
        </w:rPr>
        <w:t>.</w:t>
      </w:r>
      <w:r w:rsidR="000A3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E37D0C" w14:textId="0C705B7E" w:rsidR="000D28AB" w:rsidRDefault="0030662A" w:rsidP="001F1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9B2">
        <w:rPr>
          <w:rFonts w:ascii="Times New Roman" w:hAnsi="Times New Roman" w:cs="Times New Roman"/>
          <w:sz w:val="24"/>
          <w:szCs w:val="24"/>
        </w:rPr>
        <w:tab/>
      </w:r>
    </w:p>
    <w:p w14:paraId="07410E87" w14:textId="62CF3582" w:rsidR="0055396D" w:rsidRPr="001F19B2" w:rsidRDefault="0030662A" w:rsidP="000D28A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9B2">
        <w:rPr>
          <w:rFonts w:ascii="Times New Roman" w:hAnsi="Times New Roman" w:cs="Times New Roman"/>
          <w:sz w:val="24"/>
          <w:szCs w:val="24"/>
        </w:rPr>
        <w:t>(</w:t>
      </w:r>
      <w:r w:rsidR="000346D3">
        <w:rPr>
          <w:rFonts w:ascii="Times New Roman" w:hAnsi="Times New Roman" w:cs="Times New Roman"/>
          <w:sz w:val="24"/>
          <w:szCs w:val="24"/>
        </w:rPr>
        <w:t>2</w:t>
      </w:r>
      <w:r w:rsidRPr="001F19B2">
        <w:rPr>
          <w:rFonts w:ascii="Times New Roman" w:hAnsi="Times New Roman" w:cs="Times New Roman"/>
          <w:sz w:val="24"/>
          <w:szCs w:val="24"/>
        </w:rPr>
        <w:t>) Parametr</w:t>
      </w:r>
      <w:r w:rsidR="00C91F82">
        <w:rPr>
          <w:rFonts w:ascii="Times New Roman" w:hAnsi="Times New Roman" w:cs="Times New Roman"/>
          <w:sz w:val="24"/>
          <w:szCs w:val="24"/>
        </w:rPr>
        <w:t>em</w:t>
      </w:r>
      <w:r w:rsidRPr="001F19B2">
        <w:rPr>
          <w:rFonts w:ascii="Times New Roman" w:hAnsi="Times New Roman" w:cs="Times New Roman"/>
          <w:sz w:val="24"/>
          <w:szCs w:val="24"/>
        </w:rPr>
        <w:t xml:space="preserve"> kvality</w:t>
      </w:r>
      <w:r w:rsidR="00917FD7">
        <w:rPr>
          <w:rFonts w:ascii="Times New Roman" w:hAnsi="Times New Roman" w:cs="Times New Roman"/>
          <w:sz w:val="24"/>
          <w:szCs w:val="24"/>
        </w:rPr>
        <w:t xml:space="preserve"> služby</w:t>
      </w:r>
      <w:r w:rsidRPr="001F19B2">
        <w:rPr>
          <w:rFonts w:ascii="Times New Roman" w:hAnsi="Times New Roman" w:cs="Times New Roman"/>
          <w:sz w:val="24"/>
          <w:szCs w:val="24"/>
        </w:rPr>
        <w:t xml:space="preserve"> přístupu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1F19B2">
        <w:rPr>
          <w:rFonts w:ascii="Times New Roman" w:hAnsi="Times New Roman" w:cs="Times New Roman"/>
          <w:sz w:val="24"/>
          <w:szCs w:val="24"/>
        </w:rPr>
        <w:t xml:space="preserve">internetu </w:t>
      </w:r>
      <w:r w:rsidR="00D77D9C">
        <w:rPr>
          <w:rFonts w:ascii="Times New Roman" w:hAnsi="Times New Roman" w:cs="Times New Roman"/>
          <w:sz w:val="24"/>
          <w:szCs w:val="24"/>
        </w:rPr>
        <w:t>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D77D9C">
        <w:rPr>
          <w:rFonts w:ascii="Times New Roman" w:hAnsi="Times New Roman" w:cs="Times New Roman"/>
          <w:sz w:val="24"/>
          <w:szCs w:val="24"/>
        </w:rPr>
        <w:t xml:space="preserve">pevném místě </w:t>
      </w:r>
      <w:r w:rsidR="0046280A">
        <w:rPr>
          <w:rFonts w:ascii="Times New Roman" w:hAnsi="Times New Roman" w:cs="Times New Roman"/>
          <w:sz w:val="24"/>
          <w:szCs w:val="24"/>
        </w:rPr>
        <w:t xml:space="preserve">dále </w:t>
      </w:r>
      <w:r w:rsidRPr="001F19B2">
        <w:rPr>
          <w:rFonts w:ascii="Times New Roman" w:hAnsi="Times New Roman" w:cs="Times New Roman"/>
          <w:sz w:val="24"/>
          <w:szCs w:val="24"/>
        </w:rPr>
        <w:t>j</w:t>
      </w:r>
      <w:r w:rsidR="000D28AB">
        <w:rPr>
          <w:rFonts w:ascii="Times New Roman" w:hAnsi="Times New Roman" w:cs="Times New Roman"/>
          <w:sz w:val="24"/>
          <w:szCs w:val="24"/>
        </w:rPr>
        <w:t>e</w:t>
      </w:r>
    </w:p>
    <w:p w14:paraId="65D70A5C" w14:textId="5D09F2AA" w:rsidR="0030662A" w:rsidRPr="001F19B2" w:rsidRDefault="0030662A" w:rsidP="001F19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9B2">
        <w:rPr>
          <w:rFonts w:ascii="Times New Roman" w:hAnsi="Times New Roman" w:cs="Times New Roman"/>
          <w:sz w:val="24"/>
          <w:szCs w:val="24"/>
        </w:rPr>
        <w:t>a</w:t>
      </w:r>
      <w:r w:rsidR="004F1C08" w:rsidRPr="001F19B2">
        <w:rPr>
          <w:rFonts w:ascii="Times New Roman" w:hAnsi="Times New Roman" w:cs="Times New Roman"/>
          <w:sz w:val="24"/>
          <w:szCs w:val="24"/>
        </w:rPr>
        <w:t xml:space="preserve">) </w:t>
      </w:r>
      <w:r w:rsidR="000D28AB" w:rsidRPr="00C9268A">
        <w:rPr>
          <w:rFonts w:ascii="Times New Roman" w:hAnsi="Times New Roman" w:cs="Times New Roman"/>
          <w:bCs/>
          <w:sz w:val="24"/>
          <w:szCs w:val="24"/>
        </w:rPr>
        <w:t>b</w:t>
      </w:r>
      <w:r w:rsidR="00222AB6" w:rsidRPr="00C9268A">
        <w:rPr>
          <w:rFonts w:ascii="Times New Roman" w:hAnsi="Times New Roman" w:cs="Times New Roman"/>
          <w:bCs/>
          <w:sz w:val="24"/>
          <w:szCs w:val="24"/>
        </w:rPr>
        <w:t xml:space="preserve">ěžně dostupná </w:t>
      </w:r>
      <w:r w:rsidR="006E4E25" w:rsidRPr="001F19B2">
        <w:rPr>
          <w:rFonts w:ascii="Times New Roman" w:hAnsi="Times New Roman" w:cs="Times New Roman"/>
          <w:sz w:val="24"/>
          <w:szCs w:val="24"/>
        </w:rPr>
        <w:t xml:space="preserve">rychlost </w:t>
      </w:r>
      <w:r w:rsidRPr="001F19B2">
        <w:rPr>
          <w:rFonts w:ascii="Times New Roman" w:hAnsi="Times New Roman" w:cs="Times New Roman"/>
          <w:sz w:val="24"/>
          <w:szCs w:val="24"/>
        </w:rPr>
        <w:t>přenosu dat</w:t>
      </w:r>
      <w:r w:rsidR="00D03AF8" w:rsidRPr="00D03AF8">
        <w:t xml:space="preserve"> </w:t>
      </w:r>
      <w:r w:rsidR="00D03AF8">
        <w:t>(</w:t>
      </w:r>
      <w:r w:rsidR="00D03AF8" w:rsidRPr="00D03AF8">
        <w:rPr>
          <w:rFonts w:ascii="Times New Roman" w:hAnsi="Times New Roman" w:cs="Times New Roman"/>
          <w:sz w:val="24"/>
          <w:szCs w:val="24"/>
        </w:rPr>
        <w:t xml:space="preserve">stahování </w:t>
      </w:r>
      <w:r w:rsidR="00F523BD">
        <w:rPr>
          <w:rFonts w:ascii="Times New Roman" w:hAnsi="Times New Roman" w:cs="Times New Roman"/>
          <w:sz w:val="24"/>
          <w:szCs w:val="24"/>
        </w:rPr>
        <w:t>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F523BD">
        <w:rPr>
          <w:rFonts w:ascii="Times New Roman" w:hAnsi="Times New Roman" w:cs="Times New Roman"/>
          <w:sz w:val="24"/>
          <w:szCs w:val="24"/>
        </w:rPr>
        <w:t>vkládání dat</w:t>
      </w:r>
      <w:r w:rsidR="00D03AF8">
        <w:rPr>
          <w:rFonts w:ascii="Times New Roman" w:hAnsi="Times New Roman" w:cs="Times New Roman"/>
          <w:sz w:val="24"/>
          <w:szCs w:val="24"/>
        </w:rPr>
        <w:t>)</w:t>
      </w:r>
      <w:r w:rsidRPr="001F19B2">
        <w:rPr>
          <w:rFonts w:ascii="Times New Roman" w:hAnsi="Times New Roman" w:cs="Times New Roman"/>
          <w:sz w:val="24"/>
          <w:szCs w:val="24"/>
        </w:rPr>
        <w:t>,</w:t>
      </w:r>
    </w:p>
    <w:p w14:paraId="05B569E8" w14:textId="728BBBDE" w:rsidR="000D28AB" w:rsidRPr="00613523" w:rsidRDefault="0030662A" w:rsidP="001F19B2">
      <w:pPr>
        <w:spacing w:after="120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eastAsia="cs-CZ"/>
        </w:rPr>
      </w:pPr>
      <w:r w:rsidRPr="001F19B2">
        <w:rPr>
          <w:rFonts w:ascii="Times New Roman" w:hAnsi="Times New Roman" w:cs="Times New Roman"/>
          <w:sz w:val="24"/>
          <w:szCs w:val="24"/>
        </w:rPr>
        <w:t xml:space="preserve">b) </w:t>
      </w:r>
      <w:r w:rsidR="0086680D">
        <w:rPr>
          <w:rFonts w:ascii="Times New Roman" w:hAnsi="Times New Roman" w:cs="Times New Roman"/>
          <w:sz w:val="24"/>
          <w:szCs w:val="24"/>
        </w:rPr>
        <w:t>zpoždění</w:t>
      </w:r>
      <w:r w:rsidR="0086680D" w:rsidRPr="001F19B2">
        <w:rPr>
          <w:rFonts w:ascii="Times New Roman" w:hAnsi="Times New Roman" w:cs="Times New Roman"/>
          <w:sz w:val="24"/>
          <w:szCs w:val="24"/>
        </w:rPr>
        <w:t xml:space="preserve"> </w:t>
      </w:r>
      <w:r w:rsidR="006E4E25" w:rsidRPr="001F19B2">
        <w:rPr>
          <w:rFonts w:ascii="Times New Roman" w:hAnsi="Times New Roman" w:cs="Times New Roman"/>
          <w:sz w:val="24"/>
          <w:szCs w:val="24"/>
        </w:rPr>
        <w:t>služby přístup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6E4E25" w:rsidRPr="001F19B2">
        <w:rPr>
          <w:rFonts w:ascii="Times New Roman" w:hAnsi="Times New Roman" w:cs="Times New Roman"/>
          <w:sz w:val="24"/>
          <w:szCs w:val="24"/>
        </w:rPr>
        <w:t>internetu</w:t>
      </w:r>
      <w:r w:rsidR="00A726C3" w:rsidRPr="000302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AC8DC6" w14:textId="77777777" w:rsidR="0030662A" w:rsidRPr="0095608A" w:rsidRDefault="0030662A" w:rsidP="001F19B2">
      <w:pPr>
        <w:keepNext/>
        <w:keepLines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560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lastRenderedPageBreak/>
        <w:t>§ 4</w:t>
      </w:r>
    </w:p>
    <w:p w14:paraId="45C7AA03" w14:textId="039A4342" w:rsidR="004F1C08" w:rsidRPr="00CE7915" w:rsidRDefault="004F1C08" w:rsidP="00CE79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="0030662A"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1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) Doba, za kterou je </w:t>
      </w:r>
      <w:r w:rsidR="0036198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zprovozněna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6E0EB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</w:t>
      </w:r>
      <w:r w:rsidR="0036198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</w:t>
      </w:r>
      <w:r w:rsidR="006E0EB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přístup</w:t>
      </w:r>
      <w:r w:rsidR="00C91F8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u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7579A0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přístupu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hlasové komunikační službě</w:t>
      </w:r>
      <w:r w:rsidR="00D77D9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D77D9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pevném místě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</w:t>
      </w:r>
      <w:r w:rsidR="00881C3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je doba ode dne, kdy spotřebitel podal </w:t>
      </w:r>
      <w:r w:rsidR="00637F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závaznou </w:t>
      </w:r>
      <w:r w:rsidR="0019304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objednávku služb</w:t>
      </w:r>
      <w:r w:rsidR="00637F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y</w:t>
      </w:r>
      <w:r w:rsidR="0019304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podle § 40 odst. 1 nebo odst. 3 zákona o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19304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elektronických komunikacích</w:t>
      </w:r>
      <w:r w:rsidR="003D3D0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do okamžiku </w:t>
      </w:r>
      <w:r w:rsidR="00637F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zahájení </w:t>
      </w:r>
      <w:r w:rsidR="003D3D0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posky</w:t>
      </w:r>
      <w:r w:rsidR="00DA51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t</w:t>
      </w:r>
      <w:r w:rsidR="00637F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ování</w:t>
      </w:r>
      <w:r w:rsidR="003D3D0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služby</w:t>
      </w:r>
      <w:r w:rsidRPr="00CE7915">
        <w:rPr>
          <w:rFonts w:ascii="Times New Roman" w:hAnsi="Times New Roman" w:cs="Times New Roman"/>
          <w:sz w:val="24"/>
          <w:szCs w:val="24"/>
        </w:rPr>
        <w:t>.</w:t>
      </w:r>
      <w:r w:rsidR="00883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22110" w14:textId="0CC38F0F" w:rsidR="0030662A" w:rsidRPr="00CE7915" w:rsidRDefault="0030662A" w:rsidP="00CE79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915">
        <w:rPr>
          <w:rFonts w:ascii="Times New Roman" w:hAnsi="Times New Roman" w:cs="Times New Roman"/>
          <w:sz w:val="24"/>
          <w:szCs w:val="24"/>
        </w:rPr>
        <w:t>(2) Četnost poruch je poměr počtu</w:t>
      </w:r>
      <w:r w:rsidR="006C40B3">
        <w:rPr>
          <w:rFonts w:ascii="Times New Roman" w:hAnsi="Times New Roman" w:cs="Times New Roman"/>
          <w:sz w:val="24"/>
          <w:szCs w:val="24"/>
        </w:rPr>
        <w:t xml:space="preserve"> důvodných</w:t>
      </w:r>
      <w:r w:rsidRPr="00CE7915">
        <w:rPr>
          <w:rFonts w:ascii="Times New Roman" w:hAnsi="Times New Roman" w:cs="Times New Roman"/>
          <w:sz w:val="24"/>
          <w:szCs w:val="24"/>
        </w:rPr>
        <w:t xml:space="preserve"> hlášení </w:t>
      </w:r>
      <w:r w:rsidR="00EA57B2">
        <w:rPr>
          <w:rFonts w:ascii="Times New Roman" w:hAnsi="Times New Roman" w:cs="Times New Roman"/>
          <w:sz w:val="24"/>
          <w:szCs w:val="24"/>
        </w:rPr>
        <w:t>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EA57B2">
        <w:rPr>
          <w:rFonts w:ascii="Times New Roman" w:hAnsi="Times New Roman" w:cs="Times New Roman"/>
          <w:sz w:val="24"/>
          <w:szCs w:val="24"/>
        </w:rPr>
        <w:t xml:space="preserve">poruše týkajících se </w:t>
      </w:r>
      <w:r w:rsidRPr="00CE7915">
        <w:rPr>
          <w:rFonts w:ascii="Times New Roman" w:hAnsi="Times New Roman" w:cs="Times New Roman"/>
          <w:sz w:val="24"/>
          <w:szCs w:val="24"/>
        </w:rPr>
        <w:t xml:space="preserve">zhoršení kvality služby nebo přerušení </w:t>
      </w:r>
      <w:r w:rsidR="00EA57B2">
        <w:rPr>
          <w:rFonts w:ascii="Times New Roman" w:hAnsi="Times New Roman" w:cs="Times New Roman"/>
          <w:sz w:val="24"/>
          <w:szCs w:val="24"/>
        </w:rPr>
        <w:t xml:space="preserve">jejího poskytování </w:t>
      </w:r>
      <w:r w:rsidRPr="00CE7915">
        <w:rPr>
          <w:rFonts w:ascii="Times New Roman" w:hAnsi="Times New Roman" w:cs="Times New Roman"/>
          <w:sz w:val="24"/>
          <w:szCs w:val="24"/>
        </w:rPr>
        <w:t>podaných spotřebiteli vztažený</w:t>
      </w:r>
      <w:r w:rsidR="009A09B9">
        <w:rPr>
          <w:rFonts w:ascii="Times New Roman" w:hAnsi="Times New Roman" w:cs="Times New Roman"/>
          <w:sz w:val="24"/>
          <w:szCs w:val="24"/>
        </w:rPr>
        <w:t xml:space="preserve">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9A09B9">
        <w:rPr>
          <w:rFonts w:ascii="Times New Roman" w:hAnsi="Times New Roman" w:cs="Times New Roman"/>
          <w:sz w:val="24"/>
          <w:szCs w:val="24"/>
        </w:rPr>
        <w:t xml:space="preserve">celkovému počtu </w:t>
      </w:r>
      <w:r w:rsidR="00361981">
        <w:rPr>
          <w:rFonts w:ascii="Times New Roman" w:hAnsi="Times New Roman" w:cs="Times New Roman"/>
          <w:sz w:val="24"/>
          <w:szCs w:val="24"/>
        </w:rPr>
        <w:t xml:space="preserve">aktivních </w:t>
      </w:r>
      <w:r w:rsidR="009A09B9">
        <w:rPr>
          <w:rFonts w:ascii="Times New Roman" w:hAnsi="Times New Roman" w:cs="Times New Roman"/>
          <w:sz w:val="24"/>
          <w:szCs w:val="24"/>
        </w:rPr>
        <w:t>připojení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E7915">
        <w:rPr>
          <w:rFonts w:ascii="Times New Roman" w:hAnsi="Times New Roman" w:cs="Times New Roman"/>
          <w:sz w:val="24"/>
          <w:szCs w:val="24"/>
        </w:rPr>
        <w:t>sít</w:t>
      </w:r>
      <w:r w:rsidR="009A09B9">
        <w:rPr>
          <w:rFonts w:ascii="Times New Roman" w:hAnsi="Times New Roman" w:cs="Times New Roman"/>
          <w:sz w:val="24"/>
          <w:szCs w:val="24"/>
        </w:rPr>
        <w:t>i</w:t>
      </w:r>
      <w:r w:rsidR="003602F8">
        <w:rPr>
          <w:rFonts w:ascii="Times New Roman" w:hAnsi="Times New Roman" w:cs="Times New Roman"/>
          <w:sz w:val="24"/>
          <w:szCs w:val="24"/>
        </w:rPr>
        <w:t xml:space="preserve"> poskytovatele univerzální služby</w:t>
      </w:r>
      <w:r w:rsidRPr="00CE7915">
        <w:rPr>
          <w:rFonts w:ascii="Times New Roman" w:hAnsi="Times New Roman" w:cs="Times New Roman"/>
          <w:sz w:val="24"/>
          <w:szCs w:val="24"/>
        </w:rPr>
        <w:t xml:space="preserve">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EA57B2">
        <w:rPr>
          <w:rFonts w:ascii="Times New Roman" w:hAnsi="Times New Roman" w:cs="Times New Roman"/>
          <w:sz w:val="24"/>
          <w:szCs w:val="24"/>
        </w:rPr>
        <w:t>určeném</w:t>
      </w:r>
      <w:r w:rsidRPr="00CE7915">
        <w:rPr>
          <w:rFonts w:ascii="Times New Roman" w:hAnsi="Times New Roman" w:cs="Times New Roman"/>
          <w:sz w:val="24"/>
          <w:szCs w:val="24"/>
        </w:rPr>
        <w:t xml:space="preserve"> časovém období; poruchy </w:t>
      </w:r>
      <w:r w:rsidR="00EE7F9A" w:rsidRPr="00CE7915">
        <w:rPr>
          <w:rFonts w:ascii="Times New Roman" w:hAnsi="Times New Roman" w:cs="Times New Roman"/>
          <w:sz w:val="24"/>
          <w:szCs w:val="24"/>
        </w:rPr>
        <w:t xml:space="preserve">telekomunikačních </w:t>
      </w:r>
      <w:r w:rsidRPr="00CE7915">
        <w:rPr>
          <w:rFonts w:ascii="Times New Roman" w:hAnsi="Times New Roman" w:cs="Times New Roman"/>
          <w:sz w:val="24"/>
          <w:szCs w:val="24"/>
        </w:rPr>
        <w:t xml:space="preserve">koncových zařízení připojených ke koncovému bodu sítě se nezapočítají. </w:t>
      </w:r>
    </w:p>
    <w:p w14:paraId="734B32D5" w14:textId="18ABF24A" w:rsidR="0030662A" w:rsidRPr="00CE7915" w:rsidRDefault="0030662A" w:rsidP="00CE79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915">
        <w:rPr>
          <w:rFonts w:ascii="Times New Roman" w:hAnsi="Times New Roman" w:cs="Times New Roman"/>
          <w:sz w:val="24"/>
          <w:szCs w:val="24"/>
        </w:rPr>
        <w:t xml:space="preserve">(3) Doba, za kterou je porucha odstraněna, je doba od okamžiku nahlášení poruchy </w:t>
      </w:r>
      <w:r w:rsidR="00E63355">
        <w:rPr>
          <w:rFonts w:ascii="Times New Roman" w:hAnsi="Times New Roman" w:cs="Times New Roman"/>
          <w:sz w:val="24"/>
          <w:szCs w:val="24"/>
        </w:rPr>
        <w:t xml:space="preserve">podle odstavce 2 </w:t>
      </w:r>
      <w:r w:rsidRPr="00CE7915">
        <w:rPr>
          <w:rFonts w:ascii="Times New Roman" w:hAnsi="Times New Roman" w:cs="Times New Roman"/>
          <w:sz w:val="24"/>
          <w:szCs w:val="24"/>
        </w:rPr>
        <w:t xml:space="preserve">spotřebitelem poskytovateli </w:t>
      </w:r>
      <w:r w:rsidR="00D77D9C">
        <w:rPr>
          <w:rFonts w:ascii="Times New Roman" w:hAnsi="Times New Roman" w:cs="Times New Roman"/>
          <w:sz w:val="24"/>
          <w:szCs w:val="24"/>
        </w:rPr>
        <w:t xml:space="preserve">služby </w:t>
      </w:r>
      <w:r w:rsidR="00C91F82" w:rsidRPr="00C91F82">
        <w:rPr>
          <w:rFonts w:ascii="Times New Roman" w:hAnsi="Times New Roman" w:cs="Times New Roman"/>
          <w:sz w:val="24"/>
          <w:szCs w:val="24"/>
        </w:rPr>
        <w:t>přístupu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C91F82" w:rsidRPr="00C91F82">
        <w:rPr>
          <w:rFonts w:ascii="Times New Roman" w:hAnsi="Times New Roman" w:cs="Times New Roman"/>
          <w:sz w:val="24"/>
          <w:szCs w:val="24"/>
        </w:rPr>
        <w:t>internetu nebo poskytovateli hlasové komunikační služby</w:t>
      </w:r>
      <w:r w:rsidR="00C91F82">
        <w:rPr>
          <w:rFonts w:ascii="Times New Roman" w:hAnsi="Times New Roman" w:cs="Times New Roman"/>
          <w:sz w:val="24"/>
          <w:szCs w:val="24"/>
        </w:rPr>
        <w:t xml:space="preserve"> </w:t>
      </w:r>
      <w:r w:rsidRPr="00CE7915">
        <w:rPr>
          <w:rFonts w:ascii="Times New Roman" w:hAnsi="Times New Roman" w:cs="Times New Roman"/>
          <w:sz w:val="24"/>
          <w:szCs w:val="24"/>
        </w:rPr>
        <w:t>nebo od okamžiku, kdy se poskytovatel o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E7915">
        <w:rPr>
          <w:rFonts w:ascii="Times New Roman" w:hAnsi="Times New Roman" w:cs="Times New Roman"/>
          <w:sz w:val="24"/>
          <w:szCs w:val="24"/>
        </w:rPr>
        <w:t xml:space="preserve">poruše dozvěděl, do okamžiku </w:t>
      </w:r>
      <w:r w:rsidR="00E63355">
        <w:rPr>
          <w:rFonts w:ascii="Times New Roman" w:hAnsi="Times New Roman" w:cs="Times New Roman"/>
          <w:sz w:val="24"/>
          <w:szCs w:val="24"/>
        </w:rPr>
        <w:t xml:space="preserve">obnovení služby </w:t>
      </w:r>
      <w:r w:rsidR="00146BC3">
        <w:rPr>
          <w:rFonts w:ascii="Times New Roman" w:hAnsi="Times New Roman" w:cs="Times New Roman"/>
          <w:sz w:val="24"/>
          <w:szCs w:val="24"/>
        </w:rPr>
        <w:t>s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146BC3">
        <w:rPr>
          <w:rFonts w:ascii="Times New Roman" w:hAnsi="Times New Roman" w:cs="Times New Roman"/>
          <w:sz w:val="24"/>
          <w:szCs w:val="24"/>
        </w:rPr>
        <w:t>parametry uvedenými ve smlouvě</w:t>
      </w:r>
      <w:r w:rsidRPr="00CE7915">
        <w:rPr>
          <w:rFonts w:ascii="Times New Roman" w:hAnsi="Times New Roman" w:cs="Times New Roman"/>
          <w:sz w:val="24"/>
          <w:szCs w:val="24"/>
        </w:rPr>
        <w:t>.</w:t>
      </w:r>
    </w:p>
    <w:p w14:paraId="26EA1549" w14:textId="7240BA7D" w:rsidR="0030662A" w:rsidRPr="00CE7915" w:rsidRDefault="0030662A" w:rsidP="00CE79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="007F29C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4</w:t>
      </w:r>
      <w:r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) Četnost reklamací na</w:t>
      </w:r>
      <w:r w:rsidRPr="00CE7915">
        <w:rPr>
          <w:rFonts w:ascii="Times New Roman" w:hAnsi="Times New Roman" w:cs="Times New Roman"/>
          <w:sz w:val="24"/>
          <w:szCs w:val="24"/>
        </w:rPr>
        <w:t xml:space="preserve"> vyúčtování ceny za využívání služby přístupu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E7915">
        <w:rPr>
          <w:rFonts w:ascii="Times New Roman" w:hAnsi="Times New Roman" w:cs="Times New Roman"/>
          <w:sz w:val="24"/>
          <w:szCs w:val="24"/>
        </w:rPr>
        <w:t>internetu a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E7915">
        <w:rPr>
          <w:rFonts w:ascii="Times New Roman" w:hAnsi="Times New Roman" w:cs="Times New Roman"/>
          <w:sz w:val="24"/>
          <w:szCs w:val="24"/>
        </w:rPr>
        <w:t xml:space="preserve">využívání hlasové komunikační služby je poměr počtu </w:t>
      </w:r>
      <w:r w:rsidR="00EC0ECC">
        <w:rPr>
          <w:rFonts w:ascii="Times New Roman" w:hAnsi="Times New Roman" w:cs="Times New Roman"/>
          <w:sz w:val="24"/>
          <w:szCs w:val="24"/>
        </w:rPr>
        <w:t xml:space="preserve">oprávněných </w:t>
      </w:r>
      <w:r w:rsidRPr="00CE7915">
        <w:rPr>
          <w:rFonts w:ascii="Times New Roman" w:hAnsi="Times New Roman" w:cs="Times New Roman"/>
          <w:sz w:val="24"/>
          <w:szCs w:val="24"/>
        </w:rPr>
        <w:t>reklamací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E7915">
        <w:rPr>
          <w:rFonts w:ascii="Times New Roman" w:hAnsi="Times New Roman" w:cs="Times New Roman"/>
          <w:sz w:val="24"/>
          <w:szCs w:val="24"/>
        </w:rPr>
        <w:t>celkovému počtu všech vystavených vyúčtování v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="00EA57B2">
        <w:rPr>
          <w:rFonts w:ascii="Times New Roman" w:hAnsi="Times New Roman" w:cs="Times New Roman"/>
          <w:sz w:val="24"/>
          <w:szCs w:val="24"/>
        </w:rPr>
        <w:t>určeném</w:t>
      </w:r>
      <w:r w:rsidRPr="00CE7915">
        <w:rPr>
          <w:rFonts w:ascii="Times New Roman" w:hAnsi="Times New Roman" w:cs="Times New Roman"/>
          <w:sz w:val="24"/>
          <w:szCs w:val="24"/>
        </w:rPr>
        <w:t xml:space="preserve"> období.</w:t>
      </w:r>
    </w:p>
    <w:p w14:paraId="7D3F4764" w14:textId="6F470CD0" w:rsidR="0030662A" w:rsidRPr="00F66807" w:rsidRDefault="004F1C08" w:rsidP="00F66807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915">
        <w:rPr>
          <w:rFonts w:ascii="Times New Roman" w:hAnsi="Times New Roman" w:cs="Times New Roman"/>
          <w:sz w:val="24"/>
          <w:szCs w:val="24"/>
        </w:rPr>
        <w:t>(</w:t>
      </w:r>
      <w:r w:rsidR="007F29C6">
        <w:rPr>
          <w:rFonts w:ascii="Times New Roman" w:hAnsi="Times New Roman" w:cs="Times New Roman"/>
          <w:sz w:val="24"/>
          <w:szCs w:val="24"/>
        </w:rPr>
        <w:t>5</w:t>
      </w:r>
      <w:r w:rsidRPr="00CE7915">
        <w:rPr>
          <w:rFonts w:ascii="Times New Roman" w:hAnsi="Times New Roman" w:cs="Times New Roman"/>
          <w:sz w:val="24"/>
          <w:szCs w:val="24"/>
        </w:rPr>
        <w:t xml:space="preserve">) </w:t>
      </w:r>
      <w:r w:rsidR="001365C3" w:rsidRPr="00C9268A">
        <w:rPr>
          <w:rFonts w:ascii="Times New Roman" w:hAnsi="Times New Roman" w:cs="Times New Roman"/>
          <w:bCs/>
          <w:sz w:val="24"/>
          <w:szCs w:val="24"/>
        </w:rPr>
        <w:t xml:space="preserve">Běžně dostupná </w:t>
      </w:r>
      <w:r w:rsidR="009C247B" w:rsidRPr="00C9268A">
        <w:rPr>
          <w:rFonts w:ascii="Times New Roman" w:hAnsi="Times New Roman" w:cs="Times New Roman"/>
          <w:bCs/>
          <w:sz w:val="24"/>
          <w:szCs w:val="24"/>
        </w:rPr>
        <w:t>r</w:t>
      </w:r>
      <w:r w:rsidRPr="00C9268A">
        <w:rPr>
          <w:rFonts w:ascii="Times New Roman" w:hAnsi="Times New Roman" w:cs="Times New Roman"/>
          <w:bCs/>
          <w:sz w:val="24"/>
          <w:szCs w:val="24"/>
        </w:rPr>
        <w:t>ychlost</w:t>
      </w:r>
      <w:r w:rsidRPr="00C9268A">
        <w:rPr>
          <w:rFonts w:ascii="Times New Roman" w:hAnsi="Times New Roman" w:cs="Times New Roman"/>
          <w:sz w:val="24"/>
          <w:szCs w:val="24"/>
        </w:rPr>
        <w:t xml:space="preserve"> služby přístupu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 w:rsidRPr="00C9268A">
        <w:rPr>
          <w:rFonts w:ascii="Times New Roman" w:hAnsi="Times New Roman" w:cs="Times New Roman"/>
          <w:sz w:val="24"/>
          <w:szCs w:val="24"/>
        </w:rPr>
        <w:t xml:space="preserve">internetu je </w:t>
      </w:r>
      <w:r w:rsidR="009C247B" w:rsidRPr="00C9268A">
        <w:rPr>
          <w:rFonts w:ascii="Times New Roman" w:hAnsi="Times New Roman" w:cs="Times New Roman"/>
          <w:sz w:val="24"/>
          <w:szCs w:val="24"/>
        </w:rPr>
        <w:t xml:space="preserve">definována </w:t>
      </w:r>
      <w:r w:rsidR="00B9612D" w:rsidRPr="00C9268A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 xml:space="preserve">rychlost odpovídající stahování </w:t>
      </w:r>
      <w:r w:rsidR="00903320" w:rsidRPr="00C9268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03320" w:rsidRPr="00C9268A">
        <w:rPr>
          <w:rFonts w:ascii="Times New Roman" w:hAnsi="Times New Roman" w:cs="Times New Roman"/>
          <w:bCs/>
          <w:sz w:val="24"/>
          <w:szCs w:val="24"/>
        </w:rPr>
        <w:t>download</w:t>
      </w:r>
      <w:proofErr w:type="spellEnd"/>
      <w:r w:rsidR="0090332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523BD">
        <w:rPr>
          <w:rFonts w:ascii="Times New Roman" w:hAnsi="Times New Roman" w:cs="Times New Roman"/>
          <w:bCs/>
          <w:sz w:val="24"/>
          <w:szCs w:val="24"/>
        </w:rPr>
        <w:t>a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F523BD">
        <w:rPr>
          <w:rFonts w:ascii="Times New Roman" w:hAnsi="Times New Roman" w:cs="Times New Roman"/>
          <w:bCs/>
          <w:sz w:val="24"/>
          <w:szCs w:val="24"/>
        </w:rPr>
        <w:t xml:space="preserve">vkládání </w:t>
      </w:r>
      <w:r w:rsidR="0090332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03AF8">
        <w:rPr>
          <w:rFonts w:ascii="Times New Roman" w:hAnsi="Times New Roman" w:cs="Times New Roman"/>
          <w:bCs/>
          <w:sz w:val="24"/>
          <w:szCs w:val="24"/>
        </w:rPr>
        <w:t>upload</w:t>
      </w:r>
      <w:proofErr w:type="spellEnd"/>
      <w:r w:rsidR="00D83498" w:rsidRPr="00C9268A">
        <w:rPr>
          <w:rFonts w:ascii="Times New Roman" w:hAnsi="Times New Roman" w:cs="Times New Roman"/>
          <w:bCs/>
          <w:sz w:val="24"/>
          <w:szCs w:val="24"/>
        </w:rPr>
        <w:t xml:space="preserve">) dat, jejíž hodnotu může </w:t>
      </w:r>
      <w:r w:rsidR="00F523BD">
        <w:rPr>
          <w:rFonts w:ascii="Times New Roman" w:hAnsi="Times New Roman" w:cs="Times New Roman"/>
          <w:bCs/>
          <w:sz w:val="24"/>
          <w:szCs w:val="24"/>
        </w:rPr>
        <w:t>spotřebitel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 xml:space="preserve"> předpokládat a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>reálně dosahovat v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>době, kdy danou službu používá. Hodnota běžně dostupné rychlosti odpovídá alespoň 60 % hodnoty rychlosti inzerované a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>je dostupná v</w:t>
      </w:r>
      <w:r w:rsidR="00FE6378">
        <w:rPr>
          <w:rFonts w:ascii="Times New Roman" w:hAnsi="Times New Roman" w:cs="Times New Roman"/>
          <w:bCs/>
          <w:sz w:val="24"/>
          <w:szCs w:val="24"/>
        </w:rPr>
        <w:t> </w:t>
      </w:r>
      <w:r w:rsidR="00D83498" w:rsidRPr="00C9268A">
        <w:rPr>
          <w:rFonts w:ascii="Times New Roman" w:hAnsi="Times New Roman" w:cs="Times New Roman"/>
          <w:bCs/>
          <w:sz w:val="24"/>
          <w:szCs w:val="24"/>
        </w:rPr>
        <w:t>95 % času během jednoho kalendářního dne</w:t>
      </w:r>
      <w:r w:rsidRPr="00C9268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14:paraId="7FA2B82B" w14:textId="73A5C8DF" w:rsidR="001C4DCA" w:rsidRDefault="0030662A" w:rsidP="001B0085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="007F29C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6</w:t>
      </w:r>
      <w:r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) </w:t>
      </w:r>
      <w:r w:rsidR="007D7A9E">
        <w:rPr>
          <w:rFonts w:ascii="Times New Roman" w:hAnsi="Times New Roman" w:cs="Times New Roman"/>
          <w:sz w:val="24"/>
          <w:szCs w:val="24"/>
        </w:rPr>
        <w:t>Zpoždění</w:t>
      </w:r>
      <w:r w:rsidR="007D7A9E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D77D9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služby 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přístup</w:t>
      </w:r>
      <w:r w:rsidR="00C91F8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u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</w:t>
      </w:r>
      <w:r w:rsidR="00AF1789"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(</w:t>
      </w:r>
      <w:r w:rsidR="001F0F4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latence</w:t>
      </w:r>
      <w:r w:rsidR="00AF1789"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)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představuje</w:t>
      </w:r>
      <w:r w:rsidR="002D5CA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dobu mezi</w:t>
      </w:r>
      <w:r w:rsidR="001B0085" w:rsidRPr="001B008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2D5CA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okamžikem vstupu prvního bitu paketu zdroje </w:t>
      </w:r>
      <w:r w:rsidR="001B0085" w:rsidRPr="001B008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do sítě, kdy je přijat cílem, který okamžitě bit pošle zpět zdroji,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2D5CA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okamžikem</w:t>
      </w:r>
      <w:r w:rsidR="001B0085" w:rsidRPr="001B008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kdy poslední bit paketu dorazí do zdroje přes síť.</w:t>
      </w:r>
      <w:r w:rsidR="002D5CA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bookmarkStart w:id="5" w:name="_Hlk83997665"/>
      <w:r w:rsidR="001B008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U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dává se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tisícinách sekundy</w:t>
      </w:r>
      <w:bookmarkEnd w:id="5"/>
      <w:r w:rsidR="00A3082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(</w:t>
      </w:r>
      <w:proofErr w:type="spellStart"/>
      <w:r w:rsidR="00A3082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ms</w:t>
      </w:r>
      <w:proofErr w:type="spellEnd"/>
      <w:r w:rsidR="00A3082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)</w:t>
      </w:r>
      <w:r w:rsidR="004F1C08" w:rsidRPr="004F1C0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14:paraId="208038BE" w14:textId="77777777" w:rsidR="00AF1789" w:rsidRPr="0095608A" w:rsidRDefault="00AF1789" w:rsidP="001C4DCA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560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§ 5</w:t>
      </w:r>
    </w:p>
    <w:p w14:paraId="720D92E2" w14:textId="785AB193" w:rsidR="004F1C08" w:rsidRDefault="004F1C08" w:rsidP="00AF1789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Mezní hodnoty parametrů kvality </w:t>
      </w:r>
      <w:r w:rsidR="00ED7FB3" w:rsidRPr="00ED7FB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přístupu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ED7FB3" w:rsidRPr="00ED7FB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="00ED7FB3" w:rsidRPr="00ED7FB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hlasové komunikační služby </w:t>
      </w:r>
      <w:r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jsou stanoveny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AF178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příloze.</w:t>
      </w:r>
    </w:p>
    <w:p w14:paraId="0DC8DB58" w14:textId="77777777" w:rsidR="00AF1789" w:rsidRPr="0095608A" w:rsidRDefault="00AF1789" w:rsidP="001C4DCA">
      <w:pPr>
        <w:keepNext/>
        <w:keepLines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560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§ 6</w:t>
      </w:r>
    </w:p>
    <w:p w14:paraId="6D938087" w14:textId="77777777" w:rsidR="00AF1789" w:rsidRDefault="00AF1789" w:rsidP="001C4DCA">
      <w:pPr>
        <w:keepNext/>
        <w:keepLines/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Zrušovací ustanovení</w:t>
      </w:r>
    </w:p>
    <w:p w14:paraId="4EB6B8C6" w14:textId="77777777" w:rsidR="00AF1789" w:rsidRDefault="00326EC3" w:rsidP="001C4DCA">
      <w:pPr>
        <w:keepNext/>
        <w:keepLines/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Zrušují se:</w:t>
      </w:r>
    </w:p>
    <w:p w14:paraId="52DB55FA" w14:textId="0C5B80FB" w:rsidR="00326EC3" w:rsidRDefault="00326EC3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1. </w:t>
      </w:r>
      <w:bookmarkStart w:id="6" w:name="_Hlk84240935"/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Vyhláška č. 162/2005 Sb., o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stanovení parametrů kvality univerzální služby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jejich mezních hodnot.</w:t>
      </w:r>
    </w:p>
    <w:p w14:paraId="437E2DB0" w14:textId="77777777" w:rsidR="003D7CDA" w:rsidRPr="00326EC3" w:rsidRDefault="003D7CDA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5AAB98EB" w14:textId="0FFF14CC" w:rsidR="00326EC3" w:rsidRDefault="00326EC3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2. Vyhláška č. 327/2006 Sb., kterou se stanoví charakteristiky přiměřených požadavků na připojení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pevném místě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veřejné komunikační síti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na přístup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pevném místě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veřejně dostupné telefonní službě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podmínky přístupu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rámci univerzální služby.</w:t>
      </w:r>
    </w:p>
    <w:bookmarkEnd w:id="6"/>
    <w:p w14:paraId="69EEA127" w14:textId="4471EC45" w:rsidR="00326EC3" w:rsidRDefault="00326EC3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3. Vyhláška č. 226/2012 Sb.,</w:t>
      </w:r>
      <w:r w:rsidRPr="00326EC3">
        <w:rPr>
          <w:rFonts w:ascii="Calibri" w:hAnsi="Calibri"/>
          <w:color w:val="212121"/>
          <w:shd w:val="clear" w:color="auto" w:fill="FFFFFF"/>
        </w:rPr>
        <w:t xml:space="preserve"> 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kterou se mění vyhláška č. 327/2006 Sb., kterou se stanoví charakteristiky přiměřených požadavků na připojení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pevném místě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veřejné telefonní síti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na přístup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pevném místě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veřejně dostupné telefonní službě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podmínky přístupu k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internetu v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rámci univerzální služby.</w:t>
      </w:r>
    </w:p>
    <w:p w14:paraId="02A9421E" w14:textId="77777777" w:rsidR="003D7CDA" w:rsidRPr="00326EC3" w:rsidRDefault="003D7CDA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325A306C" w14:textId="62041C21" w:rsidR="00326EC3" w:rsidRPr="00326EC3" w:rsidRDefault="00326EC3" w:rsidP="003D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4. Vyhláška č. 227/2012 Sb.,</w:t>
      </w:r>
      <w:r w:rsidRPr="00326EC3">
        <w:rPr>
          <w:rFonts w:ascii="Calibri" w:hAnsi="Calibri"/>
          <w:color w:val="212121"/>
          <w:shd w:val="clear" w:color="auto" w:fill="FFFFFF"/>
        </w:rPr>
        <w:t xml:space="preserve"> 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kterou se mění vyhláška č. 162/2005 Sb., o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stanovení parametrů kvality univerzální služby a</w:t>
      </w:r>
      <w:r w:rsidR="00FE6378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jejich mezních hodnot.</w:t>
      </w:r>
    </w:p>
    <w:p w14:paraId="49006991" w14:textId="77777777" w:rsidR="00AF1789" w:rsidRDefault="00AF1789" w:rsidP="00AF1789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14:paraId="2FDEB159" w14:textId="77777777" w:rsidR="00AF1789" w:rsidRPr="0095608A" w:rsidRDefault="00AF1789" w:rsidP="00AF1789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9560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§ 7</w:t>
      </w:r>
    </w:p>
    <w:p w14:paraId="0D467CBA" w14:textId="77777777" w:rsidR="00AF1789" w:rsidRPr="00AF1789" w:rsidRDefault="00AF1789" w:rsidP="00AF178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Účinnost</w:t>
      </w:r>
    </w:p>
    <w:p w14:paraId="642B936E" w14:textId="631E5FDE" w:rsidR="00326EC3" w:rsidRDefault="00326EC3" w:rsidP="00AF1789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4FC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Pr="00106651">
        <w:rPr>
          <w:rFonts w:ascii="Times New Roman" w:hAnsi="Times New Roman" w:cs="Times New Roman"/>
          <w:sz w:val="24"/>
          <w:szCs w:val="24"/>
        </w:rPr>
        <w:t xml:space="preserve">1. </w:t>
      </w:r>
      <w:r w:rsidR="00106651" w:rsidRPr="00106651">
        <w:rPr>
          <w:rFonts w:ascii="Times New Roman" w:hAnsi="Times New Roman" w:cs="Times New Roman"/>
          <w:sz w:val="24"/>
          <w:szCs w:val="24"/>
        </w:rPr>
        <w:t>července</w:t>
      </w:r>
      <w:r w:rsidRPr="00870A11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76C3D513" w14:textId="77777777" w:rsidR="00326EC3" w:rsidRDefault="00326EC3">
      <w:pPr>
        <w:spacing w:after="20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1D22C3E" w14:textId="7A4EA7C8" w:rsidR="004F1C08" w:rsidRDefault="00326EC3" w:rsidP="00326EC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k</w:t>
      </w:r>
      <w:r w:rsidR="00FE63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vyhlášce č. x/2022 Sb.</w:t>
      </w:r>
    </w:p>
    <w:p w14:paraId="06F8278F" w14:textId="77777777" w:rsidR="000122F5" w:rsidRPr="00326EC3" w:rsidRDefault="000122F5" w:rsidP="00012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326E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Stanovené mezní hodnoty parametrů kvality univerzální služby </w:t>
      </w:r>
    </w:p>
    <w:p w14:paraId="7912550A" w14:textId="77777777" w:rsidR="000122F5" w:rsidRPr="00326EC3" w:rsidRDefault="000122F5" w:rsidP="00012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12"/>
        <w:gridCol w:w="1743"/>
        <w:gridCol w:w="4348"/>
        <w:gridCol w:w="1557"/>
      </w:tblGrid>
      <w:tr w:rsidR="000122F5" w:rsidRPr="00C04A54" w14:paraId="0BBF205D" w14:textId="77777777" w:rsidTr="005A1818">
        <w:tc>
          <w:tcPr>
            <w:tcW w:w="1412" w:type="dxa"/>
            <w:vAlign w:val="center"/>
          </w:tcPr>
          <w:p w14:paraId="4F555465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43" w:type="dxa"/>
            <w:vAlign w:val="center"/>
          </w:tcPr>
          <w:p w14:paraId="179398F6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48" w:type="dxa"/>
            <w:vAlign w:val="center"/>
          </w:tcPr>
          <w:p w14:paraId="145FC8EC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57" w:type="dxa"/>
          </w:tcPr>
          <w:p w14:paraId="39ABB803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4</w:t>
            </w:r>
          </w:p>
        </w:tc>
      </w:tr>
      <w:tr w:rsidR="000122F5" w:rsidRPr="00C04A54" w14:paraId="63D5FC0C" w14:textId="77777777" w:rsidTr="005A1818">
        <w:tc>
          <w:tcPr>
            <w:tcW w:w="1412" w:type="dxa"/>
            <w:vAlign w:val="center"/>
          </w:tcPr>
          <w:p w14:paraId="3E493806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Parametr podle</w:t>
            </w:r>
          </w:p>
        </w:tc>
        <w:tc>
          <w:tcPr>
            <w:tcW w:w="1743" w:type="dxa"/>
            <w:vAlign w:val="center"/>
          </w:tcPr>
          <w:p w14:paraId="19F7066A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4348" w:type="dxa"/>
            <w:vAlign w:val="center"/>
          </w:tcPr>
          <w:p w14:paraId="34BDC7E1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557" w:type="dxa"/>
          </w:tcPr>
          <w:p w14:paraId="6FA9E57E" w14:textId="77777777" w:rsidR="000122F5" w:rsidRPr="00A3082C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Stanovená mezní hodnota</w:t>
            </w:r>
          </w:p>
        </w:tc>
      </w:tr>
      <w:tr w:rsidR="000122F5" w:rsidRPr="00C04A54" w14:paraId="21C3D413" w14:textId="77777777" w:rsidTr="005A1818">
        <w:trPr>
          <w:trHeight w:val="2055"/>
        </w:trPr>
        <w:tc>
          <w:tcPr>
            <w:tcW w:w="1412" w:type="dxa"/>
            <w:vMerge w:val="restart"/>
          </w:tcPr>
          <w:p w14:paraId="23333A25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§ 3 odst. 1 písm. a)</w:t>
            </w:r>
          </w:p>
        </w:tc>
        <w:tc>
          <w:tcPr>
            <w:tcW w:w="1743" w:type="dxa"/>
            <w:vMerge w:val="restart"/>
          </w:tcPr>
          <w:p w14:paraId="614B7653" w14:textId="4CF9A040" w:rsidR="000122F5" w:rsidRPr="00A3082C" w:rsidRDefault="000122F5" w:rsidP="001332B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Doba, za kterou je </w:t>
            </w:r>
            <w:bookmarkStart w:id="7" w:name="_Hlk94699664"/>
            <w:r w:rsidR="001332B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zprovozněna</w:t>
            </w:r>
            <w:r w:rsidR="00CA15C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="00892EB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služb</w:t>
            </w:r>
            <w:r w:rsidR="001332B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a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přístup</w:t>
            </w:r>
            <w:r w:rsidR="00CA15C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u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k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internetu </w:t>
            </w:r>
            <w:r w:rsid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nebo k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hlasové komunikační službě</w:t>
            </w:r>
            <w:bookmarkEnd w:id="7"/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="000C23C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="000C23C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pevném místě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48" w:type="dxa"/>
          </w:tcPr>
          <w:p w14:paraId="2707442B" w14:textId="6377C161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Počet dnů, </w:t>
            </w:r>
            <w:r w:rsidR="001332B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za které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byl</w:t>
            </w:r>
            <w:r w:rsidR="003D3D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a poskytnuta funkční služba </w:t>
            </w:r>
            <w:r w:rsidR="00613523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="00613523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pevném místě</w:t>
            </w:r>
          </w:p>
          <w:p w14:paraId="5CCEDC51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06E70032" w14:textId="77777777" w:rsidR="000122F5" w:rsidRPr="00A3082C" w:rsidRDefault="000122F5" w:rsidP="00C04A54">
            <w:pPr>
              <w:numPr>
                <w:ilvl w:val="0"/>
                <w:numId w:val="38"/>
              </w:num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 95 % případů</w:t>
            </w:r>
          </w:p>
          <w:p w14:paraId="66FF3FCD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693F79CE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4330C7FA" w14:textId="77777777" w:rsidR="000122F5" w:rsidRPr="00A3082C" w:rsidRDefault="000122F5" w:rsidP="00C04A54">
            <w:pPr>
              <w:spacing w:after="0" w:line="259" w:lineRule="auto"/>
              <w:ind w:left="720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</w:p>
          <w:p w14:paraId="41748A20" w14:textId="77777777" w:rsidR="000122F5" w:rsidRPr="00A3082C" w:rsidRDefault="000122F5" w:rsidP="00C04A54">
            <w:pPr>
              <w:numPr>
                <w:ilvl w:val="0"/>
                <w:numId w:val="38"/>
              </w:num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 99 % případů</w:t>
            </w:r>
          </w:p>
          <w:p w14:paraId="2EE3D254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7508BF26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7" w:type="dxa"/>
          </w:tcPr>
          <w:p w14:paraId="6B99FE74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</w:p>
          <w:p w14:paraId="0DC3867B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210AC42C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35149B42" w14:textId="77777777" w:rsidR="000122F5" w:rsidRPr="00C926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C926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≤ 10</w:t>
            </w:r>
          </w:p>
          <w:p w14:paraId="7295138E" w14:textId="77777777" w:rsidR="000122F5" w:rsidRPr="00C926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C926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kalendářních dnů</w:t>
            </w:r>
          </w:p>
          <w:p w14:paraId="5C1C33F5" w14:textId="77777777" w:rsidR="00C04A54" w:rsidRPr="00C9268A" w:rsidRDefault="00C04A54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</w:p>
          <w:p w14:paraId="41022422" w14:textId="77777777" w:rsidR="000122F5" w:rsidRPr="00C926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C926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≤ 15 </w:t>
            </w:r>
          </w:p>
          <w:p w14:paraId="0A30F5EF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C926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kalendářních dnů</w:t>
            </w:r>
          </w:p>
          <w:p w14:paraId="1357938A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122F5" w:rsidRPr="00C04A54" w14:paraId="29FBD798" w14:textId="77777777" w:rsidTr="005A1818">
        <w:trPr>
          <w:trHeight w:val="930"/>
        </w:trPr>
        <w:tc>
          <w:tcPr>
            <w:tcW w:w="1412" w:type="dxa"/>
            <w:vMerge/>
            <w:vAlign w:val="center"/>
          </w:tcPr>
          <w:p w14:paraId="70ABA68E" w14:textId="77777777" w:rsidR="000122F5" w:rsidRPr="00A3082C" w:rsidRDefault="000122F5" w:rsidP="00C04A54">
            <w:p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</w:p>
        </w:tc>
        <w:tc>
          <w:tcPr>
            <w:tcW w:w="1743" w:type="dxa"/>
            <w:vMerge/>
            <w:vAlign w:val="center"/>
          </w:tcPr>
          <w:p w14:paraId="042184A2" w14:textId="77777777" w:rsidR="000122F5" w:rsidRPr="00A3082C" w:rsidRDefault="000122F5" w:rsidP="00C04A54">
            <w:p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</w:p>
        </w:tc>
        <w:tc>
          <w:tcPr>
            <w:tcW w:w="4348" w:type="dxa"/>
          </w:tcPr>
          <w:p w14:paraId="14E9F5D3" w14:textId="4F87CAFA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Procento případů </w:t>
            </w:r>
            <w:r w:rsidR="003D3D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poskytnutí</w:t>
            </w:r>
            <w:r w:rsidR="001332B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funkční</w:t>
            </w:r>
            <w:r w:rsidR="003D3D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služby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="00613523" w:rsidRPr="0061352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="00613523" w:rsidRPr="0061352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pevném místě 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době dohodnuté se spotřebitelem</w:t>
            </w:r>
          </w:p>
        </w:tc>
        <w:tc>
          <w:tcPr>
            <w:tcW w:w="1557" w:type="dxa"/>
          </w:tcPr>
          <w:p w14:paraId="6E885141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100 %</w:t>
            </w:r>
          </w:p>
          <w:p w14:paraId="7EA20DE4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122F5" w:rsidRPr="00C04A54" w14:paraId="50C5654F" w14:textId="77777777" w:rsidTr="005A1818">
        <w:tc>
          <w:tcPr>
            <w:tcW w:w="1412" w:type="dxa"/>
          </w:tcPr>
          <w:p w14:paraId="3D8AAE1F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§ 3 odst. 1 písm. b)</w:t>
            </w:r>
          </w:p>
        </w:tc>
        <w:tc>
          <w:tcPr>
            <w:tcW w:w="1743" w:type="dxa"/>
          </w:tcPr>
          <w:p w14:paraId="0C46B52E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Četnost poruch  </w:t>
            </w:r>
          </w:p>
        </w:tc>
        <w:tc>
          <w:tcPr>
            <w:tcW w:w="4348" w:type="dxa"/>
          </w:tcPr>
          <w:p w14:paraId="0FA157FE" w14:textId="5C93E8FD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Četnost poruch vztažená k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="009A09B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celkovému počtu připojení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557" w:type="dxa"/>
          </w:tcPr>
          <w:p w14:paraId="3BB95A2E" w14:textId="3A181204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≤ 10</w:t>
            </w:r>
            <w:r w:rsidR="007D7A9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0122F5" w:rsidRPr="00C04A54" w14:paraId="7B5F3235" w14:textId="77777777" w:rsidTr="005A1818">
        <w:trPr>
          <w:trHeight w:val="1230"/>
        </w:trPr>
        <w:tc>
          <w:tcPr>
            <w:tcW w:w="1412" w:type="dxa"/>
            <w:vMerge w:val="restart"/>
          </w:tcPr>
          <w:p w14:paraId="3FCC764B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§ 3 odst. 1 písm. c)</w:t>
            </w:r>
          </w:p>
        </w:tc>
        <w:tc>
          <w:tcPr>
            <w:tcW w:w="1743" w:type="dxa"/>
            <w:vMerge w:val="restart"/>
          </w:tcPr>
          <w:p w14:paraId="21E2F8FC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Doba, za kterou je porucha odstraněna </w:t>
            </w:r>
          </w:p>
        </w:tc>
        <w:tc>
          <w:tcPr>
            <w:tcW w:w="4348" w:type="dxa"/>
          </w:tcPr>
          <w:p w14:paraId="1B7697F1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Doba odstranění </w:t>
            </w:r>
          </w:p>
          <w:p w14:paraId="2FAFBB77" w14:textId="77777777" w:rsidR="000122F5" w:rsidRPr="00A3082C" w:rsidRDefault="000122F5" w:rsidP="00C04A54">
            <w:pPr>
              <w:numPr>
                <w:ilvl w:val="0"/>
                <w:numId w:val="38"/>
              </w:num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80 % poruch</w:t>
            </w:r>
          </w:p>
          <w:p w14:paraId="03B77F94" w14:textId="77777777" w:rsidR="000122F5" w:rsidRPr="00CE7915" w:rsidRDefault="000122F5" w:rsidP="00C04A54">
            <w:pPr>
              <w:numPr>
                <w:ilvl w:val="0"/>
                <w:numId w:val="38"/>
              </w:num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95 % poruch</w:t>
            </w:r>
          </w:p>
        </w:tc>
        <w:tc>
          <w:tcPr>
            <w:tcW w:w="1557" w:type="dxa"/>
          </w:tcPr>
          <w:p w14:paraId="31A5FED9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482E9982" w14:textId="3D907FAE" w:rsidR="000122F5" w:rsidRPr="0046280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B2339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≤ </w:t>
            </w:r>
            <w:r w:rsidR="007D7A9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24</w:t>
            </w:r>
            <w:r w:rsidR="007D7A9E" w:rsidRPr="004628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Pr="004628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hodin</w:t>
            </w:r>
          </w:p>
          <w:p w14:paraId="3EC3DF6D" w14:textId="0155F9E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46280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≤ </w:t>
            </w:r>
            <w:r w:rsidR="007D7A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48</w:t>
            </w:r>
            <w:r w:rsidR="007D7A9E" w:rsidRPr="00B2339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Pr="00B2339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hodin</w:t>
            </w:r>
          </w:p>
        </w:tc>
      </w:tr>
      <w:tr w:rsidR="000122F5" w:rsidRPr="00C04A54" w14:paraId="5FC1852D" w14:textId="77777777" w:rsidTr="005A1818">
        <w:trPr>
          <w:trHeight w:val="900"/>
        </w:trPr>
        <w:tc>
          <w:tcPr>
            <w:tcW w:w="1412" w:type="dxa"/>
            <w:vMerge/>
            <w:vAlign w:val="center"/>
          </w:tcPr>
          <w:p w14:paraId="0E1624C0" w14:textId="77777777" w:rsidR="000122F5" w:rsidRPr="00A3082C" w:rsidRDefault="000122F5" w:rsidP="00C04A54">
            <w:p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</w:p>
        </w:tc>
        <w:tc>
          <w:tcPr>
            <w:tcW w:w="1743" w:type="dxa"/>
            <w:vMerge/>
            <w:vAlign w:val="center"/>
          </w:tcPr>
          <w:p w14:paraId="028C9938" w14:textId="77777777" w:rsidR="000122F5" w:rsidRPr="00A3082C" w:rsidRDefault="000122F5" w:rsidP="00C04A54">
            <w:pPr>
              <w:spacing w:after="0" w:line="259" w:lineRule="auto"/>
              <w:contextualSpacing/>
              <w:rPr>
                <w:rFonts w:ascii="Calibri" w:eastAsia="Yu Mincho" w:hAnsi="Calibri" w:cs="Arial"/>
                <w:color w:val="auto"/>
                <w:lang w:eastAsia="cs-CZ"/>
              </w:rPr>
            </w:pPr>
          </w:p>
        </w:tc>
        <w:tc>
          <w:tcPr>
            <w:tcW w:w="4348" w:type="dxa"/>
          </w:tcPr>
          <w:p w14:paraId="66DEA70C" w14:textId="7F9C7A6D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Procento případů odstranění poruchy 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době dohodnuté se spotřebitelem</w:t>
            </w:r>
          </w:p>
        </w:tc>
        <w:tc>
          <w:tcPr>
            <w:tcW w:w="1557" w:type="dxa"/>
          </w:tcPr>
          <w:p w14:paraId="06BB6FED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100 %</w:t>
            </w:r>
          </w:p>
        </w:tc>
      </w:tr>
      <w:tr w:rsidR="000122F5" w:rsidRPr="00C04A54" w14:paraId="4B7461D5" w14:textId="77777777" w:rsidTr="005A1818">
        <w:trPr>
          <w:trHeight w:val="1392"/>
        </w:trPr>
        <w:tc>
          <w:tcPr>
            <w:tcW w:w="1412" w:type="dxa"/>
          </w:tcPr>
          <w:p w14:paraId="1E1F0463" w14:textId="40CDA4B4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§ 3 </w:t>
            </w:r>
            <w:r w:rsidR="00F9171B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odst. 1 písm. </w:t>
            </w:r>
            <w:r w:rsidR="00F917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d</w:t>
            </w:r>
            <w:r w:rsidR="00F9171B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743" w:type="dxa"/>
          </w:tcPr>
          <w:p w14:paraId="26F8192A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Četnost reklamací na vyúčtování ceny</w:t>
            </w:r>
          </w:p>
        </w:tc>
        <w:tc>
          <w:tcPr>
            <w:tcW w:w="4348" w:type="dxa"/>
          </w:tcPr>
          <w:p w14:paraId="16EA39E0" w14:textId="0F33C038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Poměr vyjádřený v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procentech</w:t>
            </w:r>
          </w:p>
        </w:tc>
        <w:tc>
          <w:tcPr>
            <w:tcW w:w="1557" w:type="dxa"/>
            <w:shd w:val="clear" w:color="auto" w:fill="auto"/>
          </w:tcPr>
          <w:p w14:paraId="32BB0325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≤ 0,5 %</w:t>
            </w:r>
          </w:p>
        </w:tc>
      </w:tr>
      <w:tr w:rsidR="000122F5" w:rsidRPr="00C04A54" w14:paraId="283B2575" w14:textId="77777777" w:rsidTr="005A1818">
        <w:trPr>
          <w:trHeight w:val="844"/>
        </w:trPr>
        <w:tc>
          <w:tcPr>
            <w:tcW w:w="1412" w:type="dxa"/>
          </w:tcPr>
          <w:p w14:paraId="4AD9F57B" w14:textId="2C345FE3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§ 3 odst. </w:t>
            </w:r>
            <w:r w:rsidR="00F917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2</w:t>
            </w:r>
            <w:r w:rsidR="00F9171B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písm. a)</w:t>
            </w:r>
          </w:p>
        </w:tc>
        <w:tc>
          <w:tcPr>
            <w:tcW w:w="1743" w:type="dxa"/>
          </w:tcPr>
          <w:p w14:paraId="26AB4601" w14:textId="77777777" w:rsidR="000122F5" w:rsidRPr="00A3082C" w:rsidRDefault="00A577D6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Běžně dostupná r</w:t>
            </w:r>
            <w:r w:rsidR="000122F5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ychlost přenosu dat </w:t>
            </w:r>
          </w:p>
        </w:tc>
        <w:tc>
          <w:tcPr>
            <w:tcW w:w="4348" w:type="dxa"/>
          </w:tcPr>
          <w:p w14:paraId="13A9516F" w14:textId="77777777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Minimální rychlost </w:t>
            </w:r>
            <w:r w:rsidR="00B2339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stahování 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(</w:t>
            </w:r>
            <w:proofErr w:type="spellStart"/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download</w:t>
            </w:r>
            <w:proofErr w:type="spellEnd"/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)</w:t>
            </w:r>
          </w:p>
          <w:p w14:paraId="61A5C439" w14:textId="704F60C7" w:rsidR="000122F5" w:rsidRPr="007F29C6" w:rsidRDefault="007F29C6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Minimální rychlost </w:t>
            </w:r>
            <w:r w:rsidR="00A65F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vkládání </w:t>
            </w:r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(</w:t>
            </w:r>
            <w:proofErr w:type="spellStart"/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upload</w:t>
            </w:r>
            <w:proofErr w:type="spellEnd"/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14:paraId="2F65A1B0" w14:textId="77777777" w:rsidR="000122F5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≥ 10 </w:t>
            </w:r>
            <w:proofErr w:type="spellStart"/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Mbit</w:t>
            </w:r>
            <w:proofErr w:type="spellEnd"/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/s</w:t>
            </w:r>
          </w:p>
          <w:p w14:paraId="68F8B4C0" w14:textId="77777777" w:rsidR="000122F5" w:rsidRPr="007F29C6" w:rsidRDefault="007F29C6" w:rsidP="007F29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≥ 1 </w:t>
            </w:r>
            <w:proofErr w:type="spellStart"/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Mbit</w:t>
            </w:r>
            <w:proofErr w:type="spellEnd"/>
            <w:r w:rsidRPr="007F29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/s</w:t>
            </w:r>
          </w:p>
        </w:tc>
      </w:tr>
      <w:tr w:rsidR="000122F5" w:rsidRPr="00C04A54" w14:paraId="10DC75FA" w14:textId="77777777" w:rsidTr="005A1818">
        <w:trPr>
          <w:trHeight w:val="1112"/>
        </w:trPr>
        <w:tc>
          <w:tcPr>
            <w:tcW w:w="1412" w:type="dxa"/>
          </w:tcPr>
          <w:p w14:paraId="0018CF14" w14:textId="30409FEA" w:rsidR="000122F5" w:rsidRPr="00A3082C" w:rsidRDefault="000122F5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§ 3 odst. </w:t>
            </w:r>
            <w:r w:rsidR="00F917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2</w:t>
            </w:r>
            <w:r w:rsidR="00F9171B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písm. b)</w:t>
            </w:r>
          </w:p>
        </w:tc>
        <w:tc>
          <w:tcPr>
            <w:tcW w:w="1743" w:type="dxa"/>
          </w:tcPr>
          <w:p w14:paraId="52CCD003" w14:textId="5A60CBCA" w:rsidR="000122F5" w:rsidRPr="00A3082C" w:rsidRDefault="007D7A9E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Zpoždění</w:t>
            </w:r>
            <w:r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="000122F5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služby přístup</w:t>
            </w:r>
            <w:r w:rsidR="00A577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u</w:t>
            </w:r>
            <w:r w:rsidR="000122F5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k</w:t>
            </w:r>
            <w:r w:rsidR="00FE63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 </w:t>
            </w:r>
            <w:r w:rsidR="000122F5" w:rsidRPr="00A3082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internetu</w:t>
            </w:r>
          </w:p>
        </w:tc>
        <w:tc>
          <w:tcPr>
            <w:tcW w:w="4348" w:type="dxa"/>
          </w:tcPr>
          <w:p w14:paraId="1654E134" w14:textId="3A43A3F5" w:rsidR="000122F5" w:rsidRPr="00A3082C" w:rsidRDefault="00A577D6" w:rsidP="00C04A5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R</w:t>
            </w:r>
            <w:r w:rsidRPr="00A577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ychlost odezvy připojení</w:t>
            </w:r>
            <w:r w:rsidR="0018337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 w:rsidR="0018337E" w:rsidRPr="00AF17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(</w:t>
            </w:r>
            <w:r w:rsidR="00A65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latence</w:t>
            </w:r>
            <w:r w:rsidR="0018337E" w:rsidRPr="00AF17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14:paraId="51504E66" w14:textId="77777777" w:rsidR="000122F5" w:rsidRPr="0095608A" w:rsidRDefault="000122F5" w:rsidP="00C04A5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≤ </w:t>
            </w:r>
            <w:r w:rsidR="00240EE4"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150 </w:t>
            </w:r>
            <w:proofErr w:type="spellStart"/>
            <w:r w:rsidRPr="009560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ms</w:t>
            </w:r>
            <w:proofErr w:type="spellEnd"/>
          </w:p>
        </w:tc>
      </w:tr>
    </w:tbl>
    <w:p w14:paraId="09D0E883" w14:textId="1E330A04" w:rsidR="00FE6378" w:rsidRPr="00FE6378" w:rsidRDefault="000122F5" w:rsidP="00210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C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14:paraId="7245063E" w14:textId="77777777" w:rsid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378" w:rsidSect="00C9268A">
      <w:headerReference w:type="even" r:id="rId11"/>
      <w:footerReference w:type="default" r:id="rId12"/>
      <w:head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0E3D" w14:textId="77777777" w:rsidR="00FE6378" w:rsidRDefault="00FE6378" w:rsidP="00677FE0">
      <w:pPr>
        <w:spacing w:after="0" w:line="240" w:lineRule="auto"/>
      </w:pPr>
      <w:r>
        <w:separator/>
      </w:r>
    </w:p>
  </w:endnote>
  <w:endnote w:type="continuationSeparator" w:id="0">
    <w:p w14:paraId="77BDF175" w14:textId="77777777" w:rsidR="00FE6378" w:rsidRDefault="00FE637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641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2E4C7" w14:textId="77777777" w:rsidR="00FE6378" w:rsidRPr="00106651" w:rsidRDefault="00FE6378">
        <w:pPr>
          <w:pStyle w:val="Zpat"/>
          <w:jc w:val="center"/>
          <w:rPr>
            <w:rFonts w:ascii="Times New Roman" w:hAnsi="Times New Roman" w:cs="Times New Roman"/>
          </w:rPr>
        </w:pPr>
        <w:r w:rsidRPr="00106651">
          <w:rPr>
            <w:rFonts w:ascii="Times New Roman" w:hAnsi="Times New Roman" w:cs="Times New Roman"/>
          </w:rPr>
          <w:fldChar w:fldCharType="begin"/>
        </w:r>
        <w:r w:rsidRPr="00106651">
          <w:rPr>
            <w:rFonts w:ascii="Times New Roman" w:hAnsi="Times New Roman" w:cs="Times New Roman"/>
          </w:rPr>
          <w:instrText>PAGE   \* MERGEFORMAT</w:instrText>
        </w:r>
        <w:r w:rsidRPr="00106651">
          <w:rPr>
            <w:rFonts w:ascii="Times New Roman" w:hAnsi="Times New Roman" w:cs="Times New Roman"/>
          </w:rPr>
          <w:fldChar w:fldCharType="separate"/>
        </w:r>
        <w:r w:rsidRPr="00106651">
          <w:rPr>
            <w:rFonts w:ascii="Times New Roman" w:hAnsi="Times New Roman" w:cs="Times New Roman"/>
          </w:rPr>
          <w:t>2</w:t>
        </w:r>
        <w:r w:rsidRPr="00106651">
          <w:rPr>
            <w:rFonts w:ascii="Times New Roman" w:hAnsi="Times New Roman" w:cs="Times New Roman"/>
          </w:rPr>
          <w:fldChar w:fldCharType="end"/>
        </w:r>
      </w:p>
    </w:sdtContent>
  </w:sdt>
  <w:p w14:paraId="78BF81B4" w14:textId="77777777" w:rsidR="00FE6378" w:rsidRDefault="00FE6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D357" w14:textId="77777777" w:rsidR="00FE6378" w:rsidRDefault="00FE6378" w:rsidP="00677FE0">
      <w:pPr>
        <w:spacing w:after="0" w:line="240" w:lineRule="auto"/>
      </w:pPr>
      <w:r>
        <w:separator/>
      </w:r>
    </w:p>
  </w:footnote>
  <w:footnote w:type="continuationSeparator" w:id="0">
    <w:p w14:paraId="0C0025F2" w14:textId="77777777" w:rsidR="00FE6378" w:rsidRDefault="00FE6378" w:rsidP="00677FE0">
      <w:pPr>
        <w:spacing w:after="0" w:line="240" w:lineRule="auto"/>
      </w:pPr>
      <w:r>
        <w:continuationSeparator/>
      </w:r>
    </w:p>
  </w:footnote>
  <w:footnote w:id="1">
    <w:p w14:paraId="3206DF8A" w14:textId="317FF0B7" w:rsidR="00FE6378" w:rsidRDefault="00FE6378">
      <w:pPr>
        <w:pStyle w:val="Textpoznpodarou"/>
      </w:pPr>
      <w:r>
        <w:rPr>
          <w:rStyle w:val="Znakapoznpodarou"/>
        </w:rPr>
        <w:footnoteRef/>
      </w:r>
      <w:r>
        <w:t xml:space="preserve"> § 40 odst. 4 zákona o elektronických komunikacích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637F" w14:textId="77777777" w:rsidR="00FE6378" w:rsidRDefault="00FE63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8A59B7" wp14:editId="441C9E0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2" name="Textové pole 2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4DC6" w14:textId="77777777" w:rsidR="00FE6378" w:rsidRPr="00A253CB" w:rsidRDefault="00FE63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253C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A59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          " style="position:absolute;margin-left:-16.25pt;margin-top:.05pt;width:34.95pt;height:34.95pt;z-index:25165772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HwEnEZ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1DF64DC6" w14:textId="77777777" w:rsidR="00FE6378" w:rsidRPr="00A253CB" w:rsidRDefault="00FE637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253C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F159" w14:textId="77777777" w:rsidR="00FE6378" w:rsidRDefault="00FE63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F07F213" wp14:editId="1EB4D25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1" name="Textové pole 1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2A172" w14:textId="77777777" w:rsidR="00FE6378" w:rsidRPr="00A253CB" w:rsidRDefault="00FE63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253C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7F2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RO VNITŘNÍ POTŘEBU          " style="position:absolute;margin-left:-16.25pt;margin-top:.05pt;width:34.95pt;height:34.95pt;z-index:25165670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B9uCjX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2A172" w14:textId="77777777" w:rsidR="00FE6378" w:rsidRPr="00A253CB" w:rsidRDefault="00FE637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253C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0BB4FFF"/>
    <w:multiLevelType w:val="hybridMultilevel"/>
    <w:tmpl w:val="4F501926"/>
    <w:lvl w:ilvl="0" w:tplc="050636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068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2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8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0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A8A36E5"/>
    <w:multiLevelType w:val="hybridMultilevel"/>
    <w:tmpl w:val="849CF31C"/>
    <w:lvl w:ilvl="0" w:tplc="0BF8AAC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1A7830">
      <w:start w:val="1"/>
      <w:numFmt w:val="lowerLetter"/>
      <w:lvlText w:val="%2."/>
      <w:lvlJc w:val="left"/>
      <w:pPr>
        <w:ind w:left="1440" w:hanging="360"/>
      </w:pPr>
    </w:lvl>
    <w:lvl w:ilvl="2" w:tplc="60121882">
      <w:start w:val="1"/>
      <w:numFmt w:val="lowerRoman"/>
      <w:lvlText w:val="%3."/>
      <w:lvlJc w:val="right"/>
      <w:pPr>
        <w:ind w:left="2160" w:hanging="180"/>
      </w:pPr>
    </w:lvl>
    <w:lvl w:ilvl="3" w:tplc="AFC0F2D8">
      <w:start w:val="1"/>
      <w:numFmt w:val="decimal"/>
      <w:lvlText w:val="%4."/>
      <w:lvlJc w:val="left"/>
      <w:pPr>
        <w:ind w:left="2880" w:hanging="360"/>
      </w:pPr>
    </w:lvl>
    <w:lvl w:ilvl="4" w:tplc="F0FE081E">
      <w:start w:val="1"/>
      <w:numFmt w:val="lowerLetter"/>
      <w:lvlText w:val="%5."/>
      <w:lvlJc w:val="left"/>
      <w:pPr>
        <w:ind w:left="3600" w:hanging="360"/>
      </w:pPr>
    </w:lvl>
    <w:lvl w:ilvl="5" w:tplc="BC3CCA24">
      <w:start w:val="1"/>
      <w:numFmt w:val="lowerRoman"/>
      <w:lvlText w:val="%6."/>
      <w:lvlJc w:val="right"/>
      <w:pPr>
        <w:ind w:left="4320" w:hanging="180"/>
      </w:pPr>
    </w:lvl>
    <w:lvl w:ilvl="6" w:tplc="699CEECC">
      <w:start w:val="1"/>
      <w:numFmt w:val="decimal"/>
      <w:lvlText w:val="%7."/>
      <w:lvlJc w:val="left"/>
      <w:pPr>
        <w:ind w:left="5040" w:hanging="360"/>
      </w:pPr>
    </w:lvl>
    <w:lvl w:ilvl="7" w:tplc="9496ECFA">
      <w:start w:val="1"/>
      <w:numFmt w:val="lowerLetter"/>
      <w:lvlText w:val="%8."/>
      <w:lvlJc w:val="left"/>
      <w:pPr>
        <w:ind w:left="5760" w:hanging="360"/>
      </w:pPr>
    </w:lvl>
    <w:lvl w:ilvl="8" w:tplc="F31060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5DF0789"/>
    <w:multiLevelType w:val="hybridMultilevel"/>
    <w:tmpl w:val="C4A0E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76030F82"/>
    <w:multiLevelType w:val="hybridMultilevel"/>
    <w:tmpl w:val="99CA5A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9"/>
  </w:num>
  <w:num w:numId="27">
    <w:abstractNumId w:val="27"/>
  </w:num>
  <w:num w:numId="28">
    <w:abstractNumId w:val="25"/>
  </w:num>
  <w:num w:numId="29">
    <w:abstractNumId w:val="18"/>
  </w:num>
  <w:num w:numId="30">
    <w:abstractNumId w:val="31"/>
  </w:num>
  <w:num w:numId="31">
    <w:abstractNumId w:val="36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26"/>
  </w:num>
  <w:num w:numId="38">
    <w:abstractNumId w:val="22"/>
  </w:num>
  <w:num w:numId="39">
    <w:abstractNumId w:val="37"/>
  </w:num>
  <w:num w:numId="40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8C"/>
    <w:rsid w:val="000122F5"/>
    <w:rsid w:val="00015306"/>
    <w:rsid w:val="0002204C"/>
    <w:rsid w:val="00025C51"/>
    <w:rsid w:val="0002674B"/>
    <w:rsid w:val="0003028C"/>
    <w:rsid w:val="000346D3"/>
    <w:rsid w:val="00040093"/>
    <w:rsid w:val="0004162E"/>
    <w:rsid w:val="00045888"/>
    <w:rsid w:val="0004786B"/>
    <w:rsid w:val="00053A60"/>
    <w:rsid w:val="00054167"/>
    <w:rsid w:val="00063405"/>
    <w:rsid w:val="00073D08"/>
    <w:rsid w:val="000809B9"/>
    <w:rsid w:val="0008619B"/>
    <w:rsid w:val="00090B40"/>
    <w:rsid w:val="00094673"/>
    <w:rsid w:val="00095A0A"/>
    <w:rsid w:val="000A3BBF"/>
    <w:rsid w:val="000B0EB6"/>
    <w:rsid w:val="000B1B3D"/>
    <w:rsid w:val="000C23C1"/>
    <w:rsid w:val="000C4CAF"/>
    <w:rsid w:val="000D28AB"/>
    <w:rsid w:val="000D2BA7"/>
    <w:rsid w:val="000E3BF6"/>
    <w:rsid w:val="000F3275"/>
    <w:rsid w:val="00104EFC"/>
    <w:rsid w:val="00106651"/>
    <w:rsid w:val="00112297"/>
    <w:rsid w:val="00115D73"/>
    <w:rsid w:val="00121485"/>
    <w:rsid w:val="001214C6"/>
    <w:rsid w:val="001268B0"/>
    <w:rsid w:val="001332B2"/>
    <w:rsid w:val="001365C3"/>
    <w:rsid w:val="00146BC3"/>
    <w:rsid w:val="00147D3E"/>
    <w:rsid w:val="001628BA"/>
    <w:rsid w:val="0016677C"/>
    <w:rsid w:val="00170E0A"/>
    <w:rsid w:val="00174294"/>
    <w:rsid w:val="0018051B"/>
    <w:rsid w:val="0018337E"/>
    <w:rsid w:val="0018505C"/>
    <w:rsid w:val="00193049"/>
    <w:rsid w:val="001B0085"/>
    <w:rsid w:val="001B0C55"/>
    <w:rsid w:val="001B1E4A"/>
    <w:rsid w:val="001C3A03"/>
    <w:rsid w:val="001C4DCA"/>
    <w:rsid w:val="001D2423"/>
    <w:rsid w:val="001D27C0"/>
    <w:rsid w:val="001E74C3"/>
    <w:rsid w:val="001F0F48"/>
    <w:rsid w:val="001F19B2"/>
    <w:rsid w:val="001F6937"/>
    <w:rsid w:val="002106A9"/>
    <w:rsid w:val="00220DE3"/>
    <w:rsid w:val="00222633"/>
    <w:rsid w:val="00222AB6"/>
    <w:rsid w:val="00231791"/>
    <w:rsid w:val="002337D7"/>
    <w:rsid w:val="002379E9"/>
    <w:rsid w:val="00237D65"/>
    <w:rsid w:val="00240EE4"/>
    <w:rsid w:val="00242139"/>
    <w:rsid w:val="00244B5C"/>
    <w:rsid w:val="0025290D"/>
    <w:rsid w:val="00260372"/>
    <w:rsid w:val="00262DAF"/>
    <w:rsid w:val="00264152"/>
    <w:rsid w:val="002648B3"/>
    <w:rsid w:val="00267AD9"/>
    <w:rsid w:val="00285AED"/>
    <w:rsid w:val="002A2A6F"/>
    <w:rsid w:val="002C3C65"/>
    <w:rsid w:val="002C7265"/>
    <w:rsid w:val="002C798E"/>
    <w:rsid w:val="002D062A"/>
    <w:rsid w:val="002D562C"/>
    <w:rsid w:val="002D5CA3"/>
    <w:rsid w:val="002E2039"/>
    <w:rsid w:val="002E2442"/>
    <w:rsid w:val="002F0E8C"/>
    <w:rsid w:val="003063E8"/>
    <w:rsid w:val="0030662A"/>
    <w:rsid w:val="00310FA0"/>
    <w:rsid w:val="003132C5"/>
    <w:rsid w:val="00320481"/>
    <w:rsid w:val="0032226E"/>
    <w:rsid w:val="00322B05"/>
    <w:rsid w:val="00322DE8"/>
    <w:rsid w:val="00323D1B"/>
    <w:rsid w:val="003250CB"/>
    <w:rsid w:val="00326EC3"/>
    <w:rsid w:val="0033022E"/>
    <w:rsid w:val="003310F7"/>
    <w:rsid w:val="003602F8"/>
    <w:rsid w:val="00361981"/>
    <w:rsid w:val="00363201"/>
    <w:rsid w:val="00363F05"/>
    <w:rsid w:val="0038485C"/>
    <w:rsid w:val="0039063C"/>
    <w:rsid w:val="00394598"/>
    <w:rsid w:val="003A0483"/>
    <w:rsid w:val="003A46A8"/>
    <w:rsid w:val="003A51AA"/>
    <w:rsid w:val="003B4698"/>
    <w:rsid w:val="003B565A"/>
    <w:rsid w:val="003C1B18"/>
    <w:rsid w:val="003D00A1"/>
    <w:rsid w:val="003D3D01"/>
    <w:rsid w:val="003D7B19"/>
    <w:rsid w:val="003D7CDA"/>
    <w:rsid w:val="003E455E"/>
    <w:rsid w:val="003F0761"/>
    <w:rsid w:val="003F4B55"/>
    <w:rsid w:val="003F7C73"/>
    <w:rsid w:val="0041427F"/>
    <w:rsid w:val="004148A3"/>
    <w:rsid w:val="004179A1"/>
    <w:rsid w:val="00417F88"/>
    <w:rsid w:val="0042579A"/>
    <w:rsid w:val="004326E3"/>
    <w:rsid w:val="00436C17"/>
    <w:rsid w:val="00441B98"/>
    <w:rsid w:val="004470EB"/>
    <w:rsid w:val="004509E5"/>
    <w:rsid w:val="00452153"/>
    <w:rsid w:val="00455964"/>
    <w:rsid w:val="00455D91"/>
    <w:rsid w:val="0046280A"/>
    <w:rsid w:val="00466E6E"/>
    <w:rsid w:val="004820E3"/>
    <w:rsid w:val="00483C42"/>
    <w:rsid w:val="00486FB9"/>
    <w:rsid w:val="004A4594"/>
    <w:rsid w:val="004B44CB"/>
    <w:rsid w:val="004C13FA"/>
    <w:rsid w:val="004C212A"/>
    <w:rsid w:val="004C791E"/>
    <w:rsid w:val="004D5ACC"/>
    <w:rsid w:val="004D67AA"/>
    <w:rsid w:val="004F1C08"/>
    <w:rsid w:val="00500232"/>
    <w:rsid w:val="0050030A"/>
    <w:rsid w:val="00501EE0"/>
    <w:rsid w:val="00504668"/>
    <w:rsid w:val="00507913"/>
    <w:rsid w:val="0051020D"/>
    <w:rsid w:val="00514C4A"/>
    <w:rsid w:val="00516FC7"/>
    <w:rsid w:val="00543C23"/>
    <w:rsid w:val="005455E1"/>
    <w:rsid w:val="005502BD"/>
    <w:rsid w:val="0055396D"/>
    <w:rsid w:val="00555684"/>
    <w:rsid w:val="00556787"/>
    <w:rsid w:val="00563A3F"/>
    <w:rsid w:val="00573BA5"/>
    <w:rsid w:val="00582276"/>
    <w:rsid w:val="005915A9"/>
    <w:rsid w:val="00597A85"/>
    <w:rsid w:val="005A1818"/>
    <w:rsid w:val="005B0F3B"/>
    <w:rsid w:val="005B4DEE"/>
    <w:rsid w:val="005C2560"/>
    <w:rsid w:val="005D5BB8"/>
    <w:rsid w:val="005E047D"/>
    <w:rsid w:val="005F033A"/>
    <w:rsid w:val="005F7585"/>
    <w:rsid w:val="006032CF"/>
    <w:rsid w:val="0060382A"/>
    <w:rsid w:val="00605759"/>
    <w:rsid w:val="00606476"/>
    <w:rsid w:val="00613523"/>
    <w:rsid w:val="00614844"/>
    <w:rsid w:val="00616BBE"/>
    <w:rsid w:val="00623D66"/>
    <w:rsid w:val="00633B45"/>
    <w:rsid w:val="006377DC"/>
    <w:rsid w:val="00637FAB"/>
    <w:rsid w:val="00650C6C"/>
    <w:rsid w:val="00652FE6"/>
    <w:rsid w:val="0066184D"/>
    <w:rsid w:val="00667898"/>
    <w:rsid w:val="006737CB"/>
    <w:rsid w:val="00677745"/>
    <w:rsid w:val="00677FE0"/>
    <w:rsid w:val="006819AB"/>
    <w:rsid w:val="00683820"/>
    <w:rsid w:val="00687CA1"/>
    <w:rsid w:val="00691262"/>
    <w:rsid w:val="00692BEE"/>
    <w:rsid w:val="006A5725"/>
    <w:rsid w:val="006B7861"/>
    <w:rsid w:val="006C40B3"/>
    <w:rsid w:val="006D04EF"/>
    <w:rsid w:val="006D57A0"/>
    <w:rsid w:val="006E0EB7"/>
    <w:rsid w:val="006E0F04"/>
    <w:rsid w:val="006E2FB0"/>
    <w:rsid w:val="006E4E25"/>
    <w:rsid w:val="006E5C70"/>
    <w:rsid w:val="0070399C"/>
    <w:rsid w:val="007102D2"/>
    <w:rsid w:val="007111E8"/>
    <w:rsid w:val="00712016"/>
    <w:rsid w:val="00713948"/>
    <w:rsid w:val="00733719"/>
    <w:rsid w:val="00742776"/>
    <w:rsid w:val="007459D8"/>
    <w:rsid w:val="00753A27"/>
    <w:rsid w:val="007579A0"/>
    <w:rsid w:val="00767534"/>
    <w:rsid w:val="00777D73"/>
    <w:rsid w:val="00791E8C"/>
    <w:rsid w:val="0079342A"/>
    <w:rsid w:val="007953FC"/>
    <w:rsid w:val="007B4949"/>
    <w:rsid w:val="007B7992"/>
    <w:rsid w:val="007D18BC"/>
    <w:rsid w:val="007D196E"/>
    <w:rsid w:val="007D3F3F"/>
    <w:rsid w:val="007D5F3A"/>
    <w:rsid w:val="007D7A9E"/>
    <w:rsid w:val="007E600C"/>
    <w:rsid w:val="007F0BC6"/>
    <w:rsid w:val="007F29C6"/>
    <w:rsid w:val="00822D30"/>
    <w:rsid w:val="00831374"/>
    <w:rsid w:val="00835954"/>
    <w:rsid w:val="0084359B"/>
    <w:rsid w:val="00857580"/>
    <w:rsid w:val="00865238"/>
    <w:rsid w:val="008656DB"/>
    <w:rsid w:val="008667BF"/>
    <w:rsid w:val="0086680D"/>
    <w:rsid w:val="00870A11"/>
    <w:rsid w:val="00881C31"/>
    <w:rsid w:val="00882AD1"/>
    <w:rsid w:val="008831F6"/>
    <w:rsid w:val="00892A8F"/>
    <w:rsid w:val="00892EB2"/>
    <w:rsid w:val="00895645"/>
    <w:rsid w:val="00895F2F"/>
    <w:rsid w:val="008A7851"/>
    <w:rsid w:val="008C3782"/>
    <w:rsid w:val="008D4A32"/>
    <w:rsid w:val="008D593A"/>
    <w:rsid w:val="008D703F"/>
    <w:rsid w:val="008E1378"/>
    <w:rsid w:val="008E7760"/>
    <w:rsid w:val="00903320"/>
    <w:rsid w:val="0091030E"/>
    <w:rsid w:val="00916D4A"/>
    <w:rsid w:val="00917FD7"/>
    <w:rsid w:val="00922001"/>
    <w:rsid w:val="00922C17"/>
    <w:rsid w:val="0093009E"/>
    <w:rsid w:val="0093034B"/>
    <w:rsid w:val="009327DA"/>
    <w:rsid w:val="00942DDD"/>
    <w:rsid w:val="009439E6"/>
    <w:rsid w:val="00947DAC"/>
    <w:rsid w:val="009516A8"/>
    <w:rsid w:val="0095608A"/>
    <w:rsid w:val="009614D8"/>
    <w:rsid w:val="00967553"/>
    <w:rsid w:val="00972949"/>
    <w:rsid w:val="00972F2D"/>
    <w:rsid w:val="0097705C"/>
    <w:rsid w:val="009921DD"/>
    <w:rsid w:val="009A09B9"/>
    <w:rsid w:val="009A3FFC"/>
    <w:rsid w:val="009A6702"/>
    <w:rsid w:val="009C247B"/>
    <w:rsid w:val="009C290F"/>
    <w:rsid w:val="009D1849"/>
    <w:rsid w:val="009D2B82"/>
    <w:rsid w:val="009E2926"/>
    <w:rsid w:val="009E2A7F"/>
    <w:rsid w:val="009E6DBC"/>
    <w:rsid w:val="009F393D"/>
    <w:rsid w:val="009F7F46"/>
    <w:rsid w:val="00A000BF"/>
    <w:rsid w:val="00A0587E"/>
    <w:rsid w:val="00A074FC"/>
    <w:rsid w:val="00A13EFB"/>
    <w:rsid w:val="00A172ED"/>
    <w:rsid w:val="00A20049"/>
    <w:rsid w:val="00A253CB"/>
    <w:rsid w:val="00A275BC"/>
    <w:rsid w:val="00A3082C"/>
    <w:rsid w:val="00A3746B"/>
    <w:rsid w:val="00A464B4"/>
    <w:rsid w:val="00A577D6"/>
    <w:rsid w:val="00A63D6B"/>
    <w:rsid w:val="00A65FD6"/>
    <w:rsid w:val="00A726C3"/>
    <w:rsid w:val="00A84B52"/>
    <w:rsid w:val="00A8660F"/>
    <w:rsid w:val="00A92E70"/>
    <w:rsid w:val="00A95C48"/>
    <w:rsid w:val="00AA24A4"/>
    <w:rsid w:val="00AA7056"/>
    <w:rsid w:val="00AB03A8"/>
    <w:rsid w:val="00AB31C6"/>
    <w:rsid w:val="00AB523B"/>
    <w:rsid w:val="00AB6D24"/>
    <w:rsid w:val="00AC1FFE"/>
    <w:rsid w:val="00AC32A4"/>
    <w:rsid w:val="00AD0926"/>
    <w:rsid w:val="00AD7E40"/>
    <w:rsid w:val="00AF1789"/>
    <w:rsid w:val="00AF18D9"/>
    <w:rsid w:val="00AF70E1"/>
    <w:rsid w:val="00AF74F8"/>
    <w:rsid w:val="00B145C8"/>
    <w:rsid w:val="00B1477A"/>
    <w:rsid w:val="00B20993"/>
    <w:rsid w:val="00B21D8C"/>
    <w:rsid w:val="00B23392"/>
    <w:rsid w:val="00B26781"/>
    <w:rsid w:val="00B42E96"/>
    <w:rsid w:val="00B43A75"/>
    <w:rsid w:val="00B45816"/>
    <w:rsid w:val="00B50EE6"/>
    <w:rsid w:val="00B51346"/>
    <w:rsid w:val="00B52185"/>
    <w:rsid w:val="00B572D4"/>
    <w:rsid w:val="00B65E97"/>
    <w:rsid w:val="00B77DDE"/>
    <w:rsid w:val="00B9612D"/>
    <w:rsid w:val="00B9753A"/>
    <w:rsid w:val="00BA1274"/>
    <w:rsid w:val="00BB083C"/>
    <w:rsid w:val="00BB0AE5"/>
    <w:rsid w:val="00BB145F"/>
    <w:rsid w:val="00BB479C"/>
    <w:rsid w:val="00BB4878"/>
    <w:rsid w:val="00BC4720"/>
    <w:rsid w:val="00BD2422"/>
    <w:rsid w:val="00BD51B8"/>
    <w:rsid w:val="00BD75A2"/>
    <w:rsid w:val="00BF3362"/>
    <w:rsid w:val="00C04A54"/>
    <w:rsid w:val="00C05407"/>
    <w:rsid w:val="00C10748"/>
    <w:rsid w:val="00C2017A"/>
    <w:rsid w:val="00C2026B"/>
    <w:rsid w:val="00C20470"/>
    <w:rsid w:val="00C21297"/>
    <w:rsid w:val="00C34B2F"/>
    <w:rsid w:val="00C44F5A"/>
    <w:rsid w:val="00C4641B"/>
    <w:rsid w:val="00C50343"/>
    <w:rsid w:val="00C61D28"/>
    <w:rsid w:val="00C6423E"/>
    <w:rsid w:val="00C6690E"/>
    <w:rsid w:val="00C703C5"/>
    <w:rsid w:val="00C70DD4"/>
    <w:rsid w:val="00C805F2"/>
    <w:rsid w:val="00C84264"/>
    <w:rsid w:val="00C84735"/>
    <w:rsid w:val="00C84C0D"/>
    <w:rsid w:val="00C91F82"/>
    <w:rsid w:val="00C91FDD"/>
    <w:rsid w:val="00C9268A"/>
    <w:rsid w:val="00C968BA"/>
    <w:rsid w:val="00C96EFE"/>
    <w:rsid w:val="00CA15C1"/>
    <w:rsid w:val="00CB2879"/>
    <w:rsid w:val="00CB325E"/>
    <w:rsid w:val="00CC5E40"/>
    <w:rsid w:val="00CD003C"/>
    <w:rsid w:val="00CD5BBC"/>
    <w:rsid w:val="00CE7915"/>
    <w:rsid w:val="00CE7A56"/>
    <w:rsid w:val="00CF5A1B"/>
    <w:rsid w:val="00D03AF8"/>
    <w:rsid w:val="00D1569F"/>
    <w:rsid w:val="00D2010A"/>
    <w:rsid w:val="00D20B1E"/>
    <w:rsid w:val="00D22462"/>
    <w:rsid w:val="00D230AC"/>
    <w:rsid w:val="00D27C4F"/>
    <w:rsid w:val="00D30FDF"/>
    <w:rsid w:val="00D32489"/>
    <w:rsid w:val="00D3349E"/>
    <w:rsid w:val="00D344E3"/>
    <w:rsid w:val="00D443F7"/>
    <w:rsid w:val="00D473BD"/>
    <w:rsid w:val="00D53015"/>
    <w:rsid w:val="00D73CB8"/>
    <w:rsid w:val="00D77D9C"/>
    <w:rsid w:val="00D83498"/>
    <w:rsid w:val="00D8431A"/>
    <w:rsid w:val="00DA51B6"/>
    <w:rsid w:val="00DA5E06"/>
    <w:rsid w:val="00DA7591"/>
    <w:rsid w:val="00DB2E45"/>
    <w:rsid w:val="00DB3AFA"/>
    <w:rsid w:val="00DC170A"/>
    <w:rsid w:val="00DC2E96"/>
    <w:rsid w:val="00DF29B2"/>
    <w:rsid w:val="00E059B2"/>
    <w:rsid w:val="00E259F5"/>
    <w:rsid w:val="00E30BE7"/>
    <w:rsid w:val="00E32798"/>
    <w:rsid w:val="00E33CC8"/>
    <w:rsid w:val="00E51C91"/>
    <w:rsid w:val="00E52853"/>
    <w:rsid w:val="00E63355"/>
    <w:rsid w:val="00E667C1"/>
    <w:rsid w:val="00E745E6"/>
    <w:rsid w:val="00E900EF"/>
    <w:rsid w:val="00E95B25"/>
    <w:rsid w:val="00EA4824"/>
    <w:rsid w:val="00EA558A"/>
    <w:rsid w:val="00EA57B2"/>
    <w:rsid w:val="00EA6B30"/>
    <w:rsid w:val="00EB3879"/>
    <w:rsid w:val="00EB53CE"/>
    <w:rsid w:val="00EC0ECC"/>
    <w:rsid w:val="00EC3F88"/>
    <w:rsid w:val="00EC50EB"/>
    <w:rsid w:val="00ED1A78"/>
    <w:rsid w:val="00ED1C01"/>
    <w:rsid w:val="00ED36D8"/>
    <w:rsid w:val="00ED6E60"/>
    <w:rsid w:val="00ED7E80"/>
    <w:rsid w:val="00ED7FB3"/>
    <w:rsid w:val="00EE6BD7"/>
    <w:rsid w:val="00EE7F9A"/>
    <w:rsid w:val="00EF2AE8"/>
    <w:rsid w:val="00F01EC1"/>
    <w:rsid w:val="00F0689D"/>
    <w:rsid w:val="00F22D79"/>
    <w:rsid w:val="00F455B7"/>
    <w:rsid w:val="00F45C12"/>
    <w:rsid w:val="00F47BA5"/>
    <w:rsid w:val="00F523BD"/>
    <w:rsid w:val="00F55D50"/>
    <w:rsid w:val="00F61045"/>
    <w:rsid w:val="00F63060"/>
    <w:rsid w:val="00F66807"/>
    <w:rsid w:val="00F80E44"/>
    <w:rsid w:val="00F816E3"/>
    <w:rsid w:val="00F864C8"/>
    <w:rsid w:val="00F877D7"/>
    <w:rsid w:val="00F9171B"/>
    <w:rsid w:val="00FB01B5"/>
    <w:rsid w:val="00FB6B56"/>
    <w:rsid w:val="00FE5057"/>
    <w:rsid w:val="00FE60D3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69E09"/>
  <w15:chartTrackingRefBased/>
  <w15:docId w15:val="{EC74238B-0840-42D8-903D-3732300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D9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7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D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DAC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DAC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F178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7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7E80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7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08BC2D21834F91D63484AA38005A" ma:contentTypeVersion="0" ma:contentTypeDescription="Vytvoří nový dokument" ma:contentTypeScope="" ma:versionID="d0b2c344917a9f3349dace0549e964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5cdc4ff858f90d0ad7a474a4c95b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DD3A-8E14-4B1D-AD4A-074553FA7B4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A36F3-A6F0-47BB-9298-C5A6AB8C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4F28D-2CAD-414D-A4E1-87D020769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DAED9-939B-4D68-90FF-69979551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F2C7B517.dotm</Template>
  <TotalTime>1</TotalTime>
  <Pages>6</Pages>
  <Words>1197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Luděk</dc:creator>
  <cp:keywords/>
  <dc:description/>
  <cp:lastModifiedBy>Frélich Tomáš</cp:lastModifiedBy>
  <cp:revision>4</cp:revision>
  <cp:lastPrinted>2022-03-16T15:53:00Z</cp:lastPrinted>
  <dcterms:created xsi:type="dcterms:W3CDTF">2022-03-17T08:59:00Z</dcterms:created>
  <dcterms:modified xsi:type="dcterms:W3CDTF">2022-03-21T09:50:00Z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0x010100F39308BC2D21834F91D63484AA38005A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 VNITŘNÍ POTŘEBU          </vt:lpwstr>
  </property>
  <property fmtid="{D5CDD505-2E9C-101B-9397-08002B2CF9AE}" pid="6" name="MSIP_Label_e4436c61-f8c4-4a05-8a4c-f56df6f11611_Enabled">
    <vt:lpwstr>true</vt:lpwstr>
  </property>
  <property fmtid="{D5CDD505-2E9C-101B-9397-08002B2CF9AE}" pid="7" name="MSIP_Label_e4436c61-f8c4-4a05-8a4c-f56df6f11611_SetDate">
    <vt:lpwstr>2021-08-26T13:21:47Z</vt:lpwstr>
  </property>
  <property fmtid="{D5CDD505-2E9C-101B-9397-08002B2CF9AE}" pid="8" name="MSIP_Label_e4436c61-f8c4-4a05-8a4c-f56df6f11611_Method">
    <vt:lpwstr>Privileged</vt:lpwstr>
  </property>
  <property fmtid="{D5CDD505-2E9C-101B-9397-08002B2CF9AE}" pid="9" name="MSIP_Label_e4436c61-f8c4-4a05-8a4c-f56df6f11611_Name">
    <vt:lpwstr>Interní - s popiskem</vt:lpwstr>
  </property>
  <property fmtid="{D5CDD505-2E9C-101B-9397-08002B2CF9AE}" pid="10" name="MSIP_Label_e4436c61-f8c4-4a05-8a4c-f56df6f11611_SiteId">
    <vt:lpwstr>1f9775f0-c6d0-40f3-b27c-91cb5bbd294a</vt:lpwstr>
  </property>
  <property fmtid="{D5CDD505-2E9C-101B-9397-08002B2CF9AE}" pid="11" name="MSIP_Label_e4436c61-f8c4-4a05-8a4c-f56df6f11611_ActionId">
    <vt:lpwstr>6b66247e-a08a-43e4-8ca4-0f392c74140e</vt:lpwstr>
  </property>
  <property fmtid="{D5CDD505-2E9C-101B-9397-08002B2CF9AE}" pid="12" name="MSIP_Label_e4436c61-f8c4-4a05-8a4c-f56df6f11611_ContentBits">
    <vt:lpwstr>1</vt:lpwstr>
  </property>
</Properties>
</file>